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E70" w:rsidRDefault="00BD1E70" w:rsidP="00092A0A">
      <w:pPr>
        <w:ind w:right="20"/>
        <w:jc w:val="center"/>
        <w:rPr>
          <w:b/>
        </w:rPr>
      </w:pPr>
      <w:r>
        <w:rPr>
          <w:b/>
        </w:rPr>
        <w:t>SUMMARY OF PRODUCT CHARACTERISTICS</w:t>
      </w:r>
    </w:p>
    <w:p w:rsidR="00457196" w:rsidRDefault="00457196" w:rsidP="00092A0A">
      <w:pPr>
        <w:pStyle w:val="BodyText"/>
        <w:ind w:right="20"/>
        <w:rPr>
          <w:sz w:val="20"/>
        </w:rPr>
      </w:pPr>
    </w:p>
    <w:p w:rsidR="00457196" w:rsidRDefault="00457196" w:rsidP="00092A0A">
      <w:pPr>
        <w:pStyle w:val="BodyText"/>
        <w:spacing w:before="5"/>
        <w:ind w:right="20"/>
        <w:jc w:val="both"/>
        <w:rPr>
          <w:sz w:val="17"/>
        </w:rPr>
      </w:pPr>
    </w:p>
    <w:p w:rsidR="00457196" w:rsidRDefault="00346252" w:rsidP="00092A0A">
      <w:pPr>
        <w:pStyle w:val="ListParagraph"/>
        <w:numPr>
          <w:ilvl w:val="0"/>
          <w:numId w:val="13"/>
        </w:numPr>
        <w:tabs>
          <w:tab w:val="left" w:pos="800"/>
          <w:tab w:val="left" w:pos="801"/>
        </w:tabs>
        <w:spacing w:before="70"/>
        <w:ind w:right="20" w:hanging="563"/>
        <w:jc w:val="both"/>
        <w:rPr>
          <w:b/>
        </w:rPr>
      </w:pPr>
      <w:bookmarkStart w:id="0" w:name="SUMMARY_OF_PRODUCT_CHARACTERISTICS"/>
      <w:bookmarkEnd w:id="0"/>
      <w:r>
        <w:rPr>
          <w:b/>
        </w:rPr>
        <w:t>NAME OF THE MEDICINAL</w:t>
      </w:r>
      <w:r>
        <w:rPr>
          <w:b/>
          <w:spacing w:val="-5"/>
        </w:rPr>
        <w:t xml:space="preserve"> </w:t>
      </w:r>
      <w:r>
        <w:rPr>
          <w:b/>
        </w:rPr>
        <w:t>PRODUCT</w:t>
      </w:r>
    </w:p>
    <w:p w:rsidR="00457196" w:rsidRDefault="00457196" w:rsidP="00092A0A">
      <w:pPr>
        <w:pStyle w:val="BodyText"/>
        <w:spacing w:before="1"/>
        <w:ind w:right="20"/>
        <w:jc w:val="both"/>
        <w:rPr>
          <w:b/>
        </w:rPr>
      </w:pPr>
    </w:p>
    <w:p w:rsidR="00BD1E70" w:rsidRPr="00BD1E70" w:rsidRDefault="00BD1E70" w:rsidP="00092A0A">
      <w:pPr>
        <w:widowControl/>
        <w:autoSpaceDE/>
        <w:autoSpaceDN/>
        <w:ind w:left="142" w:right="20"/>
        <w:jc w:val="both"/>
        <w:rPr>
          <w:sz w:val="20"/>
          <w:szCs w:val="20"/>
        </w:rPr>
      </w:pPr>
      <w:r w:rsidRPr="00BD1E70">
        <w:t>&lt;Product name&gt; 12.5 mg hard capsules</w:t>
      </w:r>
    </w:p>
    <w:p w:rsidR="00BD1E70" w:rsidRPr="00BD1E70" w:rsidRDefault="00BD1E70" w:rsidP="00092A0A">
      <w:pPr>
        <w:widowControl/>
        <w:autoSpaceDE/>
        <w:autoSpaceDN/>
        <w:spacing w:line="1" w:lineRule="exact"/>
        <w:ind w:left="142" w:right="20"/>
        <w:jc w:val="both"/>
        <w:rPr>
          <w:sz w:val="20"/>
          <w:szCs w:val="20"/>
        </w:rPr>
      </w:pPr>
    </w:p>
    <w:p w:rsidR="00BD1E70" w:rsidRPr="008F7C35" w:rsidRDefault="00BD1E70" w:rsidP="00092A0A">
      <w:pPr>
        <w:widowControl/>
        <w:autoSpaceDE/>
        <w:autoSpaceDN/>
        <w:ind w:left="142" w:right="20"/>
        <w:jc w:val="both"/>
        <w:rPr>
          <w:sz w:val="20"/>
          <w:szCs w:val="20"/>
        </w:rPr>
      </w:pPr>
      <w:r w:rsidRPr="008F7C35">
        <w:t>&lt;Product name&gt; 25 mg hard capsules</w:t>
      </w:r>
    </w:p>
    <w:p w:rsidR="00BD1E70" w:rsidRPr="00BD1E70" w:rsidRDefault="00BD1E70" w:rsidP="00092A0A">
      <w:pPr>
        <w:widowControl/>
        <w:autoSpaceDE/>
        <w:autoSpaceDN/>
        <w:ind w:left="142" w:right="20"/>
        <w:jc w:val="both"/>
        <w:rPr>
          <w:sz w:val="20"/>
          <w:szCs w:val="20"/>
        </w:rPr>
      </w:pPr>
      <w:r w:rsidRPr="008F7C35">
        <w:t>&lt;Product name&gt; 50 mg hard capsules</w:t>
      </w:r>
    </w:p>
    <w:p w:rsidR="00457196" w:rsidRDefault="00457196" w:rsidP="00092A0A">
      <w:pPr>
        <w:pStyle w:val="BodyText"/>
        <w:ind w:right="20"/>
        <w:jc w:val="both"/>
        <w:rPr>
          <w:sz w:val="24"/>
        </w:rPr>
      </w:pPr>
    </w:p>
    <w:p w:rsidR="00457196" w:rsidRDefault="00457196" w:rsidP="00092A0A">
      <w:pPr>
        <w:pStyle w:val="BodyText"/>
        <w:spacing w:before="1"/>
        <w:ind w:right="20"/>
        <w:jc w:val="both"/>
        <w:rPr>
          <w:sz w:val="20"/>
        </w:rPr>
      </w:pPr>
    </w:p>
    <w:p w:rsidR="00457196" w:rsidRDefault="00346252" w:rsidP="00092A0A">
      <w:pPr>
        <w:pStyle w:val="Heading1"/>
        <w:numPr>
          <w:ilvl w:val="0"/>
          <w:numId w:val="13"/>
        </w:numPr>
        <w:tabs>
          <w:tab w:val="left" w:pos="800"/>
          <w:tab w:val="left" w:pos="801"/>
        </w:tabs>
        <w:spacing w:before="0"/>
        <w:ind w:right="20" w:hanging="563"/>
        <w:jc w:val="both"/>
      </w:pPr>
      <w:r>
        <w:t>QUALITATIVE AND QUANTITATIVE</w:t>
      </w:r>
      <w:r>
        <w:rPr>
          <w:spacing w:val="-5"/>
        </w:rPr>
        <w:t xml:space="preserve"> </w:t>
      </w:r>
      <w:r>
        <w:t>COMPOSITION</w:t>
      </w:r>
    </w:p>
    <w:p w:rsidR="00457196" w:rsidRDefault="00457196" w:rsidP="00092A0A">
      <w:pPr>
        <w:pStyle w:val="BodyText"/>
        <w:spacing w:before="1"/>
        <w:ind w:right="20"/>
        <w:jc w:val="both"/>
        <w:rPr>
          <w:b/>
        </w:rPr>
      </w:pPr>
    </w:p>
    <w:p w:rsidR="0020439E" w:rsidRDefault="0020439E" w:rsidP="00092A0A">
      <w:pPr>
        <w:pStyle w:val="Default"/>
        <w:ind w:left="142" w:right="20"/>
        <w:jc w:val="both"/>
        <w:rPr>
          <w:sz w:val="22"/>
          <w:szCs w:val="22"/>
        </w:rPr>
      </w:pPr>
      <w:r>
        <w:rPr>
          <w:sz w:val="22"/>
          <w:szCs w:val="22"/>
        </w:rPr>
        <w:t xml:space="preserve">Each capsule contains sunitinib malate, equivalent to 12.5 mg of sunitinib. </w:t>
      </w:r>
    </w:p>
    <w:p w:rsidR="0020439E" w:rsidRPr="008F7C35" w:rsidRDefault="0020439E" w:rsidP="00092A0A">
      <w:pPr>
        <w:pStyle w:val="Default"/>
        <w:ind w:left="142" w:right="20"/>
        <w:jc w:val="both"/>
        <w:rPr>
          <w:sz w:val="22"/>
          <w:szCs w:val="22"/>
        </w:rPr>
      </w:pPr>
      <w:r w:rsidRPr="008F7C35">
        <w:rPr>
          <w:sz w:val="22"/>
          <w:szCs w:val="22"/>
        </w:rPr>
        <w:t xml:space="preserve">Each capsule contains sunitinib malate, equivalent to 25 mg of sunitinib. </w:t>
      </w:r>
    </w:p>
    <w:p w:rsidR="0020439E" w:rsidRDefault="0020439E" w:rsidP="00092A0A">
      <w:pPr>
        <w:pStyle w:val="BodyText"/>
        <w:spacing w:before="1" w:line="477" w:lineRule="auto"/>
        <w:ind w:left="142" w:right="20"/>
        <w:jc w:val="both"/>
      </w:pPr>
      <w:r w:rsidRPr="008F7C35">
        <w:t>Each capsule contains sunitinib malate, equivalent to 50 mg of sunitinib.</w:t>
      </w:r>
      <w:r>
        <w:t xml:space="preserve"> </w:t>
      </w:r>
    </w:p>
    <w:p w:rsidR="00457196" w:rsidRDefault="00346252" w:rsidP="00092A0A">
      <w:pPr>
        <w:pStyle w:val="BodyText"/>
        <w:spacing w:before="1" w:line="477" w:lineRule="auto"/>
        <w:ind w:left="284" w:right="20" w:hanging="142"/>
        <w:jc w:val="both"/>
      </w:pPr>
      <w:r>
        <w:t>For the full list of excipients, see section 6.1.</w:t>
      </w:r>
    </w:p>
    <w:p w:rsidR="00457196" w:rsidRDefault="00457196" w:rsidP="00092A0A">
      <w:pPr>
        <w:pStyle w:val="BodyText"/>
        <w:spacing w:before="5"/>
        <w:ind w:right="20"/>
        <w:jc w:val="both"/>
      </w:pPr>
    </w:p>
    <w:p w:rsidR="00457196" w:rsidRPr="00874E15" w:rsidRDefault="00346252" w:rsidP="00092A0A">
      <w:pPr>
        <w:pStyle w:val="Heading1"/>
        <w:numPr>
          <w:ilvl w:val="0"/>
          <w:numId w:val="13"/>
        </w:numPr>
        <w:tabs>
          <w:tab w:val="left" w:pos="805"/>
          <w:tab w:val="left" w:pos="806"/>
        </w:tabs>
        <w:spacing w:before="1"/>
        <w:ind w:left="805" w:right="20" w:hanging="568"/>
        <w:jc w:val="both"/>
      </w:pPr>
      <w:r w:rsidRPr="00874E15">
        <w:t>PHARMACEUTICAL</w:t>
      </w:r>
      <w:r w:rsidRPr="00874E15">
        <w:rPr>
          <w:spacing w:val="-1"/>
        </w:rPr>
        <w:t xml:space="preserve"> </w:t>
      </w:r>
      <w:r w:rsidRPr="00874E15">
        <w:t>FORM</w:t>
      </w:r>
    </w:p>
    <w:p w:rsidR="00874E15" w:rsidRDefault="00874E15" w:rsidP="00092A0A">
      <w:pPr>
        <w:pStyle w:val="Default"/>
        <w:ind w:right="20"/>
        <w:jc w:val="both"/>
      </w:pPr>
    </w:p>
    <w:p w:rsidR="00874E15" w:rsidRDefault="00874E15" w:rsidP="00092A0A">
      <w:pPr>
        <w:pStyle w:val="Default"/>
        <w:ind w:left="142" w:right="20"/>
        <w:jc w:val="both"/>
        <w:rPr>
          <w:sz w:val="22"/>
          <w:szCs w:val="22"/>
        </w:rPr>
      </w:pPr>
      <w:r>
        <w:rPr>
          <w:sz w:val="22"/>
          <w:szCs w:val="22"/>
        </w:rPr>
        <w:t xml:space="preserve">Hard capsule (capsule). </w:t>
      </w:r>
    </w:p>
    <w:p w:rsidR="00874E15" w:rsidRDefault="00874E15" w:rsidP="00092A0A">
      <w:pPr>
        <w:pStyle w:val="Default"/>
        <w:ind w:left="142" w:right="20"/>
        <w:jc w:val="both"/>
        <w:rPr>
          <w:sz w:val="22"/>
          <w:szCs w:val="22"/>
        </w:rPr>
      </w:pPr>
    </w:p>
    <w:p w:rsidR="00874E15" w:rsidRPr="00874E15" w:rsidRDefault="00874E15" w:rsidP="00092A0A">
      <w:pPr>
        <w:pStyle w:val="Default"/>
        <w:ind w:left="142" w:right="20"/>
        <w:jc w:val="both"/>
        <w:rPr>
          <w:sz w:val="22"/>
          <w:szCs w:val="22"/>
          <w:u w:val="single"/>
        </w:rPr>
      </w:pPr>
      <w:r w:rsidRPr="00874E15">
        <w:rPr>
          <w:sz w:val="22"/>
          <w:szCs w:val="22"/>
          <w:u w:val="single"/>
        </w:rPr>
        <w:t xml:space="preserve">&lt;Product name&gt; 12.5 mg capsule </w:t>
      </w:r>
    </w:p>
    <w:p w:rsidR="00874E15" w:rsidRPr="00AA5881" w:rsidRDefault="00874E15" w:rsidP="00092A0A">
      <w:pPr>
        <w:pStyle w:val="Default"/>
        <w:ind w:left="142" w:right="20"/>
        <w:jc w:val="both"/>
        <w:rPr>
          <w:color w:val="auto"/>
          <w:sz w:val="22"/>
          <w:szCs w:val="22"/>
        </w:rPr>
      </w:pPr>
      <w:r>
        <w:rPr>
          <w:sz w:val="22"/>
          <w:szCs w:val="22"/>
        </w:rPr>
        <w:t xml:space="preserve">Hard gelatine capsule with orange cap and orange body, printed with white imprint “SNB” and “12.5” on the body. </w:t>
      </w:r>
      <w:r w:rsidR="00F56A0F">
        <w:rPr>
          <w:sz w:val="23"/>
          <w:szCs w:val="23"/>
        </w:rPr>
        <w:t>The capsule is filled with orange powder</w:t>
      </w:r>
      <w:r w:rsidR="00F56A0F">
        <w:rPr>
          <w:sz w:val="22"/>
          <w:szCs w:val="22"/>
        </w:rPr>
        <w:t xml:space="preserve">. </w:t>
      </w:r>
      <w:r>
        <w:rPr>
          <w:sz w:val="22"/>
          <w:szCs w:val="22"/>
        </w:rPr>
        <w:t>Capsule size: 4</w:t>
      </w:r>
      <w:r w:rsidR="00AA5881">
        <w:rPr>
          <w:sz w:val="22"/>
          <w:szCs w:val="22"/>
        </w:rPr>
        <w:t xml:space="preserve"> </w:t>
      </w:r>
      <w:r w:rsidR="00AA5881" w:rsidRPr="00AA5881">
        <w:rPr>
          <w:color w:val="auto"/>
        </w:rPr>
        <w:t>(length of approximately 14 mm)</w:t>
      </w:r>
      <w:r w:rsidRPr="00AA5881">
        <w:rPr>
          <w:color w:val="auto"/>
          <w:sz w:val="22"/>
          <w:szCs w:val="22"/>
        </w:rPr>
        <w:t xml:space="preserve">. </w:t>
      </w:r>
    </w:p>
    <w:p w:rsidR="00874E15" w:rsidRDefault="00874E15" w:rsidP="00092A0A">
      <w:pPr>
        <w:pStyle w:val="Default"/>
        <w:ind w:left="142" w:right="20"/>
        <w:jc w:val="both"/>
        <w:rPr>
          <w:sz w:val="22"/>
          <w:szCs w:val="22"/>
        </w:rPr>
      </w:pPr>
    </w:p>
    <w:p w:rsidR="00874E15" w:rsidRPr="008F7C35" w:rsidRDefault="00874E15" w:rsidP="00092A0A">
      <w:pPr>
        <w:pStyle w:val="Default"/>
        <w:ind w:left="142" w:right="20"/>
        <w:jc w:val="both"/>
        <w:rPr>
          <w:sz w:val="22"/>
          <w:szCs w:val="22"/>
          <w:u w:val="single"/>
        </w:rPr>
      </w:pPr>
      <w:r w:rsidRPr="008F7C35">
        <w:rPr>
          <w:sz w:val="22"/>
          <w:szCs w:val="22"/>
          <w:u w:val="single"/>
        </w:rPr>
        <w:t xml:space="preserve">&lt;Product name&gt; 25 mg capsule </w:t>
      </w:r>
    </w:p>
    <w:p w:rsidR="00874E15" w:rsidRPr="00AA5881" w:rsidRDefault="00874E15" w:rsidP="00092A0A">
      <w:pPr>
        <w:pStyle w:val="Default"/>
        <w:ind w:left="142" w:right="20"/>
        <w:jc w:val="both"/>
        <w:rPr>
          <w:color w:val="auto"/>
          <w:sz w:val="22"/>
          <w:szCs w:val="22"/>
        </w:rPr>
      </w:pPr>
      <w:r w:rsidRPr="008F7C35">
        <w:rPr>
          <w:sz w:val="22"/>
          <w:szCs w:val="22"/>
        </w:rPr>
        <w:t xml:space="preserve">Hard gelatine capsule with caramel (light brown) cap and orange body, printed with white imprint “SNB” and “25” on the body. </w:t>
      </w:r>
      <w:r w:rsidR="00F56A0F">
        <w:rPr>
          <w:sz w:val="23"/>
          <w:szCs w:val="23"/>
        </w:rPr>
        <w:t>The capsule is filled with orange powder</w:t>
      </w:r>
      <w:r w:rsidR="00F56A0F">
        <w:rPr>
          <w:sz w:val="22"/>
          <w:szCs w:val="22"/>
        </w:rPr>
        <w:t xml:space="preserve">. </w:t>
      </w:r>
      <w:r w:rsidRPr="008F7C35">
        <w:rPr>
          <w:sz w:val="22"/>
          <w:szCs w:val="22"/>
        </w:rPr>
        <w:t>Capsule size: 3</w:t>
      </w:r>
      <w:r w:rsidR="00AA5881">
        <w:rPr>
          <w:sz w:val="22"/>
          <w:szCs w:val="22"/>
        </w:rPr>
        <w:t xml:space="preserve"> </w:t>
      </w:r>
      <w:r w:rsidR="00AA5881" w:rsidRPr="00AA5881">
        <w:rPr>
          <w:color w:val="auto"/>
        </w:rPr>
        <w:t>(length of approximately 16 mm)</w:t>
      </w:r>
      <w:r w:rsidRPr="00AA5881">
        <w:rPr>
          <w:color w:val="auto"/>
          <w:sz w:val="22"/>
          <w:szCs w:val="22"/>
        </w:rPr>
        <w:t xml:space="preserve">. </w:t>
      </w:r>
    </w:p>
    <w:p w:rsidR="00874E15" w:rsidRPr="008F7C35" w:rsidRDefault="00874E15" w:rsidP="00092A0A">
      <w:pPr>
        <w:pStyle w:val="Default"/>
        <w:ind w:left="142" w:right="20"/>
        <w:jc w:val="both"/>
        <w:rPr>
          <w:sz w:val="22"/>
          <w:szCs w:val="22"/>
        </w:rPr>
      </w:pPr>
    </w:p>
    <w:p w:rsidR="00874E15" w:rsidRPr="008F7C35" w:rsidRDefault="00874E15" w:rsidP="00092A0A">
      <w:pPr>
        <w:pStyle w:val="Default"/>
        <w:ind w:left="142" w:right="20"/>
        <w:jc w:val="both"/>
        <w:rPr>
          <w:sz w:val="22"/>
          <w:szCs w:val="22"/>
          <w:u w:val="single"/>
        </w:rPr>
      </w:pPr>
      <w:r w:rsidRPr="008F7C35">
        <w:rPr>
          <w:sz w:val="22"/>
          <w:szCs w:val="22"/>
          <w:u w:val="single"/>
        </w:rPr>
        <w:t xml:space="preserve">&lt;Product name&gt; 50 mg capsule </w:t>
      </w:r>
    </w:p>
    <w:p w:rsidR="009F3623" w:rsidRPr="00BA7FB9" w:rsidRDefault="00144D61" w:rsidP="00092A0A">
      <w:pPr>
        <w:pStyle w:val="BodyText"/>
        <w:spacing w:before="9"/>
        <w:ind w:left="142" w:right="20"/>
        <w:jc w:val="both"/>
      </w:pPr>
      <w:r w:rsidRPr="00BA7FB9">
        <w:t>Hard gelatine capsule with caramel cap and caramel body (light brown), printed with black imprint “SNB” and “50” on the body. The capsule is filled with orange powder. Capsule size: 1EL (elongated</w:t>
      </w:r>
      <w:r w:rsidR="00AA5881" w:rsidRPr="00BA7FB9">
        <w:t>; length of approximately 20 mm</w:t>
      </w:r>
      <w:r w:rsidRPr="00BA7FB9">
        <w:t>).</w:t>
      </w:r>
    </w:p>
    <w:p w:rsidR="00874E15" w:rsidRDefault="00874E15" w:rsidP="00092A0A">
      <w:pPr>
        <w:pStyle w:val="BodyText"/>
        <w:spacing w:before="9"/>
        <w:ind w:left="142" w:right="20"/>
      </w:pPr>
    </w:p>
    <w:p w:rsidR="00874E15" w:rsidRDefault="00874E15" w:rsidP="00092A0A">
      <w:pPr>
        <w:pStyle w:val="BodyText"/>
        <w:spacing w:before="9"/>
        <w:ind w:right="20"/>
        <w:jc w:val="both"/>
        <w:rPr>
          <w:sz w:val="19"/>
        </w:rPr>
      </w:pPr>
    </w:p>
    <w:p w:rsidR="00457196" w:rsidRDefault="00346252" w:rsidP="00092A0A">
      <w:pPr>
        <w:pStyle w:val="Heading1"/>
        <w:numPr>
          <w:ilvl w:val="0"/>
          <w:numId w:val="13"/>
        </w:numPr>
        <w:tabs>
          <w:tab w:val="left" w:pos="805"/>
          <w:tab w:val="left" w:pos="806"/>
        </w:tabs>
        <w:spacing w:before="1"/>
        <w:ind w:left="805" w:right="20" w:hanging="568"/>
        <w:jc w:val="both"/>
      </w:pPr>
      <w:r>
        <w:t>CLINICAL</w:t>
      </w:r>
      <w:r>
        <w:rPr>
          <w:spacing w:val="-2"/>
        </w:rPr>
        <w:t xml:space="preserve"> </w:t>
      </w:r>
      <w:r>
        <w:t>PARTICULARS</w:t>
      </w:r>
    </w:p>
    <w:p w:rsidR="00457196" w:rsidRDefault="00457196" w:rsidP="00092A0A">
      <w:pPr>
        <w:pStyle w:val="BodyText"/>
        <w:ind w:right="20"/>
        <w:jc w:val="both"/>
        <w:rPr>
          <w:b/>
        </w:rPr>
      </w:pPr>
    </w:p>
    <w:p w:rsidR="00457196" w:rsidRDefault="00346252" w:rsidP="00092A0A">
      <w:pPr>
        <w:pStyle w:val="ListParagraph"/>
        <w:numPr>
          <w:ilvl w:val="1"/>
          <w:numId w:val="13"/>
        </w:numPr>
        <w:tabs>
          <w:tab w:val="left" w:pos="805"/>
          <w:tab w:val="left" w:pos="806"/>
        </w:tabs>
        <w:ind w:right="20" w:hanging="568"/>
        <w:jc w:val="both"/>
        <w:rPr>
          <w:b/>
        </w:rPr>
      </w:pPr>
      <w:r>
        <w:rPr>
          <w:b/>
        </w:rPr>
        <w:t>Therapeutic</w:t>
      </w:r>
      <w:r>
        <w:rPr>
          <w:b/>
          <w:spacing w:val="-2"/>
        </w:rPr>
        <w:t xml:space="preserve"> </w:t>
      </w:r>
      <w:r>
        <w:rPr>
          <w:b/>
        </w:rPr>
        <w:t>indications</w:t>
      </w:r>
    </w:p>
    <w:p w:rsidR="00457196" w:rsidRDefault="00457196" w:rsidP="00092A0A">
      <w:pPr>
        <w:pStyle w:val="BodyText"/>
        <w:spacing w:before="1"/>
        <w:ind w:right="20"/>
        <w:jc w:val="both"/>
        <w:rPr>
          <w:b/>
        </w:rPr>
      </w:pPr>
    </w:p>
    <w:p w:rsidR="00457196" w:rsidRDefault="00346252" w:rsidP="00092A0A">
      <w:pPr>
        <w:pStyle w:val="BodyText"/>
        <w:spacing w:line="252" w:lineRule="exact"/>
        <w:ind w:left="238" w:right="20"/>
        <w:jc w:val="both"/>
      </w:pPr>
      <w:r>
        <w:rPr>
          <w:u w:val="single"/>
        </w:rPr>
        <w:t>Gastrointestinal stromal tumour (GIST)</w:t>
      </w:r>
    </w:p>
    <w:p w:rsidR="00457196" w:rsidRDefault="00FB4591" w:rsidP="00092A0A">
      <w:pPr>
        <w:pStyle w:val="BodyText"/>
        <w:ind w:left="238" w:right="20"/>
        <w:jc w:val="both"/>
      </w:pPr>
      <w:r>
        <w:t>&lt;Product name&gt;</w:t>
      </w:r>
      <w:r w:rsidR="00346252">
        <w:t xml:space="preserve"> is indicated for the treatment of unresectable and/or metastatic malignant gastrointestinal stromal tumour (GIST) in adults after failure of imatinib treatment due to resistance or intolerance.</w:t>
      </w:r>
    </w:p>
    <w:p w:rsidR="00457196" w:rsidRDefault="00457196" w:rsidP="00092A0A">
      <w:pPr>
        <w:pStyle w:val="BodyText"/>
        <w:spacing w:before="1"/>
        <w:ind w:right="20"/>
        <w:jc w:val="both"/>
      </w:pPr>
    </w:p>
    <w:p w:rsidR="00457196" w:rsidRDefault="00346252" w:rsidP="00092A0A">
      <w:pPr>
        <w:pStyle w:val="BodyText"/>
        <w:spacing w:line="252" w:lineRule="exact"/>
        <w:ind w:left="238" w:right="20"/>
        <w:jc w:val="both"/>
      </w:pPr>
      <w:r>
        <w:rPr>
          <w:u w:val="single"/>
        </w:rPr>
        <w:t>Metastatic renal cell carcinoma (MRCC)</w:t>
      </w:r>
    </w:p>
    <w:p w:rsidR="00346252" w:rsidRDefault="00FB4591" w:rsidP="00092A0A">
      <w:pPr>
        <w:pStyle w:val="BodyText"/>
        <w:spacing w:line="252" w:lineRule="exact"/>
        <w:ind w:left="238" w:right="20"/>
        <w:jc w:val="both"/>
      </w:pPr>
      <w:r>
        <w:t>&lt;Product name&gt;</w:t>
      </w:r>
      <w:r w:rsidR="00346252">
        <w:t xml:space="preserve"> is indicated for the treatment of advanced/metastatic renal cell carcinoma (MRCC) in adults.</w:t>
      </w:r>
    </w:p>
    <w:p w:rsidR="00346252" w:rsidRDefault="00346252" w:rsidP="00092A0A">
      <w:pPr>
        <w:pStyle w:val="BodyText"/>
        <w:spacing w:line="252" w:lineRule="exact"/>
        <w:ind w:left="238" w:right="20"/>
        <w:jc w:val="both"/>
      </w:pPr>
    </w:p>
    <w:p w:rsidR="00457196" w:rsidRDefault="00346252" w:rsidP="00092A0A">
      <w:pPr>
        <w:pStyle w:val="BodyText"/>
        <w:spacing w:line="252" w:lineRule="exact"/>
        <w:ind w:left="238" w:right="20"/>
        <w:jc w:val="both"/>
      </w:pPr>
      <w:r>
        <w:rPr>
          <w:u w:val="single"/>
        </w:rPr>
        <w:t>Pancreatic neuroendocrine tumours (pNET)</w:t>
      </w:r>
    </w:p>
    <w:p w:rsidR="00457196" w:rsidRDefault="00FB4591" w:rsidP="00092A0A">
      <w:pPr>
        <w:pStyle w:val="BodyText"/>
        <w:spacing w:before="2"/>
        <w:ind w:left="238" w:right="20"/>
        <w:jc w:val="both"/>
      </w:pPr>
      <w:r>
        <w:t>&lt;Product name&gt;</w:t>
      </w:r>
      <w:r w:rsidR="00346252">
        <w:t xml:space="preserve"> is indicated for the treatment of unresectable or metastatic, well-differentiated pancreatic neuroendocrine tumours (pNET) with disease progression in adults.</w:t>
      </w:r>
    </w:p>
    <w:p w:rsidR="00B95977" w:rsidRDefault="00B95977" w:rsidP="00092A0A">
      <w:pPr>
        <w:pStyle w:val="BodyText"/>
        <w:spacing w:before="2"/>
        <w:ind w:left="238" w:right="20"/>
        <w:jc w:val="both"/>
      </w:pPr>
    </w:p>
    <w:p w:rsidR="00457196" w:rsidRDefault="00457196" w:rsidP="00092A0A">
      <w:pPr>
        <w:pStyle w:val="BodyText"/>
        <w:spacing w:before="11"/>
        <w:ind w:right="20"/>
        <w:jc w:val="both"/>
        <w:rPr>
          <w:sz w:val="21"/>
        </w:rPr>
      </w:pPr>
    </w:p>
    <w:p w:rsidR="00457196" w:rsidRDefault="00346252" w:rsidP="00092A0A">
      <w:pPr>
        <w:pStyle w:val="Heading1"/>
        <w:numPr>
          <w:ilvl w:val="1"/>
          <w:numId w:val="13"/>
        </w:numPr>
        <w:tabs>
          <w:tab w:val="left" w:pos="809"/>
          <w:tab w:val="left" w:pos="811"/>
        </w:tabs>
        <w:spacing w:before="0"/>
        <w:ind w:left="810" w:right="20" w:hanging="573"/>
        <w:jc w:val="both"/>
      </w:pPr>
      <w:r>
        <w:t>Posology and method of</w:t>
      </w:r>
      <w:r>
        <w:rPr>
          <w:spacing w:val="-4"/>
        </w:rPr>
        <w:t xml:space="preserve"> </w:t>
      </w:r>
      <w:r>
        <w:t>administration</w:t>
      </w:r>
    </w:p>
    <w:p w:rsidR="00457196" w:rsidRDefault="00457196" w:rsidP="00092A0A">
      <w:pPr>
        <w:pStyle w:val="BodyText"/>
        <w:ind w:right="20"/>
        <w:jc w:val="both"/>
        <w:rPr>
          <w:b/>
        </w:rPr>
      </w:pPr>
    </w:p>
    <w:p w:rsidR="00457196" w:rsidRDefault="00346252" w:rsidP="00092A0A">
      <w:pPr>
        <w:pStyle w:val="BodyText"/>
        <w:spacing w:before="1"/>
        <w:ind w:left="238" w:right="20"/>
        <w:jc w:val="both"/>
      </w:pPr>
      <w:r>
        <w:t xml:space="preserve">Therapy with </w:t>
      </w:r>
      <w:r w:rsidR="00FB4591">
        <w:t>&lt;Product name&gt;</w:t>
      </w:r>
      <w:r>
        <w:t xml:space="preserve"> should be initiated by a physician experienced in the administration of anticancer agents.</w:t>
      </w:r>
    </w:p>
    <w:p w:rsidR="00D80E38" w:rsidRDefault="00D80E38" w:rsidP="00092A0A">
      <w:pPr>
        <w:pStyle w:val="BodyText"/>
        <w:spacing w:before="10"/>
        <w:ind w:right="20"/>
        <w:jc w:val="both"/>
        <w:rPr>
          <w:sz w:val="21"/>
        </w:rPr>
      </w:pPr>
    </w:p>
    <w:p w:rsidR="00457196" w:rsidRDefault="00346252" w:rsidP="00092A0A">
      <w:pPr>
        <w:pStyle w:val="BodyText"/>
        <w:spacing w:before="1"/>
        <w:ind w:left="238" w:right="20"/>
        <w:jc w:val="both"/>
      </w:pPr>
      <w:r>
        <w:rPr>
          <w:u w:val="single"/>
        </w:rPr>
        <w:t>Posology</w:t>
      </w:r>
    </w:p>
    <w:p w:rsidR="00457196" w:rsidRDefault="00346252" w:rsidP="00092A0A">
      <w:pPr>
        <w:pStyle w:val="BodyText"/>
        <w:spacing w:before="1" w:line="252" w:lineRule="exact"/>
        <w:ind w:left="238" w:right="20"/>
        <w:jc w:val="both"/>
      </w:pPr>
      <w:r>
        <w:t xml:space="preserve">For GIST and MRCC, the recommended dose of </w:t>
      </w:r>
      <w:r w:rsidR="00FB4591">
        <w:t>&lt;Product name&gt;</w:t>
      </w:r>
      <w:r>
        <w:t xml:space="preserve"> is 50 mg taken orally once daily, for</w:t>
      </w:r>
    </w:p>
    <w:p w:rsidR="00457196" w:rsidRDefault="00346252" w:rsidP="00092A0A">
      <w:pPr>
        <w:pStyle w:val="BodyText"/>
        <w:ind w:left="238" w:right="20"/>
        <w:jc w:val="both"/>
      </w:pPr>
      <w:r>
        <w:t>4 consecutive weeks, followed by a 2-week rest period (Schedule 4/2) to comprise a complete cycle of 6 weeks.</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rsidRPr="00785D4C">
        <w:t xml:space="preserve">For pNET, the recommended dose of </w:t>
      </w:r>
      <w:r w:rsidR="00FB4591" w:rsidRPr="00785D4C">
        <w:t>&lt;Product name&gt;</w:t>
      </w:r>
      <w:r w:rsidRPr="00785D4C">
        <w:t xml:space="preserve"> is 37.5 mg taken orally once daily without a scheduled rest period.</w:t>
      </w:r>
    </w:p>
    <w:p w:rsidR="00457196" w:rsidRDefault="00457196" w:rsidP="00092A0A">
      <w:pPr>
        <w:pStyle w:val="BodyText"/>
        <w:spacing w:before="11"/>
        <w:ind w:right="20"/>
        <w:jc w:val="both"/>
        <w:rPr>
          <w:sz w:val="21"/>
        </w:rPr>
      </w:pPr>
    </w:p>
    <w:p w:rsidR="00457196" w:rsidRDefault="00346252" w:rsidP="00092A0A">
      <w:pPr>
        <w:ind w:left="238" w:right="20"/>
        <w:jc w:val="both"/>
        <w:rPr>
          <w:i/>
        </w:rPr>
      </w:pPr>
      <w:r>
        <w:rPr>
          <w:i/>
          <w:u w:val="single"/>
        </w:rPr>
        <w:t>Dose adjustments</w:t>
      </w:r>
    </w:p>
    <w:p w:rsidR="00457196" w:rsidRDefault="00457196" w:rsidP="00092A0A">
      <w:pPr>
        <w:pStyle w:val="BodyText"/>
        <w:spacing w:before="1"/>
        <w:ind w:right="20"/>
        <w:jc w:val="both"/>
        <w:rPr>
          <w:i/>
          <w:sz w:val="14"/>
        </w:rPr>
      </w:pPr>
    </w:p>
    <w:p w:rsidR="00457196" w:rsidRDefault="00346252" w:rsidP="00092A0A">
      <w:pPr>
        <w:spacing w:before="91"/>
        <w:ind w:left="238" w:right="20"/>
        <w:jc w:val="both"/>
        <w:rPr>
          <w:i/>
        </w:rPr>
      </w:pPr>
      <w:r>
        <w:rPr>
          <w:i/>
        </w:rPr>
        <w:t>Safety and tolerability</w:t>
      </w:r>
    </w:p>
    <w:p w:rsidR="00457196" w:rsidRDefault="00346252" w:rsidP="00092A0A">
      <w:pPr>
        <w:pStyle w:val="BodyText"/>
        <w:spacing w:before="2"/>
        <w:ind w:left="238" w:right="20"/>
        <w:jc w:val="both"/>
      </w:pPr>
      <w:r>
        <w:t>For GIST and MRCC, dose modifications in 12.5 mg steps may be applied based on individual safety and tolerability. Daily dose should not exceed 75 mg nor be decreased below 25 mg.</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For pNET, dose modification in 12.5 mg steps may be applied based on individual safety and tolerability. The maximum dose administered in the Phase 3 pNET study was 50 mg daily.</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Dose interruptions may be required based on individual safety and tolerability.</w:t>
      </w:r>
    </w:p>
    <w:p w:rsidR="00457196" w:rsidRDefault="00457196" w:rsidP="00092A0A">
      <w:pPr>
        <w:pStyle w:val="BodyText"/>
        <w:ind w:right="20"/>
        <w:jc w:val="both"/>
      </w:pPr>
    </w:p>
    <w:p w:rsidR="00457196" w:rsidRDefault="00346252" w:rsidP="00092A0A">
      <w:pPr>
        <w:spacing w:before="1" w:line="252" w:lineRule="exact"/>
        <w:ind w:left="238" w:right="20"/>
        <w:jc w:val="both"/>
        <w:rPr>
          <w:i/>
        </w:rPr>
      </w:pPr>
      <w:r>
        <w:rPr>
          <w:i/>
        </w:rPr>
        <w:t>CYP3A4 inhibitors/inducers</w:t>
      </w:r>
    </w:p>
    <w:p w:rsidR="00457196" w:rsidRDefault="00346252" w:rsidP="00092A0A">
      <w:pPr>
        <w:pStyle w:val="BodyText"/>
        <w:ind w:left="238" w:right="20"/>
        <w:jc w:val="both"/>
      </w:pPr>
      <w:r>
        <w:t>Co-administration of sunitinib with potent CYP3A4 inducers, such as rifampicin, should be avoided (see sections 4.4 and 4.5). If this is not possible, the dose of sunitinib may need to be increased in</w:t>
      </w:r>
      <w:r w:rsidR="00592E2B">
        <w:t xml:space="preserve"> 12.5 mg steps </w:t>
      </w:r>
      <w:r>
        <w:t>(up to 87.5 mg per day for GIST and MRCC or 62.5 mg per day for pNET) based on careful monitoring of tolerability.</w:t>
      </w:r>
    </w:p>
    <w:p w:rsidR="00457196" w:rsidRDefault="00457196" w:rsidP="00092A0A">
      <w:pPr>
        <w:pStyle w:val="BodyText"/>
        <w:spacing w:before="10"/>
        <w:ind w:right="20"/>
        <w:jc w:val="both"/>
        <w:rPr>
          <w:sz w:val="21"/>
        </w:rPr>
      </w:pPr>
    </w:p>
    <w:p w:rsidR="00457196" w:rsidRDefault="00346252" w:rsidP="00092A0A">
      <w:pPr>
        <w:pStyle w:val="BodyText"/>
        <w:spacing w:before="1"/>
        <w:ind w:left="238" w:right="20"/>
        <w:jc w:val="both"/>
      </w:pPr>
      <w:r>
        <w:t>Co-administration of sunitinib with potent CYP3A4 inhibitors, such as ketoconazole, should be avoided (see sections 4.4 and 4.5). If this is not possible, the dose of sunitinib may need to be reduced to a minimum of 37.5 mg daily for GIST and MRCC or 25 mg daily for pNET, based on careful monitoring of tolerability.</w:t>
      </w:r>
    </w:p>
    <w:p w:rsidR="00457196" w:rsidRDefault="00457196" w:rsidP="00092A0A">
      <w:pPr>
        <w:pStyle w:val="BodyText"/>
        <w:ind w:right="20"/>
        <w:jc w:val="both"/>
      </w:pPr>
    </w:p>
    <w:p w:rsidR="00457196" w:rsidRDefault="00346252" w:rsidP="00092A0A">
      <w:pPr>
        <w:pStyle w:val="BodyText"/>
        <w:ind w:left="238" w:right="20"/>
        <w:jc w:val="both"/>
      </w:pPr>
      <w:r>
        <w:t>Selection of an alternative concomitant medicinal product with no or minimal potential to induce or inhibit CYP3A4 should be considered.</w:t>
      </w:r>
    </w:p>
    <w:p w:rsidR="00457196" w:rsidRDefault="00457196" w:rsidP="00092A0A">
      <w:pPr>
        <w:pStyle w:val="BodyText"/>
        <w:spacing w:before="2"/>
        <w:ind w:right="20"/>
        <w:jc w:val="both"/>
      </w:pPr>
    </w:p>
    <w:p w:rsidR="00457196" w:rsidRDefault="00346252" w:rsidP="00092A0A">
      <w:pPr>
        <w:ind w:left="238" w:right="20"/>
        <w:jc w:val="both"/>
        <w:rPr>
          <w:i/>
        </w:rPr>
      </w:pPr>
      <w:r>
        <w:rPr>
          <w:i/>
          <w:u w:val="single"/>
        </w:rPr>
        <w:t>Special populations</w:t>
      </w:r>
    </w:p>
    <w:p w:rsidR="00457196" w:rsidRDefault="00457196" w:rsidP="00092A0A">
      <w:pPr>
        <w:pStyle w:val="BodyText"/>
        <w:spacing w:before="10"/>
        <w:ind w:right="20"/>
        <w:jc w:val="both"/>
        <w:rPr>
          <w:i/>
          <w:sz w:val="13"/>
        </w:rPr>
      </w:pPr>
    </w:p>
    <w:p w:rsidR="00457196" w:rsidRDefault="00346252" w:rsidP="00092A0A">
      <w:pPr>
        <w:spacing w:before="91"/>
        <w:ind w:left="238" w:right="20"/>
        <w:jc w:val="both"/>
        <w:rPr>
          <w:i/>
        </w:rPr>
      </w:pPr>
      <w:r>
        <w:rPr>
          <w:i/>
        </w:rPr>
        <w:t>Paediatric population</w:t>
      </w:r>
    </w:p>
    <w:p w:rsidR="00457196" w:rsidRDefault="00346252" w:rsidP="00092A0A">
      <w:pPr>
        <w:pStyle w:val="BodyText"/>
        <w:spacing w:before="2"/>
        <w:ind w:left="238" w:right="20"/>
        <w:jc w:val="both"/>
      </w:pPr>
      <w:r>
        <w:t xml:space="preserve">The safety and efficacy of </w:t>
      </w:r>
      <w:r w:rsidR="00FB4591">
        <w:t>&lt;Product name&gt;</w:t>
      </w:r>
      <w:r>
        <w:t xml:space="preserve"> in patients below 18 years of age have not been established.</w:t>
      </w:r>
    </w:p>
    <w:p w:rsidR="00457196" w:rsidRDefault="00457196" w:rsidP="00092A0A">
      <w:pPr>
        <w:pStyle w:val="BodyText"/>
        <w:ind w:right="20"/>
        <w:jc w:val="both"/>
      </w:pPr>
    </w:p>
    <w:p w:rsidR="00457196" w:rsidRDefault="00346252" w:rsidP="00092A0A">
      <w:pPr>
        <w:pStyle w:val="BodyText"/>
        <w:ind w:left="238" w:right="20"/>
        <w:jc w:val="both"/>
      </w:pPr>
      <w:r>
        <w:t>Currently available data are described in sections 4.8, 5.1, and 5.2 but no recommendation on a posology can be made.</w:t>
      </w:r>
    </w:p>
    <w:p w:rsidR="00457196" w:rsidRDefault="00457196" w:rsidP="00092A0A">
      <w:pPr>
        <w:pStyle w:val="BodyText"/>
        <w:ind w:right="20"/>
        <w:jc w:val="both"/>
      </w:pPr>
    </w:p>
    <w:p w:rsidR="00457196" w:rsidRDefault="00346252" w:rsidP="00092A0A">
      <w:pPr>
        <w:spacing w:line="252" w:lineRule="exact"/>
        <w:ind w:left="238" w:right="20"/>
        <w:jc w:val="both"/>
        <w:rPr>
          <w:i/>
        </w:rPr>
      </w:pPr>
      <w:r>
        <w:rPr>
          <w:i/>
        </w:rPr>
        <w:t>Elderly</w:t>
      </w:r>
    </w:p>
    <w:p w:rsidR="00346252" w:rsidRDefault="00346252" w:rsidP="00092A0A">
      <w:pPr>
        <w:pStyle w:val="BodyText"/>
        <w:ind w:left="238" w:right="20"/>
        <w:jc w:val="both"/>
      </w:pPr>
      <w:r>
        <w:t>Approximately one-third of the patients in clinical studies who received sunitinib were 65 years of age or over. No significant differences in safety or efficacy were observed between younger and older patients.</w:t>
      </w:r>
    </w:p>
    <w:p w:rsidR="00B95977" w:rsidRPr="00B95977" w:rsidRDefault="00B95977" w:rsidP="00092A0A">
      <w:pPr>
        <w:pStyle w:val="BodyText"/>
        <w:ind w:left="238" w:right="20"/>
        <w:jc w:val="both"/>
      </w:pPr>
    </w:p>
    <w:p w:rsidR="00457196" w:rsidRDefault="00346252" w:rsidP="00092A0A">
      <w:pPr>
        <w:spacing w:before="70"/>
        <w:ind w:left="238" w:right="20"/>
        <w:jc w:val="both"/>
        <w:rPr>
          <w:i/>
        </w:rPr>
      </w:pPr>
      <w:r>
        <w:rPr>
          <w:i/>
        </w:rPr>
        <w:t>Hepatic impairment</w:t>
      </w:r>
    </w:p>
    <w:p w:rsidR="00457196" w:rsidRDefault="00346252" w:rsidP="00092A0A">
      <w:pPr>
        <w:pStyle w:val="BodyText"/>
        <w:spacing w:before="2"/>
        <w:ind w:left="238" w:right="20"/>
        <w:jc w:val="both"/>
      </w:pPr>
      <w:r>
        <w:t>No starting dose adjustment is recommended when administering sunitinib to patients with mild or moderate (Child-Pugh class A and B) hepatic impairment. Sunitinib has not been studied in subjects with severe (Child-Pugh class C) hepatic impairment and therefore its use in patients with severe hepatic impairment cannot be recommended (see section 5.2).</w:t>
      </w:r>
    </w:p>
    <w:p w:rsidR="00B95977" w:rsidRDefault="00B95977" w:rsidP="00092A0A">
      <w:pPr>
        <w:pStyle w:val="BodyText"/>
        <w:spacing w:before="2"/>
        <w:ind w:left="238" w:right="20"/>
        <w:jc w:val="both"/>
      </w:pPr>
    </w:p>
    <w:p w:rsidR="00457196" w:rsidRDefault="00346252" w:rsidP="00092A0A">
      <w:pPr>
        <w:spacing w:line="252" w:lineRule="exact"/>
        <w:ind w:left="238" w:right="20"/>
        <w:jc w:val="both"/>
        <w:rPr>
          <w:i/>
        </w:rPr>
      </w:pPr>
      <w:r>
        <w:rPr>
          <w:i/>
        </w:rPr>
        <w:t>Renal impairment</w:t>
      </w:r>
    </w:p>
    <w:p w:rsidR="00457196" w:rsidRDefault="00346252" w:rsidP="00092A0A">
      <w:pPr>
        <w:pStyle w:val="BodyText"/>
        <w:ind w:left="238" w:right="20"/>
        <w:jc w:val="both"/>
      </w:pPr>
      <w:r>
        <w:t>No starting dose adjustment is required when administering sunitinib to patients with renal impairment (mild-severe) or with end-stage renal disease (ESRD) on haemodialysis. Subsequent dose adjustments should be based on individual safety and tolerability (see section 5.2).</w:t>
      </w:r>
    </w:p>
    <w:p w:rsidR="00D80E38" w:rsidRDefault="00D80E38" w:rsidP="00092A0A">
      <w:pPr>
        <w:pStyle w:val="BodyText"/>
        <w:ind w:right="20"/>
        <w:jc w:val="both"/>
      </w:pPr>
    </w:p>
    <w:p w:rsidR="00457196" w:rsidRDefault="00346252" w:rsidP="00092A0A">
      <w:pPr>
        <w:pStyle w:val="BodyText"/>
        <w:spacing w:line="252" w:lineRule="exact"/>
        <w:ind w:left="238" w:right="20"/>
        <w:jc w:val="both"/>
      </w:pPr>
      <w:r>
        <w:rPr>
          <w:u w:val="single"/>
        </w:rPr>
        <w:t>Method of administration</w:t>
      </w:r>
    </w:p>
    <w:p w:rsidR="00457196" w:rsidRDefault="00FB4591" w:rsidP="00092A0A">
      <w:pPr>
        <w:pStyle w:val="BodyText"/>
        <w:spacing w:line="252" w:lineRule="exact"/>
        <w:ind w:left="238" w:right="20"/>
        <w:jc w:val="both"/>
      </w:pPr>
      <w:r>
        <w:t>&lt;Product name&gt;</w:t>
      </w:r>
      <w:r w:rsidR="00346252">
        <w:t xml:space="preserve"> is for oral administration. It may be taken with or without food.</w:t>
      </w:r>
    </w:p>
    <w:p w:rsidR="00457196" w:rsidRDefault="00457196" w:rsidP="00092A0A">
      <w:pPr>
        <w:pStyle w:val="BodyText"/>
        <w:spacing w:before="1"/>
        <w:ind w:right="20"/>
        <w:jc w:val="both"/>
      </w:pPr>
    </w:p>
    <w:p w:rsidR="00457196" w:rsidRDefault="00346252" w:rsidP="00092A0A">
      <w:pPr>
        <w:pStyle w:val="BodyText"/>
        <w:ind w:left="238" w:right="20"/>
        <w:jc w:val="both"/>
      </w:pPr>
      <w:r>
        <w:t>If a dose is missed, the patient should not be given an additional dose. The patient should take the usual prescribed dose on the following day.</w:t>
      </w:r>
    </w:p>
    <w:p w:rsidR="00457196" w:rsidRDefault="00457196" w:rsidP="00092A0A">
      <w:pPr>
        <w:pStyle w:val="BodyText"/>
        <w:ind w:right="20"/>
        <w:jc w:val="both"/>
      </w:pPr>
    </w:p>
    <w:p w:rsidR="00457196" w:rsidRDefault="00346252" w:rsidP="00092A0A">
      <w:pPr>
        <w:pStyle w:val="Heading1"/>
        <w:numPr>
          <w:ilvl w:val="1"/>
          <w:numId w:val="12"/>
        </w:numPr>
        <w:tabs>
          <w:tab w:val="left" w:pos="805"/>
          <w:tab w:val="left" w:pos="806"/>
        </w:tabs>
        <w:spacing w:before="0"/>
        <w:ind w:right="20" w:hanging="568"/>
        <w:jc w:val="both"/>
      </w:pPr>
      <w:r>
        <w:t>Contraindications</w:t>
      </w:r>
    </w:p>
    <w:p w:rsidR="00457196" w:rsidRDefault="00457196" w:rsidP="00092A0A">
      <w:pPr>
        <w:pStyle w:val="BodyText"/>
        <w:ind w:right="20"/>
        <w:jc w:val="both"/>
        <w:rPr>
          <w:b/>
        </w:rPr>
      </w:pPr>
    </w:p>
    <w:p w:rsidR="00457196" w:rsidRDefault="00346252" w:rsidP="00092A0A">
      <w:pPr>
        <w:pStyle w:val="BodyText"/>
        <w:ind w:left="238" w:right="20"/>
        <w:jc w:val="both"/>
      </w:pPr>
      <w:r>
        <w:t>Hypersensitivity to the active substance or to any of the excipients listed in section 6.1.</w:t>
      </w:r>
    </w:p>
    <w:p w:rsidR="00457196" w:rsidRDefault="00457196" w:rsidP="00092A0A">
      <w:pPr>
        <w:pStyle w:val="BodyText"/>
        <w:spacing w:before="1"/>
        <w:ind w:right="20"/>
        <w:jc w:val="both"/>
      </w:pPr>
    </w:p>
    <w:p w:rsidR="00457196" w:rsidRDefault="00346252" w:rsidP="00092A0A">
      <w:pPr>
        <w:pStyle w:val="Heading1"/>
        <w:numPr>
          <w:ilvl w:val="1"/>
          <w:numId w:val="12"/>
        </w:numPr>
        <w:tabs>
          <w:tab w:val="left" w:pos="800"/>
          <w:tab w:val="left" w:pos="801"/>
        </w:tabs>
        <w:spacing w:before="0"/>
        <w:ind w:left="800" w:right="20" w:hanging="563"/>
        <w:jc w:val="both"/>
      </w:pPr>
      <w:r>
        <w:t>Special warnings and precautions for</w:t>
      </w:r>
      <w:r>
        <w:rPr>
          <w:spacing w:val="-7"/>
        </w:rPr>
        <w:t xml:space="preserve"> </w:t>
      </w:r>
      <w:r>
        <w:t>use</w:t>
      </w:r>
    </w:p>
    <w:p w:rsidR="00457196" w:rsidRDefault="00457196" w:rsidP="00092A0A">
      <w:pPr>
        <w:pStyle w:val="BodyText"/>
        <w:ind w:right="20"/>
        <w:jc w:val="both"/>
        <w:rPr>
          <w:b/>
        </w:rPr>
      </w:pPr>
    </w:p>
    <w:p w:rsidR="00457196" w:rsidRDefault="00346252" w:rsidP="00092A0A">
      <w:pPr>
        <w:pStyle w:val="BodyText"/>
        <w:ind w:left="238" w:right="20"/>
        <w:jc w:val="both"/>
      </w:pPr>
      <w:r>
        <w:t>Co-administration with potent CYP3A4 inducers should be avoided because it may decrease sunitinib plasma concentration (see sections 4.2 and 4.5).</w:t>
      </w:r>
    </w:p>
    <w:p w:rsidR="00457196" w:rsidRDefault="00457196" w:rsidP="00092A0A">
      <w:pPr>
        <w:pStyle w:val="BodyText"/>
        <w:ind w:right="20"/>
        <w:jc w:val="both"/>
      </w:pPr>
    </w:p>
    <w:p w:rsidR="00457196" w:rsidRDefault="00346252" w:rsidP="00092A0A">
      <w:pPr>
        <w:pStyle w:val="BodyText"/>
        <w:ind w:left="238" w:right="20"/>
        <w:jc w:val="both"/>
      </w:pPr>
      <w:r>
        <w:t>Co-administration with potent CYP3A4 inhibitors should be avoided because it may increase the plasma concentration of sunitinib (see sections 4.2 and 4.5).</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rPr>
          <w:u w:val="single"/>
        </w:rPr>
        <w:t>Skin and tissue disorders</w:t>
      </w:r>
    </w:p>
    <w:p w:rsidR="00457196" w:rsidRDefault="00346252" w:rsidP="00092A0A">
      <w:pPr>
        <w:pStyle w:val="BodyText"/>
        <w:spacing w:before="2"/>
        <w:ind w:left="238" w:right="20"/>
        <w:jc w:val="both"/>
      </w:pPr>
      <w:r>
        <w:t>Patients should be advised that depigmentation of the hair or skin may occur during treatment with sunitinib. Other possible dermatological effects may include dryness, thickness or cracking of the skin, blisters, or rash on the palms of the hands and soles of the feet.</w:t>
      </w:r>
    </w:p>
    <w:p w:rsidR="00457196" w:rsidRDefault="00457196" w:rsidP="00092A0A">
      <w:pPr>
        <w:pStyle w:val="BodyText"/>
        <w:spacing w:before="9"/>
        <w:ind w:right="20"/>
        <w:jc w:val="both"/>
        <w:rPr>
          <w:sz w:val="21"/>
        </w:rPr>
      </w:pPr>
    </w:p>
    <w:p w:rsidR="00457196" w:rsidRDefault="00346252" w:rsidP="00092A0A">
      <w:pPr>
        <w:pStyle w:val="BodyText"/>
        <w:spacing w:before="1"/>
        <w:ind w:left="238" w:right="20"/>
        <w:jc w:val="both"/>
      </w:pPr>
      <w:r>
        <w:t>The above reactions were not cumulative, were typically reversible, and generally did not result in treatment discontinuation. Cases of pyoderma gangrenosum, generally reversible after discontinuation of sunitinib, have been reported. Severe cutaneous reactions have been reported, including cases of erythema multiforme (EM), cases suggestive of Stevens-Johnson syndrome (SJS) and toxic epidermal necrolysis (TEN), some of which were fatal. If signs or symptoms of SJS, TEN, or EM</w:t>
      </w:r>
      <w:r w:rsidR="00092A0A">
        <w:t xml:space="preserve"> </w:t>
      </w:r>
      <w:r>
        <w:t>(e.g., progressive skin rash often with blisters or mucosal lesions) are present, sunitinib treatment should be discontinued. If the diagnosis of SJS or TEN is confirmed, treatment must not be restarted. In some cases of suspected EM, patients tolerated the reintroduction of sunitinib therapy at a lower dose after resolution of the reaction; some of these patients also received concomitant treatment with corticosteroids or antihistamines (see section 4.8).</w:t>
      </w:r>
    </w:p>
    <w:p w:rsidR="00457196" w:rsidRDefault="00457196" w:rsidP="00092A0A">
      <w:pPr>
        <w:pStyle w:val="BodyText"/>
        <w:spacing w:before="1"/>
        <w:ind w:right="20"/>
        <w:jc w:val="both"/>
      </w:pPr>
    </w:p>
    <w:p w:rsidR="00457196" w:rsidRDefault="00346252" w:rsidP="00092A0A">
      <w:pPr>
        <w:pStyle w:val="BodyText"/>
        <w:spacing w:line="252" w:lineRule="exact"/>
        <w:ind w:left="238" w:right="20"/>
        <w:jc w:val="both"/>
      </w:pPr>
      <w:r>
        <w:rPr>
          <w:u w:val="single"/>
        </w:rPr>
        <w:t>Haemorrhage and tumour bleeding</w:t>
      </w:r>
    </w:p>
    <w:p w:rsidR="00457196" w:rsidRDefault="00346252" w:rsidP="00092A0A">
      <w:pPr>
        <w:pStyle w:val="BodyText"/>
        <w:ind w:left="238" w:right="20"/>
        <w:jc w:val="both"/>
      </w:pPr>
      <w:r>
        <w:t>Haemorrhagic events, some of which were fatal, reported in clinical studies with sunitinib and during postmarketing surveillance have included gastrointestinal, respiratory, urinary tract, and brain haemorrhages (see section 4.8).</w:t>
      </w:r>
    </w:p>
    <w:p w:rsidR="00457196" w:rsidRDefault="00457196" w:rsidP="00092A0A">
      <w:pPr>
        <w:pStyle w:val="BodyText"/>
        <w:spacing w:before="1"/>
        <w:ind w:right="20"/>
        <w:jc w:val="both"/>
      </w:pPr>
    </w:p>
    <w:p w:rsidR="00457196" w:rsidRDefault="00346252" w:rsidP="00092A0A">
      <w:pPr>
        <w:pStyle w:val="BodyText"/>
        <w:ind w:left="238" w:right="20"/>
        <w:jc w:val="both"/>
      </w:pPr>
      <w:r>
        <w:t>Routine assessment of bleeding events should include complete blood counts and physical examination.</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Epistaxis was the most common haemorrhagic adverse reaction, having been reported for approximately half of the patients with solid tumours who experienced haemorrhagic events. Some of the epistaxis events were severe, but very rarely fatal.</w:t>
      </w:r>
    </w:p>
    <w:p w:rsidR="00457196" w:rsidRDefault="00346252" w:rsidP="00092A0A">
      <w:pPr>
        <w:pStyle w:val="BodyText"/>
        <w:spacing w:before="70"/>
        <w:ind w:left="238" w:right="20"/>
        <w:jc w:val="both"/>
      </w:pPr>
      <w:r>
        <w:t>Events of tumour haemorrhage, sometimes associated with tumour necrosis, have been reported; some of these haemorrhagic events were fatal.</w:t>
      </w:r>
    </w:p>
    <w:p w:rsidR="00457196" w:rsidRDefault="00457196" w:rsidP="00092A0A">
      <w:pPr>
        <w:pStyle w:val="BodyText"/>
        <w:spacing w:before="2"/>
        <w:ind w:right="20"/>
        <w:jc w:val="both"/>
      </w:pPr>
    </w:p>
    <w:p w:rsidR="00092A0A" w:rsidRDefault="00346252" w:rsidP="00092A0A">
      <w:pPr>
        <w:pStyle w:val="BodyText"/>
        <w:spacing w:before="1"/>
        <w:ind w:left="238" w:right="20"/>
        <w:jc w:val="both"/>
      </w:pPr>
      <w:r>
        <w:t>Tumour haemorrhage may occur suddenly, and in the case of pulmonary tumours, may present as severe and life-threatening haemoptysis or pulmonary haemorrhage. Cases of pulmonary haemorrhage, some with a fatal outcome, have been observed in clinical trials and have been reported in postmarketing experience in patients treated with sunitinib for MRCC, GIST, and lung cancer.</w:t>
      </w:r>
      <w:r w:rsidR="00092A0A">
        <w:t xml:space="preserve"> </w:t>
      </w:r>
    </w:p>
    <w:p w:rsidR="00457196" w:rsidRDefault="00FB4591" w:rsidP="00092A0A">
      <w:pPr>
        <w:pStyle w:val="BodyText"/>
        <w:spacing w:before="1"/>
        <w:ind w:left="238" w:right="20"/>
        <w:jc w:val="both"/>
      </w:pPr>
      <w:r>
        <w:t>&lt;Product name&gt;</w:t>
      </w:r>
      <w:r w:rsidR="00346252">
        <w:t xml:space="preserve"> is not approved for use in patients with lung cancer.</w:t>
      </w:r>
    </w:p>
    <w:p w:rsidR="00457196" w:rsidRDefault="00457196" w:rsidP="00092A0A">
      <w:pPr>
        <w:pStyle w:val="BodyText"/>
        <w:ind w:right="20"/>
        <w:jc w:val="both"/>
      </w:pPr>
    </w:p>
    <w:p w:rsidR="00457196" w:rsidRDefault="00346252" w:rsidP="00092A0A">
      <w:pPr>
        <w:pStyle w:val="BodyText"/>
        <w:ind w:left="238" w:right="20"/>
        <w:jc w:val="both"/>
      </w:pPr>
      <w:r>
        <w:t>Patients receiving concomitant treatment with anticoagulants (e.g., warfarin, acenocoumarole) may be periodically monitored by complete blood counts (platelets), coagulation factors (PT/INR), and physical examination.</w:t>
      </w:r>
    </w:p>
    <w:p w:rsidR="00457196" w:rsidRDefault="00457196" w:rsidP="00092A0A">
      <w:pPr>
        <w:pStyle w:val="BodyText"/>
        <w:spacing w:before="1"/>
        <w:ind w:right="20"/>
        <w:jc w:val="both"/>
      </w:pPr>
    </w:p>
    <w:p w:rsidR="00457196" w:rsidRDefault="00346252" w:rsidP="00092A0A">
      <w:pPr>
        <w:pStyle w:val="BodyText"/>
        <w:spacing w:before="1" w:line="252" w:lineRule="exact"/>
        <w:ind w:left="238" w:right="20"/>
        <w:jc w:val="both"/>
      </w:pPr>
      <w:r>
        <w:rPr>
          <w:u w:val="single"/>
        </w:rPr>
        <w:t>Gastrointestinal disorders</w:t>
      </w:r>
    </w:p>
    <w:p w:rsidR="00457196" w:rsidRDefault="00346252" w:rsidP="00092A0A">
      <w:pPr>
        <w:pStyle w:val="BodyText"/>
        <w:ind w:left="238" w:right="20"/>
        <w:jc w:val="both"/>
      </w:pPr>
      <w:r>
        <w:t>Diarrhoea, nausea/vomiting, abdominal pain, dyspepsia, and stomatitis/oral pain were the most commonly reported gastrointestinal adverse reactions; oesophagitis events have been also reported (see section 4.8).</w:t>
      </w:r>
    </w:p>
    <w:p w:rsidR="00457196" w:rsidRDefault="00457196" w:rsidP="00092A0A">
      <w:pPr>
        <w:pStyle w:val="BodyText"/>
        <w:ind w:right="20"/>
        <w:jc w:val="both"/>
      </w:pPr>
    </w:p>
    <w:p w:rsidR="00457196" w:rsidRDefault="00346252" w:rsidP="00092A0A">
      <w:pPr>
        <w:pStyle w:val="BodyText"/>
        <w:ind w:left="238" w:right="20"/>
        <w:jc w:val="both"/>
      </w:pPr>
      <w:r>
        <w:t>Supportive care for gastrointestinal adverse reactions requiring treatment may include medicinal products with antiemetic, antidiarrhoeal, or antacid properties.</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Serious, sometimes fatal gastrointestinal complications including ga</w:t>
      </w:r>
      <w:r w:rsidR="006B68E6">
        <w:t xml:space="preserve">strointestinal perforation were </w:t>
      </w:r>
      <w:r>
        <w:t>reported in patients with intra-abdominal malignancies treated with sunitinib.</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rPr>
          <w:u w:val="single"/>
        </w:rPr>
        <w:t>Hypertension</w:t>
      </w:r>
    </w:p>
    <w:p w:rsidR="00457196" w:rsidRDefault="00346252" w:rsidP="00092A0A">
      <w:pPr>
        <w:pStyle w:val="BodyText"/>
        <w:spacing w:before="2" w:line="252" w:lineRule="exact"/>
        <w:ind w:left="238" w:right="20"/>
        <w:jc w:val="both"/>
        <w:rPr>
          <w:i/>
        </w:rPr>
      </w:pPr>
      <w:r>
        <w:t>Hypertension has been reported in association with sunitinib, including severe hypertension</w:t>
      </w:r>
      <w:r w:rsidR="00092A0A">
        <w:t xml:space="preserve"> </w:t>
      </w:r>
      <w:r>
        <w:t>(&gt;</w:t>
      </w:r>
      <w:r w:rsidR="00092A0A">
        <w:t xml:space="preserve"> </w:t>
      </w:r>
      <w:r>
        <w:t>200 mmHg systolic or 110 mmHg diastolic). Patients should be screened for hypertension and controlled as appropriate</w:t>
      </w:r>
      <w:r>
        <w:rPr>
          <w:i/>
        </w:rPr>
        <w:t xml:space="preserve">. </w:t>
      </w:r>
      <w:r>
        <w:t>Temporary suspension is recommended in patients with severe hypertension that is not controlled with medical management. Treatment may be resumed once hypertension is appropriately controlled (see section 4.8)</w:t>
      </w:r>
      <w:r>
        <w:rPr>
          <w:i/>
        </w:rPr>
        <w:t>.</w:t>
      </w:r>
    </w:p>
    <w:p w:rsidR="00457196" w:rsidRDefault="00457196" w:rsidP="00092A0A">
      <w:pPr>
        <w:pStyle w:val="BodyText"/>
        <w:spacing w:before="10"/>
        <w:ind w:right="20"/>
        <w:jc w:val="both"/>
        <w:rPr>
          <w:i/>
          <w:sz w:val="21"/>
        </w:rPr>
      </w:pPr>
    </w:p>
    <w:p w:rsidR="00457196" w:rsidRDefault="00346252" w:rsidP="00092A0A">
      <w:pPr>
        <w:pStyle w:val="BodyText"/>
        <w:spacing w:before="1"/>
        <w:ind w:left="238" w:right="20"/>
        <w:jc w:val="both"/>
      </w:pPr>
      <w:r>
        <w:rPr>
          <w:u w:val="single"/>
        </w:rPr>
        <w:t>Haematological disorders</w:t>
      </w:r>
    </w:p>
    <w:p w:rsidR="00457196" w:rsidRDefault="00346252" w:rsidP="00092A0A">
      <w:pPr>
        <w:pStyle w:val="BodyText"/>
        <w:spacing w:before="1"/>
        <w:ind w:left="238" w:right="20"/>
        <w:jc w:val="both"/>
      </w:pPr>
      <w:r>
        <w:t>Decreased absolute neutrophil counts and decreased platelet counts were reported in association with sunitinib (see section 4.8). The above events were not cumulative, were typically reversible, and generally did not result in treatment discontinuation. None of these events in the Phase 3 studies were fatal, but rare fatal haematological events, including haemorrhage associated with thrombocytopenia and neutropenic infections, have been reported during postmarketing surveillance.</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Anaemia has been observed to occur early as well as late during treatment with sunitinib.</w:t>
      </w:r>
    </w:p>
    <w:p w:rsidR="00457196" w:rsidRDefault="00457196" w:rsidP="00092A0A">
      <w:pPr>
        <w:pStyle w:val="BodyText"/>
        <w:ind w:right="20"/>
        <w:jc w:val="both"/>
      </w:pPr>
    </w:p>
    <w:p w:rsidR="00457196" w:rsidRDefault="00346252" w:rsidP="00092A0A">
      <w:pPr>
        <w:pStyle w:val="BodyText"/>
        <w:ind w:left="238" w:right="20"/>
        <w:jc w:val="both"/>
      </w:pPr>
      <w:r>
        <w:t>Complete blood counts should be performed at the beginning of each treatment cycle for patients receiving treatment with sunitinib (see section 4.8).</w:t>
      </w:r>
    </w:p>
    <w:p w:rsidR="00457196" w:rsidRDefault="00457196" w:rsidP="00092A0A">
      <w:pPr>
        <w:pStyle w:val="BodyText"/>
        <w:ind w:right="20"/>
        <w:jc w:val="both"/>
      </w:pPr>
    </w:p>
    <w:p w:rsidR="00457196" w:rsidRDefault="00346252" w:rsidP="00092A0A">
      <w:pPr>
        <w:pStyle w:val="BodyText"/>
        <w:spacing w:line="252" w:lineRule="exact"/>
        <w:ind w:left="238" w:right="20"/>
        <w:jc w:val="both"/>
      </w:pPr>
      <w:r>
        <w:rPr>
          <w:u w:val="single"/>
        </w:rPr>
        <w:t>Cardiac disorders</w:t>
      </w:r>
    </w:p>
    <w:p w:rsidR="00457196" w:rsidRDefault="00346252" w:rsidP="00092A0A">
      <w:pPr>
        <w:pStyle w:val="BodyText"/>
        <w:ind w:left="238" w:right="20"/>
        <w:jc w:val="both"/>
      </w:pPr>
      <w:r>
        <w:t>Cardiovascular events, including heart failure, cardiomyopathy, left ventricular ejection fraction decline to below the lower limit of normal, myocarditis, myocardial ischaemia and myocardial infarction, some of which were fatal, have been reported in patients treated with sunitinib. These data suggest that sunitinib increases the risk of cardiomyopathy. No specific additional risk factors for sunitinib-induced cardiomyopathy apart from the drug-specific effect have been identified in the treated patients. Use sunitinib with caution in patients who are at risk for, or who have a history of, these events (see section 4.8).</w:t>
      </w:r>
    </w:p>
    <w:p w:rsidR="00457196" w:rsidRDefault="00457196" w:rsidP="00092A0A">
      <w:pPr>
        <w:pStyle w:val="BodyText"/>
        <w:spacing w:before="1"/>
        <w:ind w:right="20"/>
        <w:jc w:val="both"/>
      </w:pPr>
    </w:p>
    <w:p w:rsidR="00457196" w:rsidRDefault="00346252" w:rsidP="00092A0A">
      <w:pPr>
        <w:pStyle w:val="BodyText"/>
        <w:spacing w:before="1"/>
        <w:ind w:left="238" w:right="20"/>
        <w:jc w:val="both"/>
      </w:pPr>
      <w:r>
        <w:t>Patients who presented with cardiac events within 12 months prior to sunitinib administration, such as myocardial infarction (including severe/unstable angina), coronary/peripheral artery bypass graft, symptomatic congestive heart failure (CHF), cerebrovascular accident or transient ischaemic attack, or pulmonary embolism were excluded from all sunitinib clinical studies. It is unknown whether patients with these concomitant conditions may be at a higher risk of developing sunitinib-related left ventricular dysfunction.</w:t>
      </w:r>
    </w:p>
    <w:p w:rsidR="00457196" w:rsidRDefault="00457196" w:rsidP="00092A0A">
      <w:pPr>
        <w:pStyle w:val="BodyText"/>
        <w:spacing w:before="2"/>
        <w:ind w:right="20"/>
        <w:jc w:val="both"/>
      </w:pPr>
    </w:p>
    <w:p w:rsidR="00457196" w:rsidRDefault="00346252" w:rsidP="00092A0A">
      <w:pPr>
        <w:pStyle w:val="BodyText"/>
        <w:spacing w:before="1"/>
        <w:ind w:left="238" w:right="20"/>
        <w:jc w:val="both"/>
      </w:pPr>
      <w:r>
        <w:t>Physicians are advised to weigh this risk against the potential benefits of sunitinib. Patients should be carefully monitored for clinical signs and symptoms of CHF while receiving sunitinib especially patients with cardiac risk factors and/or history of coronary artery disease. Baseline and periodic evaluations of LVEF should also be considered while the patient is receiving sunitinib. In patients without cardiac risk factors, a baseline evaluation of ejection fraction should be considered.</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In the presence of clinical manifestations of CHF, discontinuation of sunitinib is recommended. The administration of sunitinib should be interrupted and/or the dose reduced in patients without clinical evidence of CHF but with an ejection fraction &lt; 50% and &gt; 20% below baseline.</w:t>
      </w:r>
    </w:p>
    <w:p w:rsidR="00457196" w:rsidRDefault="00457196" w:rsidP="00092A0A">
      <w:pPr>
        <w:pStyle w:val="BodyText"/>
        <w:spacing w:before="1"/>
        <w:ind w:right="20"/>
        <w:jc w:val="both"/>
      </w:pPr>
    </w:p>
    <w:p w:rsidR="00457196" w:rsidRDefault="00346252" w:rsidP="00092A0A">
      <w:pPr>
        <w:pStyle w:val="BodyText"/>
        <w:spacing w:line="252" w:lineRule="exact"/>
        <w:ind w:left="238" w:right="20"/>
        <w:jc w:val="both"/>
      </w:pPr>
      <w:r>
        <w:rPr>
          <w:u w:val="single"/>
        </w:rPr>
        <w:t>QT interval prolongation</w:t>
      </w:r>
    </w:p>
    <w:p w:rsidR="00457196" w:rsidRDefault="00346252" w:rsidP="00092A0A">
      <w:pPr>
        <w:pStyle w:val="BodyText"/>
        <w:ind w:left="238" w:right="20"/>
        <w:jc w:val="both"/>
      </w:pPr>
      <w:r>
        <w:t>Prolongation of QT interval and Torsade de pointes have been observed in sunitinib-exposed patients. QT interval prolongation may lead to an increased risk of ventricular arrhythmias including</w:t>
      </w:r>
    </w:p>
    <w:p w:rsidR="00457196" w:rsidRDefault="00346252" w:rsidP="00092A0A">
      <w:pPr>
        <w:pStyle w:val="BodyText"/>
        <w:ind w:left="238" w:right="20"/>
        <w:jc w:val="both"/>
      </w:pPr>
      <w:r>
        <w:t>Torsade de pointes.</w:t>
      </w:r>
    </w:p>
    <w:p w:rsidR="00457196" w:rsidRDefault="00457196" w:rsidP="00092A0A">
      <w:pPr>
        <w:pStyle w:val="BodyText"/>
        <w:spacing w:before="1"/>
        <w:ind w:right="20"/>
        <w:jc w:val="both"/>
      </w:pPr>
    </w:p>
    <w:p w:rsidR="00457196" w:rsidRDefault="00346252" w:rsidP="00092A0A">
      <w:pPr>
        <w:pStyle w:val="BodyText"/>
        <w:ind w:left="238" w:right="20"/>
        <w:jc w:val="both"/>
      </w:pPr>
      <w:r>
        <w:t>Sunitinib should be used with caution in patients with a known history of QT interval prolongation, patients who are taking antiarrhythmics or medicinal products that can prolong QT interval, or patients with relevant pre-existing cardiac disease, bradycardia, or electrolyte disturbances. Concomitant administration of sunitinib with potent CYP3A4 inhibitors should be limited because of the possible increase in sunitinib plasma concentrations (see sections 4.2, 4.5 and 4.8).</w:t>
      </w:r>
    </w:p>
    <w:p w:rsidR="00457196" w:rsidRDefault="00457196" w:rsidP="00092A0A">
      <w:pPr>
        <w:pStyle w:val="BodyText"/>
        <w:spacing w:before="3"/>
        <w:ind w:right="20"/>
        <w:jc w:val="both"/>
      </w:pPr>
    </w:p>
    <w:p w:rsidR="00457196" w:rsidRDefault="00346252" w:rsidP="00092A0A">
      <w:pPr>
        <w:pStyle w:val="BodyText"/>
        <w:spacing w:before="1"/>
        <w:ind w:left="238" w:right="20"/>
        <w:jc w:val="both"/>
      </w:pPr>
      <w:r>
        <w:rPr>
          <w:u w:val="single"/>
        </w:rPr>
        <w:t>Venous thromboembolic events</w:t>
      </w:r>
    </w:p>
    <w:p w:rsidR="00457196" w:rsidRDefault="00346252" w:rsidP="00092A0A">
      <w:pPr>
        <w:pStyle w:val="BodyText"/>
        <w:spacing w:before="9" w:line="244" w:lineRule="auto"/>
        <w:ind w:left="238" w:right="20"/>
        <w:jc w:val="both"/>
      </w:pPr>
      <w:r>
        <w:t>Treatment-related venous thromboembolic events were reported in patients who received sunitinib including deep venous thrombosis and pulmonary embolism (see section 4.8). Cases of pulmonary embolism with fatal outcome have been observed in postmarketing surveillance.</w:t>
      </w:r>
    </w:p>
    <w:p w:rsidR="00457196" w:rsidRDefault="00457196" w:rsidP="00092A0A">
      <w:pPr>
        <w:pStyle w:val="BodyText"/>
        <w:ind w:right="20"/>
        <w:jc w:val="both"/>
        <w:rPr>
          <w:sz w:val="23"/>
        </w:rPr>
      </w:pPr>
    </w:p>
    <w:p w:rsidR="00457196" w:rsidRDefault="00346252" w:rsidP="00092A0A">
      <w:pPr>
        <w:pStyle w:val="BodyText"/>
        <w:ind w:left="238" w:right="20"/>
        <w:jc w:val="both"/>
      </w:pPr>
      <w:r>
        <w:rPr>
          <w:u w:val="single"/>
        </w:rPr>
        <w:t>Arterial thromboembolic events</w:t>
      </w:r>
    </w:p>
    <w:p w:rsidR="00457196" w:rsidRDefault="00346252" w:rsidP="00092A0A">
      <w:pPr>
        <w:pStyle w:val="BodyText"/>
        <w:spacing w:before="2"/>
        <w:ind w:left="238" w:right="20"/>
        <w:jc w:val="both"/>
      </w:pPr>
      <w:r>
        <w:t>Cases of arterial thromboembolic events (ATE), sometimes fatal, have been reported in patients treated with sunitinib. The most frequent events included cerebrovascular accident, transient</w:t>
      </w:r>
      <w:r>
        <w:rPr>
          <w:spacing w:val="-34"/>
        </w:rPr>
        <w:t xml:space="preserve"> </w:t>
      </w:r>
      <w:r>
        <w:t xml:space="preserve">ischaemic attack, and cerebral infarction. Risk factors associated with ATE, in addition to the underlying malignant disease and age </w:t>
      </w:r>
      <w:r>
        <w:rPr>
          <w:rFonts w:ascii="Symbol" w:hAnsi="Symbol"/>
        </w:rPr>
        <w:t></w:t>
      </w:r>
      <w:r>
        <w:t xml:space="preserve"> 65 years, included hypertension, diabetes mellitus, and prior thromboembolic</w:t>
      </w:r>
      <w:r>
        <w:rPr>
          <w:spacing w:val="-1"/>
        </w:rPr>
        <w:t xml:space="preserve"> </w:t>
      </w:r>
      <w:r>
        <w:t>disease.</w:t>
      </w:r>
    </w:p>
    <w:p w:rsidR="00457196" w:rsidRDefault="00457196" w:rsidP="00092A0A">
      <w:pPr>
        <w:pStyle w:val="BodyText"/>
        <w:spacing w:before="2"/>
        <w:ind w:right="20"/>
        <w:jc w:val="both"/>
        <w:rPr>
          <w:sz w:val="23"/>
        </w:rPr>
      </w:pPr>
    </w:p>
    <w:p w:rsidR="00457196" w:rsidRDefault="00346252" w:rsidP="00092A0A">
      <w:pPr>
        <w:pStyle w:val="BodyText"/>
        <w:ind w:left="238" w:right="20"/>
        <w:jc w:val="both"/>
      </w:pPr>
      <w:r>
        <w:rPr>
          <w:u w:val="single"/>
        </w:rPr>
        <w:t>Aneurysms and artery dissections</w:t>
      </w:r>
    </w:p>
    <w:p w:rsidR="00457196" w:rsidRDefault="00346252" w:rsidP="00092A0A">
      <w:pPr>
        <w:pStyle w:val="BodyText"/>
        <w:spacing w:before="2"/>
        <w:ind w:left="238" w:right="20"/>
        <w:jc w:val="both"/>
      </w:pPr>
      <w:r>
        <w:t>The use of vascular endothelial growth factor (VEGF) pathway inhibitors in patients with or without hypertension may promote the formation of aneurysms and/or artery dissections. Before initiating sunitinib, this risk should be carefully considered in patients with risk factors such as hypertension or history of aneurysm.</w:t>
      </w:r>
    </w:p>
    <w:p w:rsidR="00457196" w:rsidRDefault="00457196" w:rsidP="00092A0A">
      <w:pPr>
        <w:pStyle w:val="BodyText"/>
        <w:ind w:right="20"/>
        <w:jc w:val="both"/>
        <w:rPr>
          <w:sz w:val="23"/>
        </w:rPr>
      </w:pPr>
    </w:p>
    <w:p w:rsidR="00457196" w:rsidRDefault="00346252" w:rsidP="00092A0A">
      <w:pPr>
        <w:pStyle w:val="BodyText"/>
        <w:ind w:left="238" w:right="20"/>
        <w:jc w:val="both"/>
      </w:pPr>
      <w:r>
        <w:rPr>
          <w:u w:val="single"/>
        </w:rPr>
        <w:t>Thrombotic microangiopathy (TMA)</w:t>
      </w:r>
    </w:p>
    <w:p w:rsidR="00457196" w:rsidRDefault="00346252" w:rsidP="00092A0A">
      <w:pPr>
        <w:pStyle w:val="BodyText"/>
        <w:spacing w:before="2"/>
        <w:ind w:left="238" w:right="20"/>
        <w:jc w:val="both"/>
      </w:pPr>
      <w:r>
        <w:t>The diagnosis of TMA, including thrombotic thrombocytopaenic purpura (TTP) and haemolytic uraemic syndrome (HUS), sometimes leading to renal failure or a fatal outcome, should be considered in the occurrence of haemolytic anaemia, thrombocytopenia, fatigue, fluctuating neurological manifestation, renal impairment, and fever. Sunitinib therapy should be discontinued in patients who develop TMA and prompt treatment is required. Reversal of the effects of TMA has been observed after treatment discontinuation (see section 4.8).</w:t>
      </w:r>
    </w:p>
    <w:p w:rsidR="00457196" w:rsidRDefault="00457196" w:rsidP="00092A0A">
      <w:pPr>
        <w:pStyle w:val="BodyText"/>
        <w:spacing w:before="5"/>
        <w:ind w:right="20"/>
        <w:jc w:val="both"/>
      </w:pPr>
    </w:p>
    <w:p w:rsidR="00457196" w:rsidRDefault="00346252" w:rsidP="00092A0A">
      <w:pPr>
        <w:pStyle w:val="BodyText"/>
        <w:ind w:left="238" w:right="20"/>
        <w:jc w:val="both"/>
      </w:pPr>
      <w:r>
        <w:rPr>
          <w:u w:val="single"/>
        </w:rPr>
        <w:t>Thyroid dysfunction</w:t>
      </w:r>
    </w:p>
    <w:p w:rsidR="00457196" w:rsidRDefault="00346252" w:rsidP="00092A0A">
      <w:pPr>
        <w:pStyle w:val="BodyText"/>
        <w:spacing w:before="2"/>
        <w:ind w:left="238" w:right="20"/>
        <w:jc w:val="both"/>
      </w:pPr>
      <w:r>
        <w:t>Baseline laboratory measurement of thyroid function is recommended in all patients. Patients with pre-existing hypothyroidism or hyperthyroidism should be treated as per standard medical practice prior to the start of sunitinib treatment. During sunitinib treatment, routine monitoring of thyroid function should be performed every 3 months. In addition, patients should be observed closely for signs and symptoms of thyroid dysfunction during treatment, and patients who develop any signs and/or symptoms suggestive of thyroid dysfunction should have laboratory testing of thyroid function performed as clinically indicated. Patients who develop thyroid dysfunction should be treated as per standard medical practice.</w:t>
      </w:r>
    </w:p>
    <w:p w:rsidR="00457196" w:rsidRDefault="00457196" w:rsidP="00092A0A">
      <w:pPr>
        <w:pStyle w:val="BodyText"/>
        <w:spacing w:before="2"/>
        <w:ind w:right="20"/>
        <w:jc w:val="both"/>
      </w:pPr>
    </w:p>
    <w:p w:rsidR="002A1A59" w:rsidRDefault="00346252" w:rsidP="00092A0A">
      <w:pPr>
        <w:pStyle w:val="BodyText"/>
        <w:spacing w:before="1"/>
        <w:ind w:left="238" w:right="20"/>
        <w:jc w:val="both"/>
      </w:pPr>
      <w:r>
        <w:t xml:space="preserve">Hypothyroidism has been observed to occur early as well as late during treatment with sunitinib (see </w:t>
      </w:r>
    </w:p>
    <w:p w:rsidR="00457196" w:rsidRDefault="00346252" w:rsidP="00092A0A">
      <w:pPr>
        <w:pStyle w:val="BodyText"/>
        <w:spacing w:before="1"/>
        <w:ind w:left="238" w:right="20"/>
        <w:jc w:val="both"/>
      </w:pPr>
      <w:r>
        <w:t>section 4.8).</w:t>
      </w:r>
    </w:p>
    <w:p w:rsidR="00457196" w:rsidRDefault="00457196" w:rsidP="00092A0A">
      <w:pPr>
        <w:pStyle w:val="BodyText"/>
        <w:spacing w:before="4"/>
        <w:ind w:right="20"/>
        <w:jc w:val="both"/>
      </w:pPr>
    </w:p>
    <w:p w:rsidR="00457196" w:rsidRDefault="00346252" w:rsidP="00092A0A">
      <w:pPr>
        <w:pStyle w:val="BodyText"/>
        <w:ind w:left="238" w:right="20"/>
        <w:jc w:val="both"/>
      </w:pPr>
      <w:r>
        <w:rPr>
          <w:u w:val="single"/>
        </w:rPr>
        <w:t>Pancreatitis</w:t>
      </w:r>
    </w:p>
    <w:p w:rsidR="00457196" w:rsidRDefault="00346252" w:rsidP="00092A0A">
      <w:pPr>
        <w:pStyle w:val="BodyText"/>
        <w:spacing w:before="1"/>
        <w:ind w:left="238" w:right="20"/>
        <w:jc w:val="both"/>
      </w:pPr>
      <w:r>
        <w:t>Increases in serum lipase and amylase activities were observed in patients with various solid tumours who received sunitinib. Increases in lipase activities were transient and were generally not accompanied by signs or symptoms of pancreatitis in subjects with various solid tumours (see section 4.8).</w:t>
      </w:r>
    </w:p>
    <w:p w:rsidR="00457196" w:rsidRDefault="00457196" w:rsidP="00092A0A">
      <w:pPr>
        <w:pStyle w:val="BodyText"/>
        <w:ind w:right="20"/>
        <w:jc w:val="both"/>
      </w:pPr>
    </w:p>
    <w:p w:rsidR="00457196" w:rsidRDefault="00346252" w:rsidP="00092A0A">
      <w:pPr>
        <w:pStyle w:val="BodyText"/>
        <w:ind w:left="238" w:right="20"/>
        <w:jc w:val="both"/>
      </w:pPr>
      <w:r>
        <w:t>Cases of serious pancreatic events, some with fatal outcome, have been reported. If symptoms of pancreatitis are present, patients should have sunitinib discontinued and be provided with appropriate supportive care.</w:t>
      </w:r>
    </w:p>
    <w:p w:rsidR="00457196" w:rsidRDefault="00457196" w:rsidP="00092A0A">
      <w:pPr>
        <w:pStyle w:val="BodyText"/>
        <w:spacing w:before="2"/>
        <w:ind w:right="20"/>
        <w:jc w:val="both"/>
        <w:rPr>
          <w:sz w:val="23"/>
        </w:rPr>
      </w:pPr>
    </w:p>
    <w:p w:rsidR="00457196" w:rsidRDefault="00346252" w:rsidP="00092A0A">
      <w:pPr>
        <w:pStyle w:val="BodyText"/>
        <w:ind w:left="238" w:right="20"/>
        <w:jc w:val="both"/>
      </w:pPr>
      <w:r>
        <w:rPr>
          <w:u w:val="single"/>
        </w:rPr>
        <w:t>Hepatotoxicity</w:t>
      </w:r>
    </w:p>
    <w:p w:rsidR="00457196" w:rsidRDefault="00346252" w:rsidP="00092A0A">
      <w:pPr>
        <w:pStyle w:val="BodyText"/>
        <w:spacing w:before="2"/>
        <w:ind w:left="238" w:right="20"/>
        <w:jc w:val="both"/>
      </w:pPr>
      <w:r>
        <w:t>Hepatotoxicity has been observed in patients treated with sunitinib. Cases of hepatic failure, some with a fatal outcome, were observed in &lt; 1% of solid tumour patients treated with sunitinib. Monitor liver function tests (alanine transaminase [ALT], aspartate transaminase [AST], bilirubin levels) before initiation of treatment, during each cycle of treatment, and as clinically indicated. If signs or symptoms of hepatic failure are present, sunitinib should be discontinued and appropriate supportive care should be provided (see section 4.8).</w:t>
      </w:r>
    </w:p>
    <w:p w:rsidR="00457196" w:rsidRDefault="00457196" w:rsidP="00092A0A">
      <w:pPr>
        <w:pStyle w:val="BodyText"/>
        <w:spacing w:before="5"/>
        <w:ind w:right="20"/>
        <w:jc w:val="both"/>
      </w:pPr>
    </w:p>
    <w:p w:rsidR="00457196" w:rsidRDefault="00346252" w:rsidP="00092A0A">
      <w:pPr>
        <w:pStyle w:val="BodyText"/>
        <w:ind w:left="238" w:right="20"/>
        <w:jc w:val="both"/>
      </w:pPr>
      <w:r>
        <w:rPr>
          <w:u w:val="single"/>
        </w:rPr>
        <w:t>Renal function</w:t>
      </w:r>
    </w:p>
    <w:p w:rsidR="00457196" w:rsidRDefault="00346252" w:rsidP="00092A0A">
      <w:pPr>
        <w:pStyle w:val="BodyText"/>
        <w:spacing w:before="2"/>
        <w:ind w:left="238" w:right="20"/>
        <w:jc w:val="both"/>
      </w:pPr>
      <w:r>
        <w:t>Cases of renal impairment, renal failure and/or acute renal failure, in some cases with fatal outcome, have been reported (see section 4.8).</w:t>
      </w:r>
    </w:p>
    <w:p w:rsidR="00457196" w:rsidRDefault="00457196" w:rsidP="00092A0A">
      <w:pPr>
        <w:pStyle w:val="BodyText"/>
        <w:spacing w:before="1"/>
        <w:ind w:right="20"/>
        <w:jc w:val="both"/>
      </w:pPr>
    </w:p>
    <w:p w:rsidR="00457196" w:rsidRDefault="00346252" w:rsidP="00092A0A">
      <w:pPr>
        <w:pStyle w:val="BodyText"/>
        <w:ind w:left="238" w:right="20"/>
        <w:jc w:val="both"/>
      </w:pPr>
      <w:r>
        <w:t>Risk factors associated with renal impairment/failure in patients receiving sunitinib included, in addition to underlying RCC, older age, diabetes mellitus, underlying renal impairment, cardiac failure, hypertension, sepsis, dehydration/hypovolaemia, and rhabdomyolysis.</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The safety of continued sunitinib treatment in patients with moderate to severe proteinuria has not been systematically evaluated.</w:t>
      </w:r>
    </w:p>
    <w:p w:rsidR="00457196" w:rsidRDefault="00457196" w:rsidP="00092A0A">
      <w:pPr>
        <w:pStyle w:val="BodyText"/>
        <w:ind w:right="20"/>
        <w:jc w:val="both"/>
      </w:pPr>
    </w:p>
    <w:p w:rsidR="00457196" w:rsidRDefault="00346252" w:rsidP="00092A0A">
      <w:pPr>
        <w:pStyle w:val="BodyText"/>
        <w:ind w:left="238" w:right="20"/>
        <w:jc w:val="both"/>
      </w:pPr>
      <w:r>
        <w:t>Cases of proteinuria and rare cases of nephrotic syndrome have been reported. Baseline urinalysis is recommended, and patients should be monitored for the development or worsening of proteinuria. Discontinue sunitinib in patients with nephrotic syndrome.</w:t>
      </w:r>
    </w:p>
    <w:p w:rsidR="00457196" w:rsidRDefault="00457196" w:rsidP="00092A0A">
      <w:pPr>
        <w:pStyle w:val="BodyText"/>
        <w:spacing w:before="2"/>
        <w:ind w:right="20"/>
        <w:jc w:val="both"/>
        <w:rPr>
          <w:sz w:val="23"/>
        </w:rPr>
      </w:pPr>
    </w:p>
    <w:p w:rsidR="00457196" w:rsidRDefault="00346252" w:rsidP="00092A0A">
      <w:pPr>
        <w:pStyle w:val="BodyText"/>
        <w:ind w:left="238" w:right="20"/>
        <w:jc w:val="both"/>
      </w:pPr>
      <w:r>
        <w:rPr>
          <w:u w:val="single"/>
        </w:rPr>
        <w:t>Fistula</w:t>
      </w:r>
    </w:p>
    <w:p w:rsidR="00457196" w:rsidRDefault="00346252" w:rsidP="00092A0A">
      <w:pPr>
        <w:pStyle w:val="BodyText"/>
        <w:spacing w:before="1"/>
        <w:ind w:left="238" w:right="20"/>
        <w:jc w:val="both"/>
      </w:pPr>
      <w:r>
        <w:t>If fistula formation occurs, sunitinib treatment should be interrupted. Limited information is available on the continued use of sunitinib in patients with fistulae (see section 4.8).</w:t>
      </w:r>
    </w:p>
    <w:p w:rsidR="00457196" w:rsidRDefault="00457196" w:rsidP="00092A0A">
      <w:pPr>
        <w:pStyle w:val="BodyText"/>
        <w:spacing w:before="7"/>
        <w:ind w:right="20"/>
        <w:jc w:val="both"/>
      </w:pPr>
    </w:p>
    <w:p w:rsidR="00457196" w:rsidRDefault="00346252" w:rsidP="00092A0A">
      <w:pPr>
        <w:pStyle w:val="BodyText"/>
        <w:ind w:left="238" w:right="20"/>
        <w:jc w:val="both"/>
      </w:pPr>
      <w:r>
        <w:rPr>
          <w:u w:val="single"/>
        </w:rPr>
        <w:t>Impaired wound healing</w:t>
      </w:r>
    </w:p>
    <w:p w:rsidR="00457196" w:rsidRDefault="00346252" w:rsidP="00092A0A">
      <w:pPr>
        <w:pStyle w:val="BodyText"/>
        <w:spacing w:before="1"/>
        <w:ind w:left="238" w:right="20"/>
        <w:jc w:val="both"/>
      </w:pPr>
      <w:r>
        <w:t>Cases of impaired wound healing have been reported during sunitinib therapy.</w:t>
      </w:r>
    </w:p>
    <w:p w:rsidR="00457196" w:rsidRDefault="00457196" w:rsidP="00092A0A">
      <w:pPr>
        <w:pStyle w:val="BodyText"/>
        <w:spacing w:before="1"/>
        <w:ind w:right="20"/>
        <w:jc w:val="both"/>
      </w:pPr>
    </w:p>
    <w:p w:rsidR="00457196" w:rsidRDefault="00346252" w:rsidP="00092A0A">
      <w:pPr>
        <w:pStyle w:val="BodyText"/>
        <w:ind w:left="238" w:right="20"/>
        <w:jc w:val="both"/>
      </w:pPr>
      <w:r>
        <w:t>No formal clinical studies of the effect of sunitinib on wound healing have been conducted. Temporary interruption of sunitinib therapy is recommended for precautionary reasons in patients undergoing major surgical procedures. There is limited clinical experience regarding the timing of reinitiation of therapy following major surgical intervention. Therefore, the decision to resume sunitinib therapy following a major surgical intervention should be based upon clinical judgment of recovery from surgery.</w:t>
      </w:r>
    </w:p>
    <w:p w:rsidR="00457196" w:rsidRDefault="00457196" w:rsidP="00092A0A">
      <w:pPr>
        <w:pStyle w:val="BodyText"/>
        <w:spacing w:before="5"/>
        <w:ind w:right="20"/>
        <w:jc w:val="both"/>
      </w:pPr>
    </w:p>
    <w:p w:rsidR="00457196" w:rsidRDefault="00346252" w:rsidP="00092A0A">
      <w:pPr>
        <w:pStyle w:val="BodyText"/>
        <w:ind w:left="238" w:right="20"/>
        <w:jc w:val="both"/>
      </w:pPr>
      <w:r>
        <w:rPr>
          <w:u w:val="single"/>
        </w:rPr>
        <w:t>Osteonecrosis of the jaw (ONJ)</w:t>
      </w:r>
    </w:p>
    <w:p w:rsidR="00457196" w:rsidRDefault="00346252" w:rsidP="00092A0A">
      <w:pPr>
        <w:pStyle w:val="BodyText"/>
        <w:spacing w:before="2"/>
        <w:ind w:left="238" w:right="20"/>
        <w:jc w:val="both"/>
      </w:pPr>
      <w:r>
        <w:t xml:space="preserve">Cases of ONJ have been reported in patients treated with </w:t>
      </w:r>
      <w:r w:rsidR="00DF353E">
        <w:t>sunitinib.</w:t>
      </w:r>
      <w:r w:rsidR="006537F0">
        <w:t xml:space="preserve"> </w:t>
      </w:r>
      <w:r>
        <w:t xml:space="preserve">The majority of cases were reported in patients who had received prior or concomitant treatment with intravenous bisphosphonates, for which ONJ is an identified risk. Caution should therefore be exercised when </w:t>
      </w:r>
      <w:r w:rsidR="00FB4591">
        <w:t>&lt;Product name&gt;</w:t>
      </w:r>
      <w:r>
        <w:t xml:space="preserve"> and intravenous bisphosphonates are used either simultaneously or sequentially.</w:t>
      </w:r>
    </w:p>
    <w:p w:rsidR="00457196" w:rsidRDefault="00457196" w:rsidP="00092A0A">
      <w:pPr>
        <w:pStyle w:val="BodyText"/>
        <w:spacing w:before="2"/>
        <w:ind w:right="20"/>
        <w:jc w:val="both"/>
      </w:pPr>
    </w:p>
    <w:p w:rsidR="00457196" w:rsidRDefault="00346252" w:rsidP="00092A0A">
      <w:pPr>
        <w:pStyle w:val="BodyText"/>
        <w:spacing w:before="1"/>
        <w:ind w:left="238" w:right="20"/>
        <w:jc w:val="both"/>
      </w:pPr>
      <w:r>
        <w:t xml:space="preserve">Invasive dental procedures are also an identified risk factor. Prior to treatment with </w:t>
      </w:r>
      <w:r w:rsidR="00FB4591">
        <w:t>&lt;Product name&gt;</w:t>
      </w:r>
      <w:r>
        <w:t>, a dental examination and appropriate preventive dentistry should be considered. In patients who have previously received or are receiving intravenous bisphosphonates, invasive dental procedures should be avoided if possible (see section 4.8).</w:t>
      </w:r>
    </w:p>
    <w:p w:rsidR="00457196" w:rsidRDefault="00457196" w:rsidP="00092A0A">
      <w:pPr>
        <w:pStyle w:val="BodyText"/>
        <w:spacing w:before="4"/>
        <w:ind w:right="20"/>
        <w:jc w:val="both"/>
      </w:pPr>
    </w:p>
    <w:p w:rsidR="00457196" w:rsidRDefault="00346252" w:rsidP="00092A0A">
      <w:pPr>
        <w:pStyle w:val="BodyText"/>
        <w:ind w:left="238" w:right="20"/>
        <w:jc w:val="both"/>
      </w:pPr>
      <w:r>
        <w:rPr>
          <w:u w:val="single"/>
        </w:rPr>
        <w:t>Hypersensitivity/angioedema</w:t>
      </w:r>
    </w:p>
    <w:p w:rsidR="00457196" w:rsidRDefault="00346252" w:rsidP="00092A0A">
      <w:pPr>
        <w:pStyle w:val="BodyText"/>
        <w:spacing w:before="2"/>
        <w:ind w:left="238" w:right="20"/>
        <w:jc w:val="both"/>
      </w:pPr>
      <w:r>
        <w:t>If angioedema due to hypersensitivity occurs, sunitinib treatment should be interrupted and standard medical care provided (see section 4.8).</w:t>
      </w:r>
    </w:p>
    <w:p w:rsidR="00457196" w:rsidRDefault="00457196" w:rsidP="00092A0A">
      <w:pPr>
        <w:pStyle w:val="BodyText"/>
        <w:spacing w:before="11"/>
        <w:ind w:right="20"/>
        <w:jc w:val="both"/>
      </w:pPr>
    </w:p>
    <w:p w:rsidR="00457196" w:rsidRDefault="00346252" w:rsidP="00092A0A">
      <w:pPr>
        <w:pStyle w:val="BodyText"/>
        <w:ind w:left="238" w:right="20"/>
        <w:jc w:val="both"/>
      </w:pPr>
      <w:r>
        <w:rPr>
          <w:u w:val="single"/>
        </w:rPr>
        <w:t>Seizures</w:t>
      </w:r>
    </w:p>
    <w:p w:rsidR="00457196" w:rsidRDefault="00346252" w:rsidP="00092A0A">
      <w:pPr>
        <w:pStyle w:val="BodyText"/>
        <w:spacing w:before="5"/>
        <w:ind w:left="238" w:right="20"/>
        <w:jc w:val="both"/>
      </w:pPr>
      <w:r>
        <w:t>In clinical studies of sunitinib and from postmarketing surveillance, seizures have been reported. Patients with seizures and signs/symptoms consistent with posterior reversible leukoencephalopathy syndrome (RPLS), such as hypertension, headache, decreased alertness, altered mental functioning and visual loss, including cortical blindness, should be controlled with medical management including control of hypertension. Temporary suspension of sunitinib is recommended; following resolution, treatment may be resumed at the discretion of the treating physician (see section 4.8).</w:t>
      </w:r>
    </w:p>
    <w:p w:rsidR="00457196" w:rsidRDefault="00457196" w:rsidP="00092A0A">
      <w:pPr>
        <w:pStyle w:val="BodyText"/>
        <w:spacing w:before="9"/>
        <w:ind w:right="20"/>
        <w:jc w:val="both"/>
      </w:pPr>
    </w:p>
    <w:p w:rsidR="00457196" w:rsidRDefault="00346252" w:rsidP="00092A0A">
      <w:pPr>
        <w:pStyle w:val="BodyText"/>
        <w:spacing w:before="1"/>
        <w:ind w:left="238" w:right="20"/>
        <w:jc w:val="both"/>
      </w:pPr>
      <w:r>
        <w:rPr>
          <w:u w:val="single"/>
        </w:rPr>
        <w:t>Tumour lysis syndrome (TLS)</w:t>
      </w:r>
    </w:p>
    <w:p w:rsidR="00457196" w:rsidRDefault="00346252" w:rsidP="00092A0A">
      <w:pPr>
        <w:pStyle w:val="BodyText"/>
        <w:spacing w:before="3"/>
        <w:ind w:left="238" w:right="20"/>
        <w:jc w:val="both"/>
      </w:pPr>
      <w:r>
        <w:t>Cases of TLS, some fatal, have been rarely observed in clinical trials and have been reported in postmarketing surveillance in patients treated with sunitinib. Risk factors for TLS include high tumour burden, pre-existing chronic renal insufficiency, oliguria, dehydration, hypotension, and acidic urine. These patients should be monitored closely and treated as clinically indicated, and prophylactic hydration should be considered.</w:t>
      </w:r>
    </w:p>
    <w:p w:rsidR="00457196" w:rsidRDefault="00457196" w:rsidP="00092A0A">
      <w:pPr>
        <w:pStyle w:val="BodyText"/>
        <w:spacing w:before="4"/>
        <w:ind w:right="20"/>
        <w:jc w:val="both"/>
      </w:pPr>
    </w:p>
    <w:p w:rsidR="00457196" w:rsidRDefault="00346252" w:rsidP="00092A0A">
      <w:pPr>
        <w:pStyle w:val="BodyText"/>
        <w:ind w:left="238" w:right="20"/>
        <w:jc w:val="both"/>
      </w:pPr>
      <w:r>
        <w:rPr>
          <w:u w:val="single"/>
        </w:rPr>
        <w:t>Infections</w:t>
      </w:r>
    </w:p>
    <w:p w:rsidR="00457196" w:rsidRDefault="00346252" w:rsidP="00092A0A">
      <w:pPr>
        <w:pStyle w:val="BodyText"/>
        <w:spacing w:before="2"/>
        <w:ind w:left="238" w:right="20"/>
        <w:jc w:val="both"/>
      </w:pPr>
      <w:r>
        <w:t>Serious infections, with or without neutropenia, including some with a fatal outcome, have been reported. Uncommon cases of necrotising fasciitis, including of the perineum, sometimes fatal, have been reported (see section 4.8).</w:t>
      </w:r>
    </w:p>
    <w:p w:rsidR="00457196" w:rsidRDefault="00457196" w:rsidP="00092A0A">
      <w:pPr>
        <w:pStyle w:val="BodyText"/>
        <w:spacing w:before="1"/>
        <w:ind w:right="20"/>
        <w:jc w:val="both"/>
      </w:pPr>
    </w:p>
    <w:p w:rsidR="00457196" w:rsidRDefault="00346252" w:rsidP="00092A0A">
      <w:pPr>
        <w:pStyle w:val="BodyText"/>
        <w:ind w:left="238" w:right="20"/>
        <w:jc w:val="both"/>
      </w:pPr>
      <w:r>
        <w:t>Sunitinib therapy should be discontinued in patients who develop necrotising fasciitis, and appropriate treatment should be promptly initiated.</w:t>
      </w:r>
    </w:p>
    <w:p w:rsidR="00457196" w:rsidRDefault="00457196" w:rsidP="00092A0A">
      <w:pPr>
        <w:pStyle w:val="BodyText"/>
        <w:spacing w:before="4"/>
        <w:ind w:right="20"/>
        <w:jc w:val="both"/>
      </w:pPr>
    </w:p>
    <w:p w:rsidR="00457196" w:rsidRDefault="00346252" w:rsidP="00092A0A">
      <w:pPr>
        <w:pStyle w:val="BodyText"/>
        <w:ind w:left="238" w:right="20"/>
        <w:jc w:val="both"/>
      </w:pPr>
      <w:r>
        <w:rPr>
          <w:u w:val="single"/>
        </w:rPr>
        <w:t>Hypoglycaemia</w:t>
      </w:r>
    </w:p>
    <w:p w:rsidR="00457196" w:rsidRDefault="00346252" w:rsidP="00092A0A">
      <w:pPr>
        <w:pStyle w:val="BodyText"/>
        <w:spacing w:before="4"/>
        <w:ind w:left="238" w:right="20"/>
        <w:jc w:val="both"/>
      </w:pPr>
      <w:r>
        <w:t>Decreases in blood glucose, in some cases clinically symptomatic and requiring hospitalisation due to loss of consciousness, have been reported during sunitinib treatment. In case of symptomatic hypoglycaemia, sunitinib should be temporarily interrupted. Blood glucose levels in diabetic patients should be checked regularly in order to assess if antidiabetic medicinal product’s dosage needs to be adjusted to minimise the risk of hypoglycaemia (see section 4.8).</w:t>
      </w:r>
    </w:p>
    <w:p w:rsidR="004F012C" w:rsidRDefault="004F012C" w:rsidP="00092A0A">
      <w:pPr>
        <w:pStyle w:val="BodyText"/>
        <w:spacing w:before="4"/>
        <w:ind w:left="238" w:right="20"/>
        <w:jc w:val="both"/>
      </w:pPr>
    </w:p>
    <w:p w:rsidR="00303FB3" w:rsidRPr="00303FB3" w:rsidRDefault="00303FB3" w:rsidP="00092A0A">
      <w:pPr>
        <w:pStyle w:val="BodyText"/>
        <w:spacing w:before="4"/>
        <w:ind w:left="238" w:right="20"/>
        <w:jc w:val="both"/>
        <w:rPr>
          <w:u w:val="single"/>
        </w:rPr>
      </w:pPr>
      <w:r w:rsidRPr="00303FB3">
        <w:rPr>
          <w:u w:val="single"/>
        </w:rPr>
        <w:t>Excipients</w:t>
      </w:r>
    </w:p>
    <w:p w:rsidR="00303FB3" w:rsidRPr="00303FB3" w:rsidRDefault="00303FB3" w:rsidP="00092A0A">
      <w:pPr>
        <w:pStyle w:val="BodyText"/>
        <w:spacing w:before="4"/>
        <w:ind w:left="238" w:right="20"/>
        <w:jc w:val="both"/>
        <w:rPr>
          <w:i/>
        </w:rPr>
      </w:pPr>
      <w:r w:rsidRPr="00303FB3">
        <w:rPr>
          <w:i/>
        </w:rPr>
        <w:t>Sodium</w:t>
      </w:r>
    </w:p>
    <w:p w:rsidR="004F012C" w:rsidRDefault="004F012C" w:rsidP="00092A0A">
      <w:pPr>
        <w:pStyle w:val="BodyText"/>
        <w:spacing w:before="4"/>
        <w:ind w:left="238" w:right="20"/>
        <w:jc w:val="both"/>
      </w:pPr>
      <w:r w:rsidRPr="004F012C">
        <w:t>This medicin</w:t>
      </w:r>
      <w:r w:rsidR="00303FB3">
        <w:t>al product</w:t>
      </w:r>
      <w:r w:rsidRPr="004F012C">
        <w:t xml:space="preserve"> contains less than 1 mmol </w:t>
      </w:r>
      <w:r w:rsidR="00303FB3" w:rsidRPr="00303FB3">
        <w:t xml:space="preserve">(23 mg) </w:t>
      </w:r>
      <w:r w:rsidRPr="004F012C">
        <w:t>sodium per capsule, that is to say essentially ‘sodium-free’.</w:t>
      </w:r>
    </w:p>
    <w:p w:rsidR="00457196" w:rsidRDefault="00457196" w:rsidP="00092A0A">
      <w:pPr>
        <w:pStyle w:val="BodyText"/>
        <w:spacing w:before="11"/>
        <w:ind w:right="20"/>
        <w:jc w:val="both"/>
        <w:rPr>
          <w:sz w:val="21"/>
        </w:rPr>
      </w:pPr>
    </w:p>
    <w:p w:rsidR="00457196" w:rsidRDefault="00346252" w:rsidP="00092A0A">
      <w:pPr>
        <w:pStyle w:val="Heading1"/>
        <w:numPr>
          <w:ilvl w:val="1"/>
          <w:numId w:val="12"/>
        </w:numPr>
        <w:tabs>
          <w:tab w:val="left" w:pos="805"/>
          <w:tab w:val="left" w:pos="806"/>
        </w:tabs>
        <w:spacing w:before="0"/>
        <w:ind w:right="20" w:hanging="568"/>
        <w:jc w:val="both"/>
      </w:pPr>
      <w:r>
        <w:t>Interaction with other medicinal products and other forms of</w:t>
      </w:r>
      <w:r>
        <w:rPr>
          <w:spacing w:val="-6"/>
        </w:rPr>
        <w:t xml:space="preserve"> </w:t>
      </w:r>
      <w:r>
        <w:t>interaction</w:t>
      </w:r>
    </w:p>
    <w:p w:rsidR="00457196" w:rsidRDefault="00457196" w:rsidP="00092A0A">
      <w:pPr>
        <w:pStyle w:val="BodyText"/>
        <w:ind w:right="20"/>
        <w:jc w:val="both"/>
        <w:rPr>
          <w:b/>
        </w:rPr>
      </w:pPr>
    </w:p>
    <w:p w:rsidR="00457196" w:rsidRDefault="00346252" w:rsidP="00092A0A">
      <w:pPr>
        <w:pStyle w:val="BodyText"/>
        <w:ind w:left="238" w:right="20"/>
        <w:jc w:val="both"/>
      </w:pPr>
      <w:r>
        <w:t>Interaction studies have only been performed in adults.</w:t>
      </w:r>
    </w:p>
    <w:p w:rsidR="00457196" w:rsidRDefault="00457196" w:rsidP="00092A0A">
      <w:pPr>
        <w:pStyle w:val="BodyText"/>
        <w:spacing w:before="1"/>
        <w:ind w:right="20"/>
        <w:jc w:val="both"/>
      </w:pPr>
    </w:p>
    <w:p w:rsidR="00457196" w:rsidRDefault="00346252" w:rsidP="00092A0A">
      <w:pPr>
        <w:pStyle w:val="BodyText"/>
        <w:spacing w:line="252" w:lineRule="exact"/>
        <w:ind w:left="238" w:right="20"/>
        <w:jc w:val="both"/>
      </w:pPr>
      <w:r>
        <w:rPr>
          <w:u w:val="single"/>
        </w:rPr>
        <w:t>Medicinal products that may increase sunitinib plasma concentrations</w:t>
      </w:r>
    </w:p>
    <w:p w:rsidR="00457196" w:rsidRDefault="00346252" w:rsidP="00092A0A">
      <w:pPr>
        <w:spacing w:line="252" w:lineRule="exact"/>
        <w:ind w:left="238" w:right="20"/>
        <w:jc w:val="both"/>
        <w:rPr>
          <w:i/>
        </w:rPr>
      </w:pPr>
      <w:r>
        <w:rPr>
          <w:i/>
        </w:rPr>
        <w:t>Effect of CYP3A4 inhibitors</w:t>
      </w:r>
    </w:p>
    <w:p w:rsidR="00457196" w:rsidRDefault="00346252" w:rsidP="00092A0A">
      <w:pPr>
        <w:pStyle w:val="BodyText"/>
        <w:spacing w:before="1" w:line="244" w:lineRule="auto"/>
        <w:ind w:left="238" w:right="20"/>
        <w:jc w:val="both"/>
      </w:pPr>
      <w:r>
        <w:t>In healthy volunteers, concomitant administration of a single dose of sunitinib with the potent CYP3A4 inhibitor ketoconazole resulted in an increase of th</w:t>
      </w:r>
      <w:r w:rsidR="00092A0A">
        <w:t>e combined [sunitinib + primary metabolite</w:t>
      </w:r>
      <w:r>
        <w:rPr>
          <w:position w:val="2"/>
        </w:rPr>
        <w:t>] maximum concentration (C</w:t>
      </w:r>
      <w:r>
        <w:rPr>
          <w:sz w:val="14"/>
        </w:rPr>
        <w:t>max</w:t>
      </w:r>
      <w:r>
        <w:rPr>
          <w:position w:val="2"/>
        </w:rPr>
        <w:t>) and area under the curve (AUC</w:t>
      </w:r>
      <w:r>
        <w:rPr>
          <w:sz w:val="14"/>
        </w:rPr>
        <w:t>0-</w:t>
      </w:r>
      <w:r>
        <w:rPr>
          <w:rFonts w:ascii="Symbol" w:hAnsi="Symbol"/>
          <w:sz w:val="14"/>
        </w:rPr>
        <w:t></w:t>
      </w:r>
      <w:r>
        <w:rPr>
          <w:position w:val="2"/>
        </w:rPr>
        <w:t xml:space="preserve">) values of 49% and </w:t>
      </w:r>
      <w:r>
        <w:t>51%, respectively.</w:t>
      </w:r>
    </w:p>
    <w:p w:rsidR="00457196" w:rsidRDefault="00457196" w:rsidP="00092A0A">
      <w:pPr>
        <w:pStyle w:val="BodyText"/>
        <w:spacing w:before="3"/>
        <w:ind w:right="20"/>
        <w:jc w:val="both"/>
        <w:rPr>
          <w:sz w:val="21"/>
        </w:rPr>
      </w:pPr>
    </w:p>
    <w:p w:rsidR="00457196" w:rsidRDefault="00346252" w:rsidP="00092A0A">
      <w:pPr>
        <w:pStyle w:val="BodyText"/>
        <w:ind w:left="238" w:right="20"/>
        <w:jc w:val="both"/>
      </w:pPr>
      <w:r>
        <w:t>Administration of sunitinib with potent CYP3A4 inhibitors (e.g., ritonavir, itraconazole, erythromycin, clarithromycin, grapefruit juice) may increase sunitinib concentrations.</w:t>
      </w:r>
    </w:p>
    <w:p w:rsidR="00457196" w:rsidRDefault="00346252" w:rsidP="00092A0A">
      <w:pPr>
        <w:pStyle w:val="BodyText"/>
        <w:spacing w:before="70"/>
        <w:ind w:left="238" w:right="20"/>
        <w:jc w:val="both"/>
      </w:pPr>
      <w:r>
        <w:t>Combination with CYP3A4 inhibitors should therefore be avoided, or the selection of an alternate concomitant medicinal product with no or minimal potential to inhibit CYP3A4 should be considered.</w:t>
      </w:r>
    </w:p>
    <w:p w:rsidR="00457196" w:rsidRDefault="00457196" w:rsidP="00092A0A">
      <w:pPr>
        <w:pStyle w:val="BodyText"/>
        <w:spacing w:before="2"/>
        <w:ind w:right="20"/>
        <w:jc w:val="both"/>
      </w:pPr>
    </w:p>
    <w:p w:rsidR="00457196" w:rsidRDefault="00346252" w:rsidP="00092A0A">
      <w:pPr>
        <w:pStyle w:val="BodyText"/>
        <w:spacing w:before="1"/>
        <w:ind w:left="238" w:right="20"/>
        <w:jc w:val="both"/>
      </w:pPr>
      <w:r>
        <w:t xml:space="preserve">If this is not possible, the dose of </w:t>
      </w:r>
      <w:r w:rsidR="00FB4591">
        <w:t>&lt;Product name&gt;</w:t>
      </w:r>
      <w:r>
        <w:t xml:space="preserve"> may need to be reduced to a minimum of 37.5 mg daily for GIST and MRCC or 25 mg daily for pNET, based on careful monitoring of tolerability (see section 4.2).</w:t>
      </w:r>
    </w:p>
    <w:p w:rsidR="00457196" w:rsidRDefault="00457196" w:rsidP="00092A0A">
      <w:pPr>
        <w:pStyle w:val="BodyText"/>
        <w:spacing w:before="9"/>
        <w:ind w:right="20"/>
        <w:jc w:val="both"/>
        <w:rPr>
          <w:sz w:val="21"/>
        </w:rPr>
      </w:pPr>
    </w:p>
    <w:p w:rsidR="00457196" w:rsidRDefault="00346252" w:rsidP="00092A0A">
      <w:pPr>
        <w:spacing w:before="1"/>
        <w:ind w:left="238" w:right="20"/>
        <w:jc w:val="both"/>
        <w:rPr>
          <w:i/>
        </w:rPr>
      </w:pPr>
      <w:r>
        <w:rPr>
          <w:i/>
        </w:rPr>
        <w:t>Effect of Breast Cancer Resistance Protein (BCRP) inhibitors</w:t>
      </w:r>
    </w:p>
    <w:p w:rsidR="00457196" w:rsidRDefault="00346252" w:rsidP="00092A0A">
      <w:pPr>
        <w:pStyle w:val="BodyText"/>
        <w:spacing w:before="1"/>
        <w:ind w:left="238" w:right="20"/>
        <w:jc w:val="both"/>
      </w:pPr>
      <w:r>
        <w:t>Limited clinical data are available on the interaction between sunitinib and BCRP inhibitors and the possibility of an interaction between sunitinib and other BCRP inhibitors cannot be excluded (see section 5.2).</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rPr>
          <w:u w:val="single"/>
        </w:rPr>
        <w:t>Medicinal products that may decrease sunitinib plasma concentrations</w:t>
      </w:r>
    </w:p>
    <w:p w:rsidR="00457196" w:rsidRDefault="00346252" w:rsidP="00092A0A">
      <w:pPr>
        <w:spacing w:before="2" w:line="252" w:lineRule="exact"/>
        <w:ind w:left="238" w:right="20"/>
        <w:jc w:val="both"/>
        <w:rPr>
          <w:i/>
        </w:rPr>
      </w:pPr>
      <w:r>
        <w:rPr>
          <w:i/>
        </w:rPr>
        <w:t>Effect of CYP3A4 inducers</w:t>
      </w:r>
    </w:p>
    <w:p w:rsidR="00457196" w:rsidRDefault="00346252" w:rsidP="00592E2B">
      <w:pPr>
        <w:pStyle w:val="BodyText"/>
        <w:spacing w:line="252" w:lineRule="exact"/>
        <w:ind w:left="238" w:right="20"/>
        <w:jc w:val="both"/>
      </w:pPr>
      <w:r>
        <w:t>In healthy volunteers, concomitant administration of a single dose of sunitinib with the</w:t>
      </w:r>
      <w:r w:rsidR="00592E2B">
        <w:t xml:space="preserve"> </w:t>
      </w:r>
      <w:r>
        <w:t xml:space="preserve">CYP3A4 inducer rifampicin resulted in a reduction of the combined [sunitinib + primary metabolite] </w:t>
      </w:r>
      <w:r>
        <w:rPr>
          <w:position w:val="2"/>
        </w:rPr>
        <w:t>C</w:t>
      </w:r>
      <w:r>
        <w:rPr>
          <w:sz w:val="14"/>
        </w:rPr>
        <w:t xml:space="preserve">max </w:t>
      </w:r>
      <w:r>
        <w:rPr>
          <w:position w:val="2"/>
        </w:rPr>
        <w:t>and AUC</w:t>
      </w:r>
      <w:r>
        <w:rPr>
          <w:sz w:val="14"/>
        </w:rPr>
        <w:t>0-</w:t>
      </w:r>
      <w:r>
        <w:rPr>
          <w:rFonts w:ascii="Symbol" w:hAnsi="Symbol"/>
          <w:sz w:val="14"/>
        </w:rPr>
        <w:t></w:t>
      </w:r>
      <w:r>
        <w:rPr>
          <w:sz w:val="14"/>
        </w:rPr>
        <w:t xml:space="preserve"> </w:t>
      </w:r>
      <w:r>
        <w:rPr>
          <w:position w:val="2"/>
        </w:rPr>
        <w:t>values of 23% and 46%, respectively.</w:t>
      </w:r>
    </w:p>
    <w:p w:rsidR="00457196" w:rsidRDefault="00457196" w:rsidP="00092A0A">
      <w:pPr>
        <w:pStyle w:val="BodyText"/>
        <w:spacing w:before="6"/>
        <w:ind w:right="20"/>
        <w:jc w:val="both"/>
        <w:rPr>
          <w:sz w:val="20"/>
        </w:rPr>
      </w:pPr>
    </w:p>
    <w:p w:rsidR="00457196" w:rsidRDefault="00346252" w:rsidP="00592E2B">
      <w:pPr>
        <w:pStyle w:val="BodyText"/>
        <w:ind w:left="238" w:right="20"/>
        <w:jc w:val="both"/>
      </w:pPr>
      <w:r>
        <w:t>Administration of sunitinib with potent CYP3A4 inducers (e.g., dexamethasone, phenytoin, carbamazepine, rifampicin, phenobarbital or herbal preparations containing St. John’s Wort</w:t>
      </w:r>
      <w:r>
        <w:rPr>
          <w:i/>
        </w:rPr>
        <w:t>/Hypericum perforatum</w:t>
      </w:r>
      <w:r>
        <w:t>) may decrease sunitinib concentrations. Combination with</w:t>
      </w:r>
      <w:r w:rsidR="00092A0A">
        <w:t xml:space="preserve"> </w:t>
      </w:r>
      <w:r>
        <w:t xml:space="preserve">CYP3A4 inducers should therefore be avoided, or selection of an alternate concomitant medicinal product, with no or minimal potential to induce CYP3A4 should be considered. If this is not possible, the dose of </w:t>
      </w:r>
      <w:r w:rsidR="00FB4591">
        <w:t>&lt;Product name&gt;</w:t>
      </w:r>
      <w:r>
        <w:t xml:space="preserve"> may need to be increased in 12.5 mg increments (up to 87.5 mg per day for GIST and MRCC or 62.5 mg per day for pNET), based on careful monitoring of tolerability (see</w:t>
      </w:r>
      <w:r w:rsidR="00592E2B">
        <w:t xml:space="preserve"> </w:t>
      </w:r>
      <w:r>
        <w:t>section 4.2).</w:t>
      </w:r>
    </w:p>
    <w:p w:rsidR="00457196" w:rsidRDefault="00457196" w:rsidP="00092A0A">
      <w:pPr>
        <w:pStyle w:val="BodyText"/>
        <w:spacing w:before="9"/>
        <w:ind w:right="20"/>
        <w:jc w:val="both"/>
        <w:rPr>
          <w:sz w:val="21"/>
        </w:rPr>
      </w:pPr>
    </w:p>
    <w:p w:rsidR="00457196" w:rsidRDefault="00346252" w:rsidP="00092A0A">
      <w:pPr>
        <w:pStyle w:val="Heading1"/>
        <w:numPr>
          <w:ilvl w:val="1"/>
          <w:numId w:val="12"/>
        </w:numPr>
        <w:tabs>
          <w:tab w:val="left" w:pos="805"/>
          <w:tab w:val="left" w:pos="806"/>
        </w:tabs>
        <w:spacing w:before="0"/>
        <w:ind w:right="20" w:hanging="568"/>
        <w:jc w:val="both"/>
      </w:pPr>
      <w:r>
        <w:t>Fertility, pregnancy and</w:t>
      </w:r>
      <w:r>
        <w:rPr>
          <w:spacing w:val="-3"/>
        </w:rPr>
        <w:t xml:space="preserve"> </w:t>
      </w:r>
      <w:r>
        <w:t>lactation</w:t>
      </w:r>
    </w:p>
    <w:p w:rsidR="00457196" w:rsidRDefault="00457196" w:rsidP="00092A0A">
      <w:pPr>
        <w:pStyle w:val="BodyText"/>
        <w:spacing w:before="1"/>
        <w:ind w:right="20"/>
        <w:jc w:val="both"/>
        <w:rPr>
          <w:b/>
        </w:rPr>
      </w:pPr>
    </w:p>
    <w:p w:rsidR="00457196" w:rsidRDefault="00346252" w:rsidP="00092A0A">
      <w:pPr>
        <w:pStyle w:val="BodyText"/>
        <w:ind w:left="238" w:right="20"/>
        <w:jc w:val="both"/>
      </w:pPr>
      <w:r>
        <w:rPr>
          <w:u w:val="single"/>
        </w:rPr>
        <w:t>Contraception in males and females</w:t>
      </w:r>
    </w:p>
    <w:p w:rsidR="00457196" w:rsidRDefault="00346252" w:rsidP="00092A0A">
      <w:pPr>
        <w:pStyle w:val="BodyText"/>
        <w:spacing w:before="6" w:line="244" w:lineRule="auto"/>
        <w:ind w:left="238" w:right="20"/>
        <w:jc w:val="both"/>
      </w:pPr>
      <w:r>
        <w:t xml:space="preserve">Women of childbearing potential should be advised to use effective contraception and avoid becoming pregnant while receiving treatment with </w:t>
      </w:r>
      <w:r w:rsidR="00D272D5">
        <w:t>sunitinib</w:t>
      </w:r>
      <w:r>
        <w:t>.</w:t>
      </w:r>
    </w:p>
    <w:p w:rsidR="00457196" w:rsidRDefault="00457196" w:rsidP="00092A0A">
      <w:pPr>
        <w:pStyle w:val="BodyText"/>
        <w:spacing w:before="6"/>
        <w:ind w:right="20"/>
        <w:jc w:val="both"/>
      </w:pPr>
    </w:p>
    <w:p w:rsidR="00457196" w:rsidRDefault="00346252" w:rsidP="00092A0A">
      <w:pPr>
        <w:pStyle w:val="BodyText"/>
        <w:spacing w:line="252" w:lineRule="exact"/>
        <w:ind w:left="238" w:right="20"/>
        <w:jc w:val="both"/>
      </w:pPr>
      <w:r>
        <w:rPr>
          <w:u w:val="single"/>
        </w:rPr>
        <w:t>Pregnancy</w:t>
      </w:r>
    </w:p>
    <w:p w:rsidR="00457196" w:rsidRDefault="00346252" w:rsidP="00092A0A">
      <w:pPr>
        <w:pStyle w:val="BodyText"/>
        <w:ind w:left="238" w:right="20"/>
        <w:jc w:val="both"/>
      </w:pPr>
      <w:r>
        <w:t xml:space="preserve">There are no studies in pregnant women using sunitinib. Studies in animals have shown reproductive toxicity including foetal malformations (see section 5.3). </w:t>
      </w:r>
      <w:r w:rsidR="00D272D5">
        <w:t>Sunitinib</w:t>
      </w:r>
      <w:r>
        <w:t xml:space="preserve"> should not be used during pregnancy or in women not using effective contraception, unless the potential benefit justifies the potential risk to the foetus. If </w:t>
      </w:r>
      <w:r w:rsidR="00D272D5">
        <w:t>sunitinib</w:t>
      </w:r>
      <w:r>
        <w:t xml:space="preserve"> is used during pregnancy or if the patient becomes pregnant while on treatment with </w:t>
      </w:r>
      <w:r w:rsidR="00D272D5">
        <w:t>sunitinib</w:t>
      </w:r>
      <w:r>
        <w:t>, the patient should be apprised of the potential hazard to the foetus.</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rPr>
          <w:u w:val="single"/>
        </w:rPr>
        <w:t>Breast-feeding</w:t>
      </w:r>
    </w:p>
    <w:p w:rsidR="00457196" w:rsidRDefault="00346252" w:rsidP="00092A0A">
      <w:pPr>
        <w:pStyle w:val="BodyText"/>
        <w:spacing w:before="1"/>
        <w:ind w:left="238" w:right="20"/>
        <w:jc w:val="both"/>
        <w:rPr>
          <w:i/>
        </w:rPr>
      </w:pPr>
      <w:r>
        <w:t xml:space="preserve">Sunitinib and/or its metabolites are excreted in rat milk. It is not known whether sunitinib or its primary active metabolite is excreted in human milk. Because active substances are commonly excreted in human milk and because of the potential for serious adverse reactions in breast-feeding infants, women should not breast-feed while taking </w:t>
      </w:r>
      <w:r w:rsidR="00D272D5">
        <w:t>sunitinib</w:t>
      </w:r>
      <w:r>
        <w:rPr>
          <w:i/>
        </w:rPr>
        <w:t>.</w:t>
      </w:r>
    </w:p>
    <w:p w:rsidR="00457196" w:rsidRDefault="00457196" w:rsidP="00092A0A">
      <w:pPr>
        <w:pStyle w:val="BodyText"/>
        <w:ind w:right="20"/>
        <w:jc w:val="both"/>
        <w:rPr>
          <w:i/>
        </w:rPr>
      </w:pPr>
    </w:p>
    <w:p w:rsidR="00457196" w:rsidRDefault="00346252" w:rsidP="00092A0A">
      <w:pPr>
        <w:pStyle w:val="BodyText"/>
        <w:spacing w:line="252" w:lineRule="exact"/>
        <w:ind w:left="238" w:right="20"/>
        <w:jc w:val="both"/>
      </w:pPr>
      <w:r>
        <w:rPr>
          <w:u w:val="single"/>
        </w:rPr>
        <w:t>Fertility</w:t>
      </w:r>
    </w:p>
    <w:p w:rsidR="00457196" w:rsidRDefault="00346252" w:rsidP="00092A0A">
      <w:pPr>
        <w:pStyle w:val="BodyText"/>
        <w:ind w:left="238" w:right="20"/>
        <w:jc w:val="both"/>
      </w:pPr>
      <w:r>
        <w:t>Based on nonclinical findings, male and female fertility may be compromised by treatment with sunitinib (see section 5.3).</w:t>
      </w:r>
    </w:p>
    <w:p w:rsidR="00457196" w:rsidRDefault="00457196" w:rsidP="00092A0A">
      <w:pPr>
        <w:pStyle w:val="BodyText"/>
        <w:spacing w:before="2"/>
        <w:ind w:right="20"/>
        <w:jc w:val="both"/>
      </w:pPr>
    </w:p>
    <w:p w:rsidR="00457196" w:rsidRDefault="00346252" w:rsidP="00092A0A">
      <w:pPr>
        <w:pStyle w:val="Heading1"/>
        <w:numPr>
          <w:ilvl w:val="1"/>
          <w:numId w:val="12"/>
        </w:numPr>
        <w:tabs>
          <w:tab w:val="left" w:pos="805"/>
          <w:tab w:val="left" w:pos="806"/>
        </w:tabs>
        <w:spacing w:before="0"/>
        <w:ind w:right="20" w:hanging="568"/>
        <w:jc w:val="both"/>
      </w:pPr>
      <w:r>
        <w:t>Effects on ability to drive and use</w:t>
      </w:r>
      <w:r>
        <w:rPr>
          <w:spacing w:val="-10"/>
        </w:rPr>
        <w:t xml:space="preserve"> </w:t>
      </w:r>
      <w:r>
        <w:t>machines</w:t>
      </w:r>
    </w:p>
    <w:p w:rsidR="00457196" w:rsidRDefault="00457196" w:rsidP="00092A0A">
      <w:pPr>
        <w:pStyle w:val="BodyText"/>
        <w:spacing w:before="9"/>
        <w:ind w:right="20"/>
        <w:jc w:val="both"/>
        <w:rPr>
          <w:b/>
          <w:sz w:val="21"/>
        </w:rPr>
      </w:pPr>
    </w:p>
    <w:p w:rsidR="00457196" w:rsidRDefault="00FB4591" w:rsidP="00092A0A">
      <w:pPr>
        <w:pStyle w:val="BodyText"/>
        <w:ind w:left="238" w:right="20"/>
        <w:jc w:val="both"/>
      </w:pPr>
      <w:r>
        <w:t>&lt;Product name&gt;</w:t>
      </w:r>
      <w:r w:rsidR="00346252">
        <w:t xml:space="preserve"> has minor influence on the ability to drive and use machines. Patients should be advised that they may experience dizziness during treatment with sunitinib.</w:t>
      </w:r>
    </w:p>
    <w:p w:rsidR="00346252" w:rsidRDefault="00346252" w:rsidP="00092A0A">
      <w:pPr>
        <w:pStyle w:val="Heading1"/>
        <w:tabs>
          <w:tab w:val="left" w:pos="805"/>
          <w:tab w:val="left" w:pos="806"/>
        </w:tabs>
        <w:spacing w:before="70"/>
        <w:ind w:left="805" w:right="20"/>
        <w:jc w:val="both"/>
      </w:pPr>
    </w:p>
    <w:p w:rsidR="00457196" w:rsidRDefault="00346252" w:rsidP="00092A0A">
      <w:pPr>
        <w:pStyle w:val="Heading1"/>
        <w:numPr>
          <w:ilvl w:val="1"/>
          <w:numId w:val="12"/>
        </w:numPr>
        <w:tabs>
          <w:tab w:val="left" w:pos="805"/>
          <w:tab w:val="left" w:pos="806"/>
        </w:tabs>
        <w:spacing w:before="70"/>
        <w:ind w:right="20" w:hanging="568"/>
        <w:jc w:val="both"/>
      </w:pPr>
      <w:r>
        <w:t>Undesirable</w:t>
      </w:r>
      <w:r>
        <w:rPr>
          <w:spacing w:val="-3"/>
        </w:rPr>
        <w:t xml:space="preserve"> </w:t>
      </w:r>
      <w:r>
        <w:t>effects</w:t>
      </w:r>
    </w:p>
    <w:p w:rsidR="00457196" w:rsidRDefault="00457196" w:rsidP="00092A0A">
      <w:pPr>
        <w:pStyle w:val="BodyText"/>
        <w:spacing w:before="1"/>
        <w:ind w:right="20"/>
        <w:jc w:val="both"/>
        <w:rPr>
          <w:b/>
        </w:rPr>
      </w:pPr>
    </w:p>
    <w:p w:rsidR="00457196" w:rsidRDefault="00346252" w:rsidP="00092A0A">
      <w:pPr>
        <w:pStyle w:val="BodyText"/>
        <w:ind w:left="238" w:right="20"/>
        <w:jc w:val="both"/>
      </w:pPr>
      <w:r>
        <w:rPr>
          <w:u w:val="single"/>
        </w:rPr>
        <w:t>Summary of the safety profile</w:t>
      </w:r>
    </w:p>
    <w:p w:rsidR="00457196" w:rsidRDefault="00346252" w:rsidP="00092A0A">
      <w:pPr>
        <w:pStyle w:val="BodyText"/>
        <w:spacing w:before="2"/>
        <w:ind w:left="238" w:right="20"/>
        <w:jc w:val="both"/>
      </w:pPr>
      <w:r>
        <w:t>The most serious adverse reactions associated with sunitinib, some fatal, are renal failure, heart failure, pulmonary embolism, gastrointestinal perforation, and haemorrhages (e.g., respiratory tract, gastrointestinal, tumour, urinary tract, and brain haemorrhages). The most common adverse reactions of any grade (experienced by patients in RCC, GIST, and pNET registrational trials) included decreased appetite, taste disturbance, hypertension, fatigue, gastrointestinal disorders (i.e. diarrhoea, nausea, stomatitis, dyspepsia, and vomiting), skin discolouration, and palmar-plantar erythrodysaesthesia syndrome. These symptoms may diminish as treatment continues.</w:t>
      </w:r>
    </w:p>
    <w:p w:rsidR="00457196" w:rsidRDefault="00346252" w:rsidP="00092A0A">
      <w:pPr>
        <w:pStyle w:val="BodyText"/>
        <w:ind w:left="238" w:right="20"/>
        <w:jc w:val="both"/>
      </w:pPr>
      <w:r>
        <w:t>Hypothyroidism may develop during treatment. Haematological disorders (e.g., neutropenia, thrombocytopenia, and anaemia) are amongst the most common adverse drug reactions.</w:t>
      </w:r>
    </w:p>
    <w:p w:rsidR="004743F2" w:rsidRDefault="004743F2" w:rsidP="00092A0A">
      <w:pPr>
        <w:pStyle w:val="BodyText"/>
        <w:ind w:left="238" w:right="20"/>
        <w:jc w:val="both"/>
      </w:pPr>
    </w:p>
    <w:p w:rsidR="00457196" w:rsidRDefault="00346252" w:rsidP="00092A0A">
      <w:pPr>
        <w:pStyle w:val="BodyText"/>
        <w:ind w:left="238" w:right="20"/>
        <w:jc w:val="both"/>
      </w:pPr>
      <w:r>
        <w:t>Fatal events other than those listed in section 4.4 above or in section 4.8 below that were considered possibly related to sunitinib included multi-system organ failure, disseminated intravascular coagulation, peritoneal haemorrhage, adrenal insufficiency, pneumothorax, shock, and sudden death.</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rPr>
          <w:u w:val="single"/>
        </w:rPr>
        <w:t>Tabulated list of adverse reactions</w:t>
      </w:r>
    </w:p>
    <w:p w:rsidR="00457196" w:rsidRDefault="00346252" w:rsidP="00092A0A">
      <w:pPr>
        <w:pStyle w:val="BodyText"/>
        <w:spacing w:before="1" w:line="252" w:lineRule="exact"/>
        <w:ind w:left="238" w:right="20"/>
        <w:jc w:val="both"/>
      </w:pPr>
      <w:r>
        <w:t>Adverse reactions that were reported in GIST, MRCC, and pNET patients in a pooled dataset of</w:t>
      </w:r>
    </w:p>
    <w:p w:rsidR="00457196" w:rsidRDefault="00346252" w:rsidP="00092A0A">
      <w:pPr>
        <w:pStyle w:val="BodyText"/>
        <w:ind w:left="238" w:right="20"/>
        <w:jc w:val="both"/>
      </w:pPr>
      <w:r>
        <w:t>7,115 patients are listed below, by system organ class, frequency and grade of severity (NCI-CTCAE). Post-marketing adverse reactions identified in clinical studies are also included. Within each frequency grouping, undesirable effects are presented in order of decreasing</w:t>
      </w:r>
      <w:r>
        <w:rPr>
          <w:spacing w:val="-12"/>
        </w:rPr>
        <w:t xml:space="preserve"> </w:t>
      </w:r>
      <w:r>
        <w:t>seriousness.</w:t>
      </w:r>
    </w:p>
    <w:p w:rsidR="00457196" w:rsidRDefault="00457196" w:rsidP="00092A0A">
      <w:pPr>
        <w:pStyle w:val="BodyText"/>
        <w:spacing w:before="2"/>
        <w:ind w:right="20"/>
        <w:jc w:val="both"/>
      </w:pPr>
    </w:p>
    <w:p w:rsidR="006B68E6" w:rsidRPr="00DC32D3" w:rsidRDefault="00346252" w:rsidP="00DC32D3">
      <w:pPr>
        <w:pStyle w:val="BodyText"/>
        <w:ind w:left="238" w:right="20"/>
        <w:jc w:val="both"/>
      </w:pPr>
      <w:r>
        <w:t>Frequencies are defined as: very common (</w:t>
      </w:r>
      <w:r>
        <w:rPr>
          <w:rFonts w:ascii="Symbol" w:hAnsi="Symbol"/>
        </w:rPr>
        <w:t></w:t>
      </w:r>
      <w:r>
        <w:t>1/10), common (</w:t>
      </w:r>
      <w:r>
        <w:rPr>
          <w:rFonts w:ascii="Symbol" w:hAnsi="Symbol"/>
        </w:rPr>
        <w:t></w:t>
      </w:r>
      <w:r>
        <w:t>1/100 to &lt;1/10), uncommon (</w:t>
      </w:r>
      <w:r>
        <w:rPr>
          <w:rFonts w:ascii="Symbol" w:hAnsi="Symbol"/>
        </w:rPr>
        <w:t></w:t>
      </w:r>
      <w:r>
        <w:t>1/1,000 to &lt;1/100), rare (</w:t>
      </w:r>
      <w:r>
        <w:rPr>
          <w:rFonts w:ascii="Symbol" w:hAnsi="Symbol"/>
        </w:rPr>
        <w:t></w:t>
      </w:r>
      <w:r>
        <w:t>1/10,000 to &lt;1/1,000), very rare (&lt;1/10,000), not known (cannot be estimated from the available data).</w:t>
      </w:r>
    </w:p>
    <w:p w:rsidR="00DC32D3" w:rsidRDefault="00DC32D3" w:rsidP="00092A0A">
      <w:pPr>
        <w:pStyle w:val="BodyText"/>
        <w:spacing w:before="10"/>
        <w:ind w:right="20"/>
        <w:rPr>
          <w:sz w:val="21"/>
        </w:rPr>
      </w:pPr>
    </w:p>
    <w:p w:rsidR="00457196" w:rsidRDefault="00346252" w:rsidP="00092A0A">
      <w:pPr>
        <w:pStyle w:val="Heading1"/>
        <w:spacing w:before="0" w:after="3"/>
        <w:ind w:left="238" w:right="20"/>
        <w:jc w:val="both"/>
      </w:pPr>
      <w:r>
        <w:t>Table 1. Adverse reactions reported in clinical trials</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1777"/>
        <w:gridCol w:w="1683"/>
        <w:gridCol w:w="1512"/>
        <w:gridCol w:w="1558"/>
        <w:gridCol w:w="1017"/>
      </w:tblGrid>
      <w:tr w:rsidR="00457196" w:rsidTr="006B68E6">
        <w:trPr>
          <w:trHeight w:val="412"/>
          <w:tblHeader/>
        </w:trPr>
        <w:tc>
          <w:tcPr>
            <w:tcW w:w="1517" w:type="dxa"/>
          </w:tcPr>
          <w:p w:rsidR="00457196" w:rsidRDefault="00346252" w:rsidP="00092A0A">
            <w:pPr>
              <w:pStyle w:val="TableParagraph"/>
              <w:spacing w:line="207" w:lineRule="exact"/>
              <w:ind w:left="14" w:right="20"/>
              <w:rPr>
                <w:b/>
                <w:sz w:val="18"/>
              </w:rPr>
            </w:pPr>
            <w:r>
              <w:rPr>
                <w:b/>
                <w:sz w:val="18"/>
              </w:rPr>
              <w:t>System organ class</w:t>
            </w:r>
          </w:p>
        </w:tc>
        <w:tc>
          <w:tcPr>
            <w:tcW w:w="1777" w:type="dxa"/>
          </w:tcPr>
          <w:p w:rsidR="00457196" w:rsidRDefault="00346252" w:rsidP="00092A0A">
            <w:pPr>
              <w:pStyle w:val="TableParagraph"/>
              <w:spacing w:line="207" w:lineRule="exact"/>
              <w:ind w:left="11" w:right="20"/>
              <w:rPr>
                <w:b/>
                <w:sz w:val="18"/>
              </w:rPr>
            </w:pPr>
            <w:r>
              <w:rPr>
                <w:b/>
                <w:sz w:val="18"/>
              </w:rPr>
              <w:t>Very common</w:t>
            </w:r>
          </w:p>
        </w:tc>
        <w:tc>
          <w:tcPr>
            <w:tcW w:w="1683" w:type="dxa"/>
          </w:tcPr>
          <w:p w:rsidR="00457196" w:rsidRDefault="00346252" w:rsidP="00092A0A">
            <w:pPr>
              <w:pStyle w:val="TableParagraph"/>
              <w:spacing w:line="207" w:lineRule="exact"/>
              <w:ind w:left="11" w:right="20"/>
              <w:rPr>
                <w:b/>
                <w:sz w:val="18"/>
              </w:rPr>
            </w:pPr>
            <w:r>
              <w:rPr>
                <w:b/>
                <w:sz w:val="18"/>
              </w:rPr>
              <w:t>Common</w:t>
            </w:r>
          </w:p>
        </w:tc>
        <w:tc>
          <w:tcPr>
            <w:tcW w:w="1512" w:type="dxa"/>
          </w:tcPr>
          <w:p w:rsidR="00457196" w:rsidRDefault="00346252" w:rsidP="00092A0A">
            <w:pPr>
              <w:pStyle w:val="TableParagraph"/>
              <w:spacing w:line="207" w:lineRule="exact"/>
              <w:ind w:left="13" w:right="20"/>
              <w:rPr>
                <w:b/>
                <w:sz w:val="18"/>
              </w:rPr>
            </w:pPr>
            <w:r>
              <w:rPr>
                <w:b/>
                <w:sz w:val="18"/>
              </w:rPr>
              <w:t>Uncommon</w:t>
            </w:r>
          </w:p>
        </w:tc>
        <w:tc>
          <w:tcPr>
            <w:tcW w:w="1558" w:type="dxa"/>
          </w:tcPr>
          <w:p w:rsidR="00457196" w:rsidRDefault="00346252" w:rsidP="00092A0A">
            <w:pPr>
              <w:pStyle w:val="TableParagraph"/>
              <w:spacing w:line="207" w:lineRule="exact"/>
              <w:ind w:left="13" w:right="20"/>
              <w:rPr>
                <w:b/>
                <w:sz w:val="18"/>
              </w:rPr>
            </w:pPr>
            <w:r>
              <w:rPr>
                <w:b/>
                <w:sz w:val="18"/>
              </w:rPr>
              <w:t>Rare</w:t>
            </w:r>
          </w:p>
        </w:tc>
        <w:tc>
          <w:tcPr>
            <w:tcW w:w="1017" w:type="dxa"/>
          </w:tcPr>
          <w:p w:rsidR="00457196" w:rsidRDefault="00346252" w:rsidP="00092A0A">
            <w:pPr>
              <w:pStyle w:val="TableParagraph"/>
              <w:spacing w:line="207" w:lineRule="exact"/>
              <w:ind w:left="11" w:right="20"/>
              <w:rPr>
                <w:b/>
                <w:sz w:val="18"/>
              </w:rPr>
            </w:pPr>
            <w:r>
              <w:rPr>
                <w:b/>
                <w:sz w:val="18"/>
              </w:rPr>
              <w:t>Not known</w:t>
            </w:r>
          </w:p>
        </w:tc>
      </w:tr>
      <w:tr w:rsidR="00457196">
        <w:trPr>
          <w:trHeight w:val="1655"/>
        </w:trPr>
        <w:tc>
          <w:tcPr>
            <w:tcW w:w="1517" w:type="dxa"/>
          </w:tcPr>
          <w:p w:rsidR="00457196" w:rsidRDefault="00346252" w:rsidP="00092A0A">
            <w:pPr>
              <w:pStyle w:val="TableParagraph"/>
              <w:spacing w:before="2"/>
              <w:ind w:left="14" w:right="20"/>
              <w:rPr>
                <w:b/>
                <w:sz w:val="18"/>
              </w:rPr>
            </w:pPr>
            <w:r>
              <w:rPr>
                <w:b/>
                <w:sz w:val="18"/>
              </w:rPr>
              <w:t>Infections and infestations</w:t>
            </w:r>
          </w:p>
        </w:tc>
        <w:tc>
          <w:tcPr>
            <w:tcW w:w="1777" w:type="dxa"/>
          </w:tcPr>
          <w:p w:rsidR="00457196" w:rsidRDefault="00457196" w:rsidP="00092A0A">
            <w:pPr>
              <w:pStyle w:val="TableParagraph"/>
              <w:ind w:right="20"/>
              <w:rPr>
                <w:sz w:val="20"/>
              </w:rPr>
            </w:pPr>
          </w:p>
        </w:tc>
        <w:tc>
          <w:tcPr>
            <w:tcW w:w="1683" w:type="dxa"/>
          </w:tcPr>
          <w:p w:rsidR="00457196" w:rsidRDefault="00346252" w:rsidP="00092A0A">
            <w:pPr>
              <w:pStyle w:val="TableParagraph"/>
              <w:spacing w:before="2"/>
              <w:ind w:left="11" w:right="20"/>
              <w:rPr>
                <w:sz w:val="18"/>
              </w:rPr>
            </w:pPr>
            <w:r>
              <w:rPr>
                <w:sz w:val="18"/>
              </w:rPr>
              <w:t>Viral infections</w:t>
            </w:r>
            <w:r>
              <w:rPr>
                <w:sz w:val="18"/>
                <w:vertAlign w:val="superscript"/>
              </w:rPr>
              <w:t>a</w:t>
            </w:r>
            <w:r>
              <w:rPr>
                <w:sz w:val="18"/>
              </w:rPr>
              <w:t xml:space="preserve"> Respiratory infections</w:t>
            </w:r>
            <w:r>
              <w:rPr>
                <w:sz w:val="18"/>
                <w:vertAlign w:val="superscript"/>
              </w:rPr>
              <w:t>b,</w:t>
            </w:r>
            <w:r>
              <w:rPr>
                <w:sz w:val="18"/>
              </w:rPr>
              <w:t>* Abscess</w:t>
            </w:r>
            <w:r>
              <w:rPr>
                <w:sz w:val="18"/>
                <w:vertAlign w:val="superscript"/>
              </w:rPr>
              <w:t>c,</w:t>
            </w:r>
            <w:r>
              <w:rPr>
                <w:sz w:val="18"/>
              </w:rPr>
              <w:t>*</w:t>
            </w:r>
          </w:p>
          <w:p w:rsidR="00457196" w:rsidRDefault="00346252" w:rsidP="00092A0A">
            <w:pPr>
              <w:pStyle w:val="TableParagraph"/>
              <w:spacing w:line="242" w:lineRule="auto"/>
              <w:ind w:left="11" w:right="20"/>
              <w:rPr>
                <w:sz w:val="18"/>
              </w:rPr>
            </w:pPr>
            <w:r>
              <w:rPr>
                <w:sz w:val="18"/>
              </w:rPr>
              <w:t>Fungal infections</w:t>
            </w:r>
            <w:r>
              <w:rPr>
                <w:sz w:val="18"/>
                <w:vertAlign w:val="superscript"/>
              </w:rPr>
              <w:t>d</w:t>
            </w:r>
            <w:r>
              <w:rPr>
                <w:sz w:val="18"/>
              </w:rPr>
              <w:t xml:space="preserve"> Urinary tract infection</w:t>
            </w:r>
          </w:p>
          <w:p w:rsidR="00457196" w:rsidRDefault="00346252" w:rsidP="00092A0A">
            <w:pPr>
              <w:pStyle w:val="TableParagraph"/>
              <w:spacing w:line="206" w:lineRule="exact"/>
              <w:ind w:left="11" w:right="20"/>
              <w:rPr>
                <w:sz w:val="18"/>
              </w:rPr>
            </w:pPr>
            <w:r>
              <w:rPr>
                <w:sz w:val="18"/>
              </w:rPr>
              <w:t>Skin infections</w:t>
            </w:r>
            <w:r>
              <w:rPr>
                <w:sz w:val="18"/>
                <w:vertAlign w:val="superscript"/>
              </w:rPr>
              <w:t>e</w:t>
            </w:r>
            <w:r>
              <w:rPr>
                <w:sz w:val="18"/>
              </w:rPr>
              <w:t xml:space="preserve"> Sepsis</w:t>
            </w:r>
            <w:r>
              <w:rPr>
                <w:sz w:val="18"/>
                <w:vertAlign w:val="superscript"/>
              </w:rPr>
              <w:t>f,*</w:t>
            </w:r>
          </w:p>
        </w:tc>
        <w:tc>
          <w:tcPr>
            <w:tcW w:w="1512" w:type="dxa"/>
          </w:tcPr>
          <w:p w:rsidR="00457196" w:rsidRDefault="00346252" w:rsidP="00092A0A">
            <w:pPr>
              <w:pStyle w:val="TableParagraph"/>
              <w:spacing w:before="2"/>
              <w:ind w:left="13" w:right="20"/>
              <w:rPr>
                <w:sz w:val="18"/>
              </w:rPr>
            </w:pPr>
            <w:r>
              <w:rPr>
                <w:sz w:val="18"/>
              </w:rPr>
              <w:t>Necrotising fasciitis*</w:t>
            </w:r>
          </w:p>
          <w:p w:rsidR="00457196" w:rsidRDefault="00346252" w:rsidP="00092A0A">
            <w:pPr>
              <w:pStyle w:val="TableParagraph"/>
              <w:spacing w:line="206" w:lineRule="exact"/>
              <w:ind w:left="13" w:right="20"/>
              <w:rPr>
                <w:sz w:val="18"/>
              </w:rPr>
            </w:pPr>
            <w:r>
              <w:rPr>
                <w:sz w:val="18"/>
              </w:rPr>
              <w:t>Bacterial infections</w:t>
            </w:r>
            <w:r>
              <w:rPr>
                <w:sz w:val="18"/>
                <w:vertAlign w:val="superscript"/>
              </w:rPr>
              <w:t>g</w:t>
            </w:r>
          </w:p>
        </w:tc>
        <w:tc>
          <w:tcPr>
            <w:tcW w:w="1558" w:type="dxa"/>
          </w:tcPr>
          <w:p w:rsidR="00457196" w:rsidRDefault="00457196" w:rsidP="00092A0A">
            <w:pPr>
              <w:pStyle w:val="TableParagraph"/>
              <w:ind w:right="20"/>
              <w:rPr>
                <w:sz w:val="20"/>
              </w:rPr>
            </w:pPr>
          </w:p>
        </w:tc>
        <w:tc>
          <w:tcPr>
            <w:tcW w:w="1017" w:type="dxa"/>
          </w:tcPr>
          <w:p w:rsidR="00457196" w:rsidRDefault="00457196" w:rsidP="00092A0A">
            <w:pPr>
              <w:pStyle w:val="TableParagraph"/>
              <w:ind w:right="20"/>
              <w:rPr>
                <w:sz w:val="20"/>
              </w:rPr>
            </w:pPr>
          </w:p>
        </w:tc>
      </w:tr>
      <w:tr w:rsidR="00457196">
        <w:trPr>
          <w:trHeight w:val="826"/>
        </w:trPr>
        <w:tc>
          <w:tcPr>
            <w:tcW w:w="1517" w:type="dxa"/>
          </w:tcPr>
          <w:p w:rsidR="00457196" w:rsidRDefault="00346252" w:rsidP="00092A0A">
            <w:pPr>
              <w:pStyle w:val="TableParagraph"/>
              <w:ind w:left="14" w:right="20"/>
              <w:rPr>
                <w:b/>
                <w:sz w:val="18"/>
              </w:rPr>
            </w:pPr>
            <w:r>
              <w:rPr>
                <w:b/>
                <w:sz w:val="18"/>
              </w:rPr>
              <w:t>Blood and lymphatic system disorders</w:t>
            </w:r>
          </w:p>
        </w:tc>
        <w:tc>
          <w:tcPr>
            <w:tcW w:w="1777" w:type="dxa"/>
          </w:tcPr>
          <w:p w:rsidR="00457196" w:rsidRDefault="00346252" w:rsidP="00092A0A">
            <w:pPr>
              <w:pStyle w:val="TableParagraph"/>
              <w:ind w:left="11" w:right="20"/>
              <w:rPr>
                <w:sz w:val="18"/>
              </w:rPr>
            </w:pPr>
            <w:r>
              <w:rPr>
                <w:sz w:val="18"/>
              </w:rPr>
              <w:t>Neutropoenia Thrombocytopoenia Anaemia</w:t>
            </w:r>
          </w:p>
          <w:p w:rsidR="00457196" w:rsidRDefault="00346252" w:rsidP="00092A0A">
            <w:pPr>
              <w:pStyle w:val="TableParagraph"/>
              <w:spacing w:line="187" w:lineRule="exact"/>
              <w:ind w:left="11" w:right="20"/>
              <w:rPr>
                <w:sz w:val="18"/>
              </w:rPr>
            </w:pPr>
            <w:r>
              <w:rPr>
                <w:sz w:val="18"/>
              </w:rPr>
              <w:t>Leukopoenia</w:t>
            </w:r>
          </w:p>
        </w:tc>
        <w:tc>
          <w:tcPr>
            <w:tcW w:w="1683" w:type="dxa"/>
          </w:tcPr>
          <w:p w:rsidR="00457196" w:rsidRDefault="00346252" w:rsidP="00092A0A">
            <w:pPr>
              <w:pStyle w:val="TableParagraph"/>
              <w:spacing w:line="205" w:lineRule="exact"/>
              <w:ind w:left="11" w:right="20"/>
              <w:rPr>
                <w:sz w:val="18"/>
              </w:rPr>
            </w:pPr>
            <w:r>
              <w:rPr>
                <w:sz w:val="18"/>
              </w:rPr>
              <w:t>Lymphopoenia</w:t>
            </w:r>
          </w:p>
        </w:tc>
        <w:tc>
          <w:tcPr>
            <w:tcW w:w="1512" w:type="dxa"/>
          </w:tcPr>
          <w:p w:rsidR="00457196" w:rsidRDefault="00346252" w:rsidP="00092A0A">
            <w:pPr>
              <w:pStyle w:val="TableParagraph"/>
              <w:spacing w:line="205" w:lineRule="exact"/>
              <w:ind w:left="13" w:right="20"/>
              <w:rPr>
                <w:sz w:val="18"/>
              </w:rPr>
            </w:pPr>
            <w:r>
              <w:rPr>
                <w:sz w:val="18"/>
              </w:rPr>
              <w:t>Pancytopenia</w:t>
            </w:r>
          </w:p>
        </w:tc>
        <w:tc>
          <w:tcPr>
            <w:tcW w:w="1558" w:type="dxa"/>
          </w:tcPr>
          <w:p w:rsidR="00457196" w:rsidRDefault="00346252" w:rsidP="00092A0A">
            <w:pPr>
              <w:pStyle w:val="TableParagraph"/>
              <w:ind w:left="13" w:right="20"/>
              <w:rPr>
                <w:sz w:val="18"/>
              </w:rPr>
            </w:pPr>
            <w:r>
              <w:rPr>
                <w:sz w:val="18"/>
              </w:rPr>
              <w:t>Thrombotic microangiopathy</w:t>
            </w:r>
            <w:r>
              <w:rPr>
                <w:sz w:val="18"/>
                <w:vertAlign w:val="superscript"/>
              </w:rPr>
              <w:t>h,*</w:t>
            </w:r>
          </w:p>
        </w:tc>
        <w:tc>
          <w:tcPr>
            <w:tcW w:w="1017" w:type="dxa"/>
          </w:tcPr>
          <w:p w:rsidR="00457196" w:rsidRDefault="00457196" w:rsidP="00092A0A">
            <w:pPr>
              <w:pStyle w:val="TableParagraph"/>
              <w:ind w:right="20"/>
              <w:rPr>
                <w:sz w:val="20"/>
              </w:rPr>
            </w:pPr>
          </w:p>
        </w:tc>
      </w:tr>
      <w:tr w:rsidR="00457196">
        <w:trPr>
          <w:trHeight w:val="412"/>
        </w:trPr>
        <w:tc>
          <w:tcPr>
            <w:tcW w:w="1517" w:type="dxa"/>
          </w:tcPr>
          <w:p w:rsidR="00457196" w:rsidRDefault="00346252" w:rsidP="00092A0A">
            <w:pPr>
              <w:pStyle w:val="TableParagraph"/>
              <w:spacing w:before="3" w:line="206" w:lineRule="exact"/>
              <w:ind w:left="14" w:right="20"/>
              <w:rPr>
                <w:b/>
                <w:sz w:val="18"/>
              </w:rPr>
            </w:pPr>
            <w:r>
              <w:rPr>
                <w:b/>
                <w:sz w:val="18"/>
              </w:rPr>
              <w:t>Immune system disorders</w:t>
            </w:r>
          </w:p>
        </w:tc>
        <w:tc>
          <w:tcPr>
            <w:tcW w:w="1777" w:type="dxa"/>
          </w:tcPr>
          <w:p w:rsidR="00457196" w:rsidRDefault="00457196" w:rsidP="00092A0A">
            <w:pPr>
              <w:pStyle w:val="TableParagraph"/>
              <w:ind w:right="20"/>
              <w:rPr>
                <w:sz w:val="20"/>
              </w:rPr>
            </w:pPr>
          </w:p>
        </w:tc>
        <w:tc>
          <w:tcPr>
            <w:tcW w:w="1683" w:type="dxa"/>
          </w:tcPr>
          <w:p w:rsidR="00457196" w:rsidRDefault="00457196" w:rsidP="00092A0A">
            <w:pPr>
              <w:pStyle w:val="TableParagraph"/>
              <w:ind w:right="20"/>
              <w:rPr>
                <w:sz w:val="20"/>
              </w:rPr>
            </w:pPr>
          </w:p>
        </w:tc>
        <w:tc>
          <w:tcPr>
            <w:tcW w:w="1512" w:type="dxa"/>
          </w:tcPr>
          <w:p w:rsidR="00457196" w:rsidRDefault="00346252" w:rsidP="00092A0A">
            <w:pPr>
              <w:pStyle w:val="TableParagraph"/>
              <w:spacing w:line="207" w:lineRule="exact"/>
              <w:ind w:left="13" w:right="20"/>
              <w:rPr>
                <w:sz w:val="18"/>
              </w:rPr>
            </w:pPr>
            <w:r>
              <w:rPr>
                <w:sz w:val="18"/>
              </w:rPr>
              <w:t>Hypersensitivity</w:t>
            </w:r>
          </w:p>
        </w:tc>
        <w:tc>
          <w:tcPr>
            <w:tcW w:w="1558" w:type="dxa"/>
          </w:tcPr>
          <w:p w:rsidR="00457196" w:rsidRDefault="00346252" w:rsidP="00092A0A">
            <w:pPr>
              <w:pStyle w:val="TableParagraph"/>
              <w:spacing w:line="207" w:lineRule="exact"/>
              <w:ind w:left="13" w:right="20"/>
              <w:rPr>
                <w:sz w:val="18"/>
              </w:rPr>
            </w:pPr>
            <w:r>
              <w:rPr>
                <w:sz w:val="18"/>
              </w:rPr>
              <w:t>Angioedema</w:t>
            </w:r>
          </w:p>
        </w:tc>
        <w:tc>
          <w:tcPr>
            <w:tcW w:w="1017" w:type="dxa"/>
          </w:tcPr>
          <w:p w:rsidR="00457196" w:rsidRDefault="00457196" w:rsidP="00092A0A">
            <w:pPr>
              <w:pStyle w:val="TableParagraph"/>
              <w:ind w:right="20"/>
              <w:rPr>
                <w:sz w:val="20"/>
              </w:rPr>
            </w:pPr>
          </w:p>
        </w:tc>
      </w:tr>
      <w:tr w:rsidR="00457196">
        <w:trPr>
          <w:trHeight w:val="411"/>
        </w:trPr>
        <w:tc>
          <w:tcPr>
            <w:tcW w:w="1517" w:type="dxa"/>
          </w:tcPr>
          <w:p w:rsidR="00457196" w:rsidRDefault="00346252" w:rsidP="00092A0A">
            <w:pPr>
              <w:pStyle w:val="TableParagraph"/>
              <w:spacing w:line="204" w:lineRule="exact"/>
              <w:ind w:left="14" w:right="20"/>
              <w:rPr>
                <w:b/>
                <w:sz w:val="18"/>
              </w:rPr>
            </w:pPr>
            <w:r>
              <w:rPr>
                <w:b/>
                <w:sz w:val="18"/>
              </w:rPr>
              <w:t>Endocrine</w:t>
            </w:r>
          </w:p>
          <w:p w:rsidR="00457196" w:rsidRDefault="00346252" w:rsidP="00092A0A">
            <w:pPr>
              <w:pStyle w:val="TableParagraph"/>
              <w:spacing w:before="2" w:line="186" w:lineRule="exact"/>
              <w:ind w:left="14" w:right="20"/>
              <w:rPr>
                <w:b/>
                <w:sz w:val="18"/>
              </w:rPr>
            </w:pPr>
            <w:r>
              <w:rPr>
                <w:b/>
                <w:sz w:val="18"/>
              </w:rPr>
              <w:t>disorders</w:t>
            </w:r>
          </w:p>
        </w:tc>
        <w:tc>
          <w:tcPr>
            <w:tcW w:w="1777" w:type="dxa"/>
          </w:tcPr>
          <w:p w:rsidR="00457196" w:rsidRDefault="00346252" w:rsidP="00092A0A">
            <w:pPr>
              <w:pStyle w:val="TableParagraph"/>
              <w:spacing w:line="204" w:lineRule="exact"/>
              <w:ind w:left="11" w:right="20"/>
              <w:rPr>
                <w:sz w:val="18"/>
              </w:rPr>
            </w:pPr>
            <w:r>
              <w:rPr>
                <w:sz w:val="18"/>
              </w:rPr>
              <w:t>Hypothyroidism</w:t>
            </w:r>
          </w:p>
        </w:tc>
        <w:tc>
          <w:tcPr>
            <w:tcW w:w="1683" w:type="dxa"/>
          </w:tcPr>
          <w:p w:rsidR="00457196" w:rsidRDefault="00457196" w:rsidP="00092A0A">
            <w:pPr>
              <w:pStyle w:val="TableParagraph"/>
              <w:ind w:right="20"/>
              <w:rPr>
                <w:sz w:val="20"/>
              </w:rPr>
            </w:pPr>
          </w:p>
        </w:tc>
        <w:tc>
          <w:tcPr>
            <w:tcW w:w="1512" w:type="dxa"/>
          </w:tcPr>
          <w:p w:rsidR="00457196" w:rsidRDefault="00346252" w:rsidP="00092A0A">
            <w:pPr>
              <w:pStyle w:val="TableParagraph"/>
              <w:spacing w:line="204" w:lineRule="exact"/>
              <w:ind w:left="13" w:right="20"/>
              <w:rPr>
                <w:sz w:val="18"/>
              </w:rPr>
            </w:pPr>
            <w:r>
              <w:rPr>
                <w:sz w:val="18"/>
              </w:rPr>
              <w:t>Hyperthyroidism</w:t>
            </w:r>
          </w:p>
        </w:tc>
        <w:tc>
          <w:tcPr>
            <w:tcW w:w="1558" w:type="dxa"/>
          </w:tcPr>
          <w:p w:rsidR="00457196" w:rsidRDefault="00346252" w:rsidP="00092A0A">
            <w:pPr>
              <w:pStyle w:val="TableParagraph"/>
              <w:spacing w:line="204" w:lineRule="exact"/>
              <w:ind w:left="13" w:right="20"/>
              <w:rPr>
                <w:sz w:val="18"/>
              </w:rPr>
            </w:pPr>
            <w:r>
              <w:rPr>
                <w:sz w:val="18"/>
              </w:rPr>
              <w:t>Thyroiditis</w:t>
            </w:r>
          </w:p>
        </w:tc>
        <w:tc>
          <w:tcPr>
            <w:tcW w:w="1017" w:type="dxa"/>
          </w:tcPr>
          <w:p w:rsidR="00457196" w:rsidRDefault="00457196" w:rsidP="00092A0A">
            <w:pPr>
              <w:pStyle w:val="TableParagraph"/>
              <w:ind w:right="20"/>
              <w:rPr>
                <w:sz w:val="20"/>
              </w:rPr>
            </w:pPr>
          </w:p>
        </w:tc>
      </w:tr>
      <w:tr w:rsidR="00457196">
        <w:trPr>
          <w:trHeight w:val="414"/>
        </w:trPr>
        <w:tc>
          <w:tcPr>
            <w:tcW w:w="1517" w:type="dxa"/>
          </w:tcPr>
          <w:p w:rsidR="00457196" w:rsidRDefault="00346252" w:rsidP="00092A0A">
            <w:pPr>
              <w:pStyle w:val="TableParagraph"/>
              <w:spacing w:before="3" w:line="206" w:lineRule="exact"/>
              <w:ind w:left="14" w:right="20"/>
              <w:rPr>
                <w:b/>
                <w:sz w:val="18"/>
              </w:rPr>
            </w:pPr>
            <w:r>
              <w:rPr>
                <w:b/>
                <w:sz w:val="18"/>
              </w:rPr>
              <w:t>Metabolism and nutrition disorders</w:t>
            </w:r>
          </w:p>
        </w:tc>
        <w:tc>
          <w:tcPr>
            <w:tcW w:w="1777" w:type="dxa"/>
          </w:tcPr>
          <w:p w:rsidR="00457196" w:rsidRDefault="00346252" w:rsidP="00092A0A">
            <w:pPr>
              <w:pStyle w:val="TableParagraph"/>
              <w:spacing w:line="207" w:lineRule="exact"/>
              <w:ind w:left="11" w:right="20"/>
              <w:rPr>
                <w:sz w:val="18"/>
              </w:rPr>
            </w:pPr>
            <w:r>
              <w:rPr>
                <w:sz w:val="18"/>
              </w:rPr>
              <w:t>Decreased appetite</w:t>
            </w:r>
            <w:r>
              <w:rPr>
                <w:sz w:val="18"/>
                <w:vertAlign w:val="superscript"/>
              </w:rPr>
              <w:t>i</w:t>
            </w:r>
          </w:p>
        </w:tc>
        <w:tc>
          <w:tcPr>
            <w:tcW w:w="1683" w:type="dxa"/>
          </w:tcPr>
          <w:p w:rsidR="00457196" w:rsidRDefault="00346252" w:rsidP="00092A0A">
            <w:pPr>
              <w:pStyle w:val="TableParagraph"/>
              <w:spacing w:before="3" w:line="206" w:lineRule="exact"/>
              <w:ind w:left="11" w:right="20"/>
              <w:rPr>
                <w:sz w:val="18"/>
              </w:rPr>
            </w:pPr>
            <w:r>
              <w:rPr>
                <w:sz w:val="18"/>
              </w:rPr>
              <w:t>Dehydration Hypoglycaemia</w:t>
            </w:r>
          </w:p>
        </w:tc>
        <w:tc>
          <w:tcPr>
            <w:tcW w:w="1512" w:type="dxa"/>
          </w:tcPr>
          <w:p w:rsidR="00457196" w:rsidRDefault="00457196" w:rsidP="00092A0A">
            <w:pPr>
              <w:pStyle w:val="TableParagraph"/>
              <w:ind w:right="20"/>
              <w:rPr>
                <w:sz w:val="20"/>
              </w:rPr>
            </w:pPr>
          </w:p>
        </w:tc>
        <w:tc>
          <w:tcPr>
            <w:tcW w:w="1558" w:type="dxa"/>
          </w:tcPr>
          <w:p w:rsidR="00457196" w:rsidRDefault="00346252" w:rsidP="00092A0A">
            <w:pPr>
              <w:pStyle w:val="TableParagraph"/>
              <w:spacing w:before="3" w:line="206" w:lineRule="exact"/>
              <w:ind w:left="13" w:right="20"/>
              <w:rPr>
                <w:sz w:val="18"/>
              </w:rPr>
            </w:pPr>
            <w:r>
              <w:rPr>
                <w:sz w:val="18"/>
              </w:rPr>
              <w:t>Tumour lysis syndrome*</w:t>
            </w:r>
          </w:p>
        </w:tc>
        <w:tc>
          <w:tcPr>
            <w:tcW w:w="1017" w:type="dxa"/>
          </w:tcPr>
          <w:p w:rsidR="00457196" w:rsidRDefault="00457196" w:rsidP="00092A0A">
            <w:pPr>
              <w:pStyle w:val="TableParagraph"/>
              <w:ind w:right="20"/>
              <w:rPr>
                <w:sz w:val="20"/>
              </w:rPr>
            </w:pPr>
          </w:p>
        </w:tc>
      </w:tr>
      <w:tr w:rsidR="00457196">
        <w:trPr>
          <w:trHeight w:val="412"/>
        </w:trPr>
        <w:tc>
          <w:tcPr>
            <w:tcW w:w="1517" w:type="dxa"/>
          </w:tcPr>
          <w:p w:rsidR="00457196" w:rsidRDefault="00346252" w:rsidP="00092A0A">
            <w:pPr>
              <w:pStyle w:val="TableParagraph"/>
              <w:spacing w:before="2" w:line="206" w:lineRule="exact"/>
              <w:ind w:left="14" w:right="20"/>
              <w:rPr>
                <w:b/>
                <w:sz w:val="18"/>
              </w:rPr>
            </w:pPr>
            <w:r>
              <w:rPr>
                <w:b/>
                <w:sz w:val="18"/>
              </w:rPr>
              <w:t>Psychiatric disorders</w:t>
            </w:r>
          </w:p>
        </w:tc>
        <w:tc>
          <w:tcPr>
            <w:tcW w:w="1777" w:type="dxa"/>
          </w:tcPr>
          <w:p w:rsidR="00457196" w:rsidRDefault="00346252" w:rsidP="00092A0A">
            <w:pPr>
              <w:pStyle w:val="TableParagraph"/>
              <w:spacing w:line="207" w:lineRule="exact"/>
              <w:ind w:left="11" w:right="20"/>
              <w:rPr>
                <w:sz w:val="18"/>
              </w:rPr>
            </w:pPr>
            <w:r>
              <w:rPr>
                <w:sz w:val="18"/>
              </w:rPr>
              <w:t>Insomnia</w:t>
            </w:r>
          </w:p>
        </w:tc>
        <w:tc>
          <w:tcPr>
            <w:tcW w:w="1683" w:type="dxa"/>
          </w:tcPr>
          <w:p w:rsidR="00457196" w:rsidRDefault="00346252" w:rsidP="00092A0A">
            <w:pPr>
              <w:pStyle w:val="TableParagraph"/>
              <w:spacing w:line="207" w:lineRule="exact"/>
              <w:ind w:left="11" w:right="20"/>
              <w:rPr>
                <w:sz w:val="18"/>
              </w:rPr>
            </w:pPr>
            <w:r>
              <w:rPr>
                <w:sz w:val="18"/>
              </w:rPr>
              <w:t>Depression</w:t>
            </w:r>
          </w:p>
        </w:tc>
        <w:tc>
          <w:tcPr>
            <w:tcW w:w="1512" w:type="dxa"/>
          </w:tcPr>
          <w:p w:rsidR="00457196" w:rsidRDefault="00457196" w:rsidP="00092A0A">
            <w:pPr>
              <w:pStyle w:val="TableParagraph"/>
              <w:ind w:right="20"/>
              <w:rPr>
                <w:sz w:val="20"/>
              </w:rPr>
            </w:pPr>
          </w:p>
        </w:tc>
        <w:tc>
          <w:tcPr>
            <w:tcW w:w="1558" w:type="dxa"/>
          </w:tcPr>
          <w:p w:rsidR="00457196" w:rsidRDefault="00457196" w:rsidP="00092A0A">
            <w:pPr>
              <w:pStyle w:val="TableParagraph"/>
              <w:ind w:right="20"/>
              <w:rPr>
                <w:sz w:val="20"/>
              </w:rPr>
            </w:pPr>
          </w:p>
        </w:tc>
        <w:tc>
          <w:tcPr>
            <w:tcW w:w="1017" w:type="dxa"/>
          </w:tcPr>
          <w:p w:rsidR="00457196" w:rsidRDefault="00457196" w:rsidP="00092A0A">
            <w:pPr>
              <w:pStyle w:val="TableParagraph"/>
              <w:ind w:right="20"/>
              <w:rPr>
                <w:sz w:val="20"/>
              </w:rPr>
            </w:pPr>
          </w:p>
        </w:tc>
      </w:tr>
      <w:tr w:rsidR="00457196">
        <w:trPr>
          <w:trHeight w:val="1241"/>
        </w:trPr>
        <w:tc>
          <w:tcPr>
            <w:tcW w:w="1517" w:type="dxa"/>
          </w:tcPr>
          <w:p w:rsidR="00457196" w:rsidRDefault="00346252" w:rsidP="00092A0A">
            <w:pPr>
              <w:pStyle w:val="TableParagraph"/>
              <w:spacing w:line="242" w:lineRule="auto"/>
              <w:ind w:left="14" w:right="20"/>
              <w:rPr>
                <w:b/>
                <w:sz w:val="18"/>
              </w:rPr>
            </w:pPr>
            <w:r>
              <w:rPr>
                <w:b/>
                <w:sz w:val="18"/>
              </w:rPr>
              <w:t>Nervous system disorders</w:t>
            </w:r>
          </w:p>
        </w:tc>
        <w:tc>
          <w:tcPr>
            <w:tcW w:w="1777" w:type="dxa"/>
          </w:tcPr>
          <w:p w:rsidR="00376695" w:rsidRDefault="00346252" w:rsidP="00092A0A">
            <w:pPr>
              <w:pStyle w:val="TableParagraph"/>
              <w:spacing w:line="242" w:lineRule="auto"/>
              <w:ind w:left="11" w:right="20"/>
              <w:rPr>
                <w:sz w:val="18"/>
              </w:rPr>
            </w:pPr>
            <w:r>
              <w:rPr>
                <w:sz w:val="18"/>
              </w:rPr>
              <w:t xml:space="preserve">Dizziness </w:t>
            </w:r>
          </w:p>
          <w:p w:rsidR="00457196" w:rsidRDefault="00346252" w:rsidP="00092A0A">
            <w:pPr>
              <w:pStyle w:val="TableParagraph"/>
              <w:spacing w:line="242" w:lineRule="auto"/>
              <w:ind w:left="11" w:right="20"/>
              <w:rPr>
                <w:sz w:val="18"/>
              </w:rPr>
            </w:pPr>
            <w:r>
              <w:rPr>
                <w:sz w:val="18"/>
              </w:rPr>
              <w:t>Headache</w:t>
            </w:r>
          </w:p>
          <w:p w:rsidR="00457196" w:rsidRDefault="00346252" w:rsidP="00092A0A">
            <w:pPr>
              <w:pStyle w:val="TableParagraph"/>
              <w:spacing w:line="204" w:lineRule="exact"/>
              <w:ind w:left="11" w:right="20"/>
              <w:rPr>
                <w:sz w:val="18"/>
              </w:rPr>
            </w:pPr>
            <w:r>
              <w:rPr>
                <w:sz w:val="18"/>
              </w:rPr>
              <w:t>Taste disturbance</w:t>
            </w:r>
            <w:r>
              <w:rPr>
                <w:sz w:val="18"/>
                <w:vertAlign w:val="superscript"/>
              </w:rPr>
              <w:t>j</w:t>
            </w:r>
          </w:p>
        </w:tc>
        <w:tc>
          <w:tcPr>
            <w:tcW w:w="1683" w:type="dxa"/>
          </w:tcPr>
          <w:p w:rsidR="00457196" w:rsidRDefault="00346252" w:rsidP="00092A0A">
            <w:pPr>
              <w:pStyle w:val="TableParagraph"/>
              <w:ind w:left="11" w:right="20"/>
              <w:rPr>
                <w:sz w:val="18"/>
              </w:rPr>
            </w:pPr>
            <w:r>
              <w:rPr>
                <w:sz w:val="18"/>
              </w:rPr>
              <w:t>Neuropathy peripheral Paraesthesia Hypoaesthesia Hyperaesthesia</w:t>
            </w:r>
          </w:p>
        </w:tc>
        <w:tc>
          <w:tcPr>
            <w:tcW w:w="1512" w:type="dxa"/>
          </w:tcPr>
          <w:p w:rsidR="00457196" w:rsidRDefault="00346252" w:rsidP="00092A0A">
            <w:pPr>
              <w:pStyle w:val="TableParagraph"/>
              <w:ind w:left="13" w:right="20"/>
              <w:rPr>
                <w:sz w:val="18"/>
              </w:rPr>
            </w:pPr>
            <w:r>
              <w:rPr>
                <w:sz w:val="18"/>
              </w:rPr>
              <w:t>Cerebral haemorrhage</w:t>
            </w:r>
            <w:r>
              <w:rPr>
                <w:sz w:val="18"/>
                <w:vertAlign w:val="superscript"/>
              </w:rPr>
              <w:t>*</w:t>
            </w:r>
            <w:r>
              <w:rPr>
                <w:sz w:val="18"/>
              </w:rPr>
              <w:t xml:space="preserve"> Cerebrovascular accident</w:t>
            </w:r>
            <w:r>
              <w:rPr>
                <w:sz w:val="18"/>
                <w:vertAlign w:val="superscript"/>
              </w:rPr>
              <w:t>*</w:t>
            </w:r>
          </w:p>
          <w:p w:rsidR="00457196" w:rsidRDefault="00346252" w:rsidP="00092A0A">
            <w:pPr>
              <w:pStyle w:val="TableParagraph"/>
              <w:spacing w:line="208" w:lineRule="exact"/>
              <w:ind w:left="13" w:right="20"/>
              <w:rPr>
                <w:sz w:val="18"/>
              </w:rPr>
            </w:pPr>
            <w:r>
              <w:rPr>
                <w:sz w:val="18"/>
              </w:rPr>
              <w:t>Transient ischaemic attack</w:t>
            </w:r>
          </w:p>
        </w:tc>
        <w:tc>
          <w:tcPr>
            <w:tcW w:w="1558" w:type="dxa"/>
          </w:tcPr>
          <w:p w:rsidR="00457196" w:rsidRDefault="00346252" w:rsidP="00092A0A">
            <w:pPr>
              <w:pStyle w:val="TableParagraph"/>
              <w:ind w:left="13" w:right="20"/>
              <w:rPr>
                <w:sz w:val="18"/>
              </w:rPr>
            </w:pPr>
            <w:r>
              <w:rPr>
                <w:sz w:val="18"/>
              </w:rPr>
              <w:t>Posterior reversible encephalopathy syndrome</w:t>
            </w:r>
            <w:r>
              <w:rPr>
                <w:sz w:val="18"/>
                <w:vertAlign w:val="superscript"/>
              </w:rPr>
              <w:t>*</w:t>
            </w:r>
          </w:p>
        </w:tc>
        <w:tc>
          <w:tcPr>
            <w:tcW w:w="1017" w:type="dxa"/>
          </w:tcPr>
          <w:p w:rsidR="00457196" w:rsidRDefault="00457196" w:rsidP="00092A0A">
            <w:pPr>
              <w:pStyle w:val="TableParagraph"/>
              <w:ind w:right="20"/>
              <w:rPr>
                <w:sz w:val="20"/>
              </w:rPr>
            </w:pPr>
          </w:p>
        </w:tc>
      </w:tr>
      <w:tr w:rsidR="00457196">
        <w:trPr>
          <w:trHeight w:val="618"/>
        </w:trPr>
        <w:tc>
          <w:tcPr>
            <w:tcW w:w="1517" w:type="dxa"/>
          </w:tcPr>
          <w:p w:rsidR="00457196" w:rsidRDefault="00346252" w:rsidP="00092A0A">
            <w:pPr>
              <w:pStyle w:val="TableParagraph"/>
              <w:spacing w:line="204" w:lineRule="exact"/>
              <w:ind w:left="14" w:right="20"/>
              <w:rPr>
                <w:b/>
                <w:sz w:val="18"/>
              </w:rPr>
            </w:pPr>
            <w:r>
              <w:rPr>
                <w:b/>
                <w:sz w:val="18"/>
              </w:rPr>
              <w:t>Eye disorders</w:t>
            </w:r>
          </w:p>
        </w:tc>
        <w:tc>
          <w:tcPr>
            <w:tcW w:w="1777" w:type="dxa"/>
          </w:tcPr>
          <w:p w:rsidR="00457196" w:rsidRDefault="00457196" w:rsidP="00092A0A">
            <w:pPr>
              <w:pStyle w:val="TableParagraph"/>
              <w:ind w:right="20"/>
              <w:rPr>
                <w:sz w:val="20"/>
              </w:rPr>
            </w:pPr>
          </w:p>
        </w:tc>
        <w:tc>
          <w:tcPr>
            <w:tcW w:w="1683" w:type="dxa"/>
          </w:tcPr>
          <w:p w:rsidR="00457196" w:rsidRDefault="00346252" w:rsidP="00092A0A">
            <w:pPr>
              <w:pStyle w:val="TableParagraph"/>
              <w:spacing w:line="206" w:lineRule="exact"/>
              <w:ind w:left="11" w:right="20"/>
              <w:rPr>
                <w:sz w:val="18"/>
              </w:rPr>
            </w:pPr>
            <w:r>
              <w:rPr>
                <w:sz w:val="18"/>
              </w:rPr>
              <w:t>Periorbital oedema Eyelid oedema Lacrimation increased</w:t>
            </w:r>
          </w:p>
        </w:tc>
        <w:tc>
          <w:tcPr>
            <w:tcW w:w="1512" w:type="dxa"/>
          </w:tcPr>
          <w:p w:rsidR="00457196" w:rsidRDefault="00457196" w:rsidP="00092A0A">
            <w:pPr>
              <w:pStyle w:val="TableParagraph"/>
              <w:ind w:right="20"/>
              <w:rPr>
                <w:sz w:val="20"/>
              </w:rPr>
            </w:pPr>
          </w:p>
        </w:tc>
        <w:tc>
          <w:tcPr>
            <w:tcW w:w="1558" w:type="dxa"/>
          </w:tcPr>
          <w:p w:rsidR="00457196" w:rsidRDefault="00457196" w:rsidP="00092A0A">
            <w:pPr>
              <w:pStyle w:val="TableParagraph"/>
              <w:ind w:right="20"/>
              <w:rPr>
                <w:sz w:val="20"/>
              </w:rPr>
            </w:pPr>
          </w:p>
        </w:tc>
        <w:tc>
          <w:tcPr>
            <w:tcW w:w="1017" w:type="dxa"/>
          </w:tcPr>
          <w:p w:rsidR="00457196" w:rsidRDefault="00457196" w:rsidP="00092A0A">
            <w:pPr>
              <w:pStyle w:val="TableParagraph"/>
              <w:ind w:right="20"/>
              <w:rPr>
                <w:sz w:val="20"/>
              </w:rPr>
            </w:pPr>
          </w:p>
        </w:tc>
      </w:tr>
      <w:tr w:rsidR="00457196">
        <w:trPr>
          <w:trHeight w:val="1864"/>
        </w:trPr>
        <w:tc>
          <w:tcPr>
            <w:tcW w:w="1517" w:type="dxa"/>
          </w:tcPr>
          <w:p w:rsidR="00457196" w:rsidRDefault="00346252" w:rsidP="00092A0A">
            <w:pPr>
              <w:pStyle w:val="TableParagraph"/>
              <w:spacing w:line="199" w:lineRule="exact"/>
              <w:ind w:left="14" w:right="20"/>
              <w:rPr>
                <w:b/>
                <w:sz w:val="18"/>
              </w:rPr>
            </w:pPr>
            <w:r>
              <w:rPr>
                <w:b/>
                <w:sz w:val="18"/>
              </w:rPr>
              <w:t>Cardiac disorders</w:t>
            </w:r>
          </w:p>
        </w:tc>
        <w:tc>
          <w:tcPr>
            <w:tcW w:w="1777" w:type="dxa"/>
          </w:tcPr>
          <w:p w:rsidR="00457196" w:rsidRDefault="00457196" w:rsidP="00092A0A">
            <w:pPr>
              <w:pStyle w:val="TableParagraph"/>
              <w:ind w:right="20"/>
              <w:rPr>
                <w:sz w:val="16"/>
              </w:rPr>
            </w:pPr>
          </w:p>
        </w:tc>
        <w:tc>
          <w:tcPr>
            <w:tcW w:w="1683" w:type="dxa"/>
          </w:tcPr>
          <w:p w:rsidR="00D272D5" w:rsidRDefault="00346252" w:rsidP="00092A0A">
            <w:pPr>
              <w:pStyle w:val="TableParagraph"/>
              <w:ind w:left="11" w:right="20"/>
              <w:rPr>
                <w:sz w:val="18"/>
              </w:rPr>
            </w:pPr>
            <w:r>
              <w:rPr>
                <w:sz w:val="18"/>
              </w:rPr>
              <w:t>Myocardial ischemia</w:t>
            </w:r>
            <w:r>
              <w:rPr>
                <w:sz w:val="18"/>
                <w:vertAlign w:val="superscript"/>
              </w:rPr>
              <w:t>k,*</w:t>
            </w:r>
            <w:r>
              <w:rPr>
                <w:sz w:val="18"/>
              </w:rPr>
              <w:t xml:space="preserve"> </w:t>
            </w:r>
          </w:p>
          <w:p w:rsidR="00457196" w:rsidRDefault="00346252" w:rsidP="00092A0A">
            <w:pPr>
              <w:pStyle w:val="TableParagraph"/>
              <w:ind w:left="11" w:right="20"/>
              <w:rPr>
                <w:sz w:val="18"/>
              </w:rPr>
            </w:pPr>
            <w:r>
              <w:rPr>
                <w:sz w:val="18"/>
              </w:rPr>
              <w:t>Ejection fraction decreased</w:t>
            </w:r>
            <w:r>
              <w:rPr>
                <w:sz w:val="18"/>
                <w:vertAlign w:val="superscript"/>
              </w:rPr>
              <w:t>l</w:t>
            </w:r>
          </w:p>
        </w:tc>
        <w:tc>
          <w:tcPr>
            <w:tcW w:w="1512" w:type="dxa"/>
          </w:tcPr>
          <w:p w:rsidR="00457196" w:rsidRDefault="00346252" w:rsidP="00092A0A">
            <w:pPr>
              <w:pStyle w:val="TableParagraph"/>
              <w:ind w:left="13" w:right="20"/>
              <w:rPr>
                <w:sz w:val="18"/>
              </w:rPr>
            </w:pPr>
            <w:r>
              <w:rPr>
                <w:sz w:val="18"/>
              </w:rPr>
              <w:t>Cardiac failure congestive Myocardial infarction</w:t>
            </w:r>
            <w:r>
              <w:rPr>
                <w:sz w:val="18"/>
                <w:vertAlign w:val="superscript"/>
              </w:rPr>
              <w:t>m,*</w:t>
            </w:r>
            <w:r>
              <w:rPr>
                <w:sz w:val="18"/>
              </w:rPr>
              <w:t xml:space="preserve"> Cardiac failure</w:t>
            </w:r>
            <w:r>
              <w:rPr>
                <w:sz w:val="18"/>
                <w:vertAlign w:val="superscript"/>
              </w:rPr>
              <w:t>*</w:t>
            </w:r>
            <w:r>
              <w:rPr>
                <w:sz w:val="18"/>
              </w:rPr>
              <w:t xml:space="preserve"> Cardiomyopathy</w:t>
            </w:r>
            <w:r>
              <w:rPr>
                <w:sz w:val="18"/>
                <w:vertAlign w:val="superscript"/>
              </w:rPr>
              <w:t>*</w:t>
            </w:r>
            <w:r>
              <w:rPr>
                <w:sz w:val="18"/>
              </w:rPr>
              <w:t xml:space="preserve"> Pericardial effusion</w:t>
            </w:r>
          </w:p>
          <w:p w:rsidR="00457196" w:rsidRDefault="00346252" w:rsidP="00092A0A">
            <w:pPr>
              <w:pStyle w:val="TableParagraph"/>
              <w:spacing w:line="206" w:lineRule="exact"/>
              <w:ind w:left="13" w:right="20"/>
              <w:rPr>
                <w:sz w:val="18"/>
              </w:rPr>
            </w:pPr>
            <w:r>
              <w:rPr>
                <w:sz w:val="18"/>
              </w:rPr>
              <w:t>Electrocardiogram QT prolonged</w:t>
            </w:r>
          </w:p>
        </w:tc>
        <w:tc>
          <w:tcPr>
            <w:tcW w:w="1558" w:type="dxa"/>
          </w:tcPr>
          <w:p w:rsidR="00457196" w:rsidRDefault="00346252" w:rsidP="00092A0A">
            <w:pPr>
              <w:pStyle w:val="TableParagraph"/>
              <w:spacing w:line="242" w:lineRule="auto"/>
              <w:ind w:left="13" w:right="20"/>
              <w:rPr>
                <w:sz w:val="18"/>
              </w:rPr>
            </w:pPr>
            <w:r>
              <w:rPr>
                <w:sz w:val="18"/>
              </w:rPr>
              <w:t>Left ventricular failure</w:t>
            </w:r>
            <w:r>
              <w:rPr>
                <w:sz w:val="18"/>
                <w:vertAlign w:val="superscript"/>
              </w:rPr>
              <w:t>*</w:t>
            </w:r>
          </w:p>
          <w:p w:rsidR="00457196" w:rsidRDefault="00346252" w:rsidP="00092A0A">
            <w:pPr>
              <w:pStyle w:val="TableParagraph"/>
              <w:spacing w:line="204" w:lineRule="exact"/>
              <w:ind w:left="13" w:right="20"/>
              <w:rPr>
                <w:sz w:val="18"/>
              </w:rPr>
            </w:pPr>
            <w:r>
              <w:rPr>
                <w:sz w:val="18"/>
              </w:rPr>
              <w:t>Torsade de pointes</w:t>
            </w:r>
          </w:p>
        </w:tc>
        <w:tc>
          <w:tcPr>
            <w:tcW w:w="1017" w:type="dxa"/>
          </w:tcPr>
          <w:p w:rsidR="00457196" w:rsidRDefault="00457196" w:rsidP="00092A0A">
            <w:pPr>
              <w:pStyle w:val="TableParagraph"/>
              <w:ind w:right="20"/>
              <w:rPr>
                <w:sz w:val="16"/>
              </w:rPr>
            </w:pPr>
          </w:p>
        </w:tc>
      </w:tr>
      <w:tr w:rsidR="00457196">
        <w:trPr>
          <w:trHeight w:val="618"/>
        </w:trPr>
        <w:tc>
          <w:tcPr>
            <w:tcW w:w="1517" w:type="dxa"/>
          </w:tcPr>
          <w:p w:rsidR="00457196" w:rsidRDefault="00346252" w:rsidP="00092A0A">
            <w:pPr>
              <w:pStyle w:val="TableParagraph"/>
              <w:spacing w:line="199" w:lineRule="exact"/>
              <w:ind w:left="14" w:right="20"/>
              <w:rPr>
                <w:b/>
                <w:sz w:val="18"/>
              </w:rPr>
            </w:pPr>
            <w:r>
              <w:rPr>
                <w:b/>
                <w:sz w:val="18"/>
              </w:rPr>
              <w:t>Vascular disorders</w:t>
            </w:r>
          </w:p>
        </w:tc>
        <w:tc>
          <w:tcPr>
            <w:tcW w:w="1777" w:type="dxa"/>
          </w:tcPr>
          <w:p w:rsidR="00457196" w:rsidRDefault="00346252" w:rsidP="00092A0A">
            <w:pPr>
              <w:pStyle w:val="TableParagraph"/>
              <w:spacing w:line="199" w:lineRule="exact"/>
              <w:ind w:left="11" w:right="20"/>
              <w:rPr>
                <w:sz w:val="18"/>
              </w:rPr>
            </w:pPr>
            <w:r>
              <w:rPr>
                <w:sz w:val="18"/>
              </w:rPr>
              <w:t>Hypertension</w:t>
            </w:r>
          </w:p>
        </w:tc>
        <w:tc>
          <w:tcPr>
            <w:tcW w:w="1683" w:type="dxa"/>
          </w:tcPr>
          <w:p w:rsidR="00457196" w:rsidRDefault="00346252" w:rsidP="00092A0A">
            <w:pPr>
              <w:pStyle w:val="TableParagraph"/>
              <w:ind w:left="11" w:right="20"/>
              <w:rPr>
                <w:sz w:val="18"/>
              </w:rPr>
            </w:pPr>
            <w:r>
              <w:rPr>
                <w:sz w:val="18"/>
              </w:rPr>
              <w:t>Deep vein thrombosis Hot flush</w:t>
            </w:r>
          </w:p>
          <w:p w:rsidR="00457196" w:rsidRDefault="00346252" w:rsidP="00092A0A">
            <w:pPr>
              <w:pStyle w:val="TableParagraph"/>
              <w:spacing w:line="193" w:lineRule="exact"/>
              <w:ind w:left="11" w:right="20"/>
              <w:rPr>
                <w:sz w:val="18"/>
              </w:rPr>
            </w:pPr>
            <w:r>
              <w:rPr>
                <w:sz w:val="18"/>
              </w:rPr>
              <w:t>Flushing</w:t>
            </w:r>
          </w:p>
        </w:tc>
        <w:tc>
          <w:tcPr>
            <w:tcW w:w="1512" w:type="dxa"/>
          </w:tcPr>
          <w:p w:rsidR="00457196" w:rsidRDefault="00346252" w:rsidP="00092A0A">
            <w:pPr>
              <w:pStyle w:val="TableParagraph"/>
              <w:ind w:left="13" w:right="20"/>
              <w:rPr>
                <w:sz w:val="18"/>
              </w:rPr>
            </w:pPr>
            <w:r>
              <w:rPr>
                <w:sz w:val="18"/>
              </w:rPr>
              <w:t>Tumour haemorrhage</w:t>
            </w:r>
            <w:r>
              <w:rPr>
                <w:sz w:val="18"/>
                <w:vertAlign w:val="superscript"/>
              </w:rPr>
              <w:t>*</w:t>
            </w:r>
          </w:p>
        </w:tc>
        <w:tc>
          <w:tcPr>
            <w:tcW w:w="1558" w:type="dxa"/>
          </w:tcPr>
          <w:p w:rsidR="00457196" w:rsidRDefault="00457196" w:rsidP="00092A0A">
            <w:pPr>
              <w:pStyle w:val="TableParagraph"/>
              <w:ind w:right="20"/>
              <w:rPr>
                <w:sz w:val="16"/>
              </w:rPr>
            </w:pPr>
          </w:p>
        </w:tc>
        <w:tc>
          <w:tcPr>
            <w:tcW w:w="1017" w:type="dxa"/>
          </w:tcPr>
          <w:p w:rsidR="00457196" w:rsidRDefault="00346252" w:rsidP="00092A0A">
            <w:pPr>
              <w:pStyle w:val="TableParagraph"/>
              <w:spacing w:line="198" w:lineRule="exact"/>
              <w:ind w:left="11" w:right="20"/>
              <w:rPr>
                <w:sz w:val="18"/>
              </w:rPr>
            </w:pPr>
            <w:r>
              <w:rPr>
                <w:sz w:val="18"/>
              </w:rPr>
              <w:t>Aneurysms</w:t>
            </w:r>
          </w:p>
          <w:p w:rsidR="00457196" w:rsidRDefault="00346252" w:rsidP="00092A0A">
            <w:pPr>
              <w:pStyle w:val="TableParagraph"/>
              <w:spacing w:before="3" w:line="206" w:lineRule="exact"/>
              <w:ind w:left="11" w:right="20"/>
              <w:rPr>
                <w:sz w:val="18"/>
              </w:rPr>
            </w:pPr>
            <w:r>
              <w:rPr>
                <w:sz w:val="18"/>
              </w:rPr>
              <w:t>and artery dissections</w:t>
            </w:r>
            <w:r>
              <w:rPr>
                <w:sz w:val="18"/>
                <w:vertAlign w:val="superscript"/>
              </w:rPr>
              <w:t>*</w:t>
            </w:r>
          </w:p>
        </w:tc>
      </w:tr>
      <w:tr w:rsidR="00457196">
        <w:trPr>
          <w:trHeight w:val="1449"/>
        </w:trPr>
        <w:tc>
          <w:tcPr>
            <w:tcW w:w="1517" w:type="dxa"/>
          </w:tcPr>
          <w:p w:rsidR="00457196" w:rsidRDefault="00346252" w:rsidP="00092A0A">
            <w:pPr>
              <w:pStyle w:val="TableParagraph"/>
              <w:ind w:left="14" w:right="20"/>
              <w:rPr>
                <w:b/>
                <w:sz w:val="18"/>
              </w:rPr>
            </w:pPr>
            <w:r>
              <w:rPr>
                <w:b/>
                <w:sz w:val="18"/>
              </w:rPr>
              <w:t>Respiratory, thoracic and mediastinal disorders</w:t>
            </w:r>
          </w:p>
        </w:tc>
        <w:tc>
          <w:tcPr>
            <w:tcW w:w="1777" w:type="dxa"/>
          </w:tcPr>
          <w:p w:rsidR="00376695" w:rsidRDefault="00346252" w:rsidP="00092A0A">
            <w:pPr>
              <w:pStyle w:val="TableParagraph"/>
              <w:ind w:left="11" w:right="20"/>
              <w:rPr>
                <w:sz w:val="18"/>
              </w:rPr>
            </w:pPr>
            <w:r>
              <w:rPr>
                <w:sz w:val="18"/>
              </w:rPr>
              <w:t xml:space="preserve">Dyspnoea </w:t>
            </w:r>
          </w:p>
          <w:p w:rsidR="00376695" w:rsidRDefault="00346252" w:rsidP="00092A0A">
            <w:pPr>
              <w:pStyle w:val="TableParagraph"/>
              <w:ind w:left="11" w:right="20"/>
              <w:rPr>
                <w:sz w:val="18"/>
              </w:rPr>
            </w:pPr>
            <w:r>
              <w:rPr>
                <w:sz w:val="18"/>
              </w:rPr>
              <w:t xml:space="preserve">Epistaxis </w:t>
            </w:r>
          </w:p>
          <w:p w:rsidR="00457196" w:rsidRDefault="00346252" w:rsidP="00092A0A">
            <w:pPr>
              <w:pStyle w:val="TableParagraph"/>
              <w:ind w:left="11" w:right="20"/>
              <w:rPr>
                <w:sz w:val="18"/>
              </w:rPr>
            </w:pPr>
            <w:r>
              <w:rPr>
                <w:sz w:val="18"/>
              </w:rPr>
              <w:t>Cough</w:t>
            </w:r>
          </w:p>
        </w:tc>
        <w:tc>
          <w:tcPr>
            <w:tcW w:w="1683" w:type="dxa"/>
          </w:tcPr>
          <w:p w:rsidR="00457196" w:rsidRDefault="00346252" w:rsidP="00092A0A">
            <w:pPr>
              <w:pStyle w:val="TableParagraph"/>
              <w:ind w:left="11" w:right="20"/>
              <w:rPr>
                <w:sz w:val="18"/>
              </w:rPr>
            </w:pPr>
            <w:r>
              <w:rPr>
                <w:sz w:val="18"/>
              </w:rPr>
              <w:t>Pulmonary embolism</w:t>
            </w:r>
            <w:r>
              <w:rPr>
                <w:sz w:val="18"/>
                <w:vertAlign w:val="superscript"/>
              </w:rPr>
              <w:t>*</w:t>
            </w:r>
            <w:r>
              <w:rPr>
                <w:sz w:val="18"/>
              </w:rPr>
              <w:t xml:space="preserve"> Pleural effusion</w:t>
            </w:r>
            <w:r>
              <w:rPr>
                <w:sz w:val="18"/>
                <w:vertAlign w:val="superscript"/>
              </w:rPr>
              <w:t>*</w:t>
            </w:r>
            <w:r>
              <w:rPr>
                <w:sz w:val="18"/>
              </w:rPr>
              <w:t xml:space="preserve"> Haemoptysis Dyspnoea exertional Oropharyngeal pain</w:t>
            </w:r>
            <w:r>
              <w:rPr>
                <w:sz w:val="18"/>
                <w:vertAlign w:val="superscript"/>
              </w:rPr>
              <w:t>n</w:t>
            </w:r>
            <w:r>
              <w:rPr>
                <w:sz w:val="18"/>
              </w:rPr>
              <w:t xml:space="preserve"> Nasal congestion</w:t>
            </w:r>
          </w:p>
          <w:p w:rsidR="00457196" w:rsidRDefault="00346252" w:rsidP="00092A0A">
            <w:pPr>
              <w:pStyle w:val="TableParagraph"/>
              <w:spacing w:line="194" w:lineRule="exact"/>
              <w:ind w:left="11" w:right="20"/>
              <w:rPr>
                <w:sz w:val="18"/>
              </w:rPr>
            </w:pPr>
            <w:r>
              <w:rPr>
                <w:sz w:val="18"/>
              </w:rPr>
              <w:t>Nasal dryness</w:t>
            </w:r>
          </w:p>
        </w:tc>
        <w:tc>
          <w:tcPr>
            <w:tcW w:w="1512" w:type="dxa"/>
          </w:tcPr>
          <w:p w:rsidR="00457196" w:rsidRDefault="00346252" w:rsidP="00092A0A">
            <w:pPr>
              <w:pStyle w:val="TableParagraph"/>
              <w:ind w:left="13" w:right="20"/>
              <w:rPr>
                <w:sz w:val="18"/>
              </w:rPr>
            </w:pPr>
            <w:r>
              <w:rPr>
                <w:sz w:val="18"/>
              </w:rPr>
              <w:t>Pulmonary haemorrhage</w:t>
            </w:r>
            <w:r>
              <w:rPr>
                <w:sz w:val="18"/>
                <w:vertAlign w:val="superscript"/>
              </w:rPr>
              <w:t>*</w:t>
            </w:r>
            <w:r>
              <w:rPr>
                <w:sz w:val="18"/>
              </w:rPr>
              <w:t xml:space="preserve"> Respiratory failure</w:t>
            </w:r>
            <w:r>
              <w:rPr>
                <w:sz w:val="18"/>
                <w:vertAlign w:val="superscript"/>
              </w:rPr>
              <w:t>*</w:t>
            </w:r>
          </w:p>
        </w:tc>
        <w:tc>
          <w:tcPr>
            <w:tcW w:w="1558" w:type="dxa"/>
          </w:tcPr>
          <w:p w:rsidR="00457196" w:rsidRDefault="00457196" w:rsidP="00092A0A">
            <w:pPr>
              <w:pStyle w:val="TableParagraph"/>
              <w:ind w:right="20"/>
              <w:rPr>
                <w:sz w:val="16"/>
              </w:rPr>
            </w:pPr>
          </w:p>
        </w:tc>
        <w:tc>
          <w:tcPr>
            <w:tcW w:w="1017" w:type="dxa"/>
          </w:tcPr>
          <w:p w:rsidR="00457196" w:rsidRDefault="00457196" w:rsidP="00092A0A">
            <w:pPr>
              <w:pStyle w:val="TableParagraph"/>
              <w:ind w:right="20"/>
              <w:rPr>
                <w:sz w:val="16"/>
              </w:rPr>
            </w:pPr>
          </w:p>
        </w:tc>
      </w:tr>
      <w:tr w:rsidR="00457196">
        <w:trPr>
          <w:trHeight w:val="4140"/>
        </w:trPr>
        <w:tc>
          <w:tcPr>
            <w:tcW w:w="1517" w:type="dxa"/>
          </w:tcPr>
          <w:p w:rsidR="00457196" w:rsidRDefault="00346252" w:rsidP="00092A0A">
            <w:pPr>
              <w:pStyle w:val="TableParagraph"/>
              <w:spacing w:line="242" w:lineRule="auto"/>
              <w:ind w:left="14" w:right="20"/>
              <w:rPr>
                <w:b/>
                <w:sz w:val="18"/>
              </w:rPr>
            </w:pPr>
            <w:r>
              <w:rPr>
                <w:b/>
                <w:sz w:val="18"/>
              </w:rPr>
              <w:t>Gastrointestinal disorders</w:t>
            </w:r>
          </w:p>
        </w:tc>
        <w:tc>
          <w:tcPr>
            <w:tcW w:w="1777" w:type="dxa"/>
          </w:tcPr>
          <w:p w:rsidR="00D272D5" w:rsidRDefault="00346252" w:rsidP="00092A0A">
            <w:pPr>
              <w:pStyle w:val="TableParagraph"/>
              <w:ind w:left="11" w:right="20"/>
              <w:rPr>
                <w:sz w:val="18"/>
              </w:rPr>
            </w:pPr>
            <w:r>
              <w:rPr>
                <w:sz w:val="18"/>
              </w:rPr>
              <w:t>Stomatitis</w:t>
            </w:r>
            <w:r>
              <w:rPr>
                <w:sz w:val="18"/>
                <w:vertAlign w:val="superscript"/>
              </w:rPr>
              <w:t>o</w:t>
            </w:r>
            <w:r>
              <w:rPr>
                <w:sz w:val="18"/>
              </w:rPr>
              <w:t xml:space="preserve"> </w:t>
            </w:r>
          </w:p>
          <w:p w:rsidR="00D272D5" w:rsidRDefault="00346252" w:rsidP="00092A0A">
            <w:pPr>
              <w:pStyle w:val="TableParagraph"/>
              <w:ind w:left="11" w:right="20"/>
              <w:rPr>
                <w:sz w:val="18"/>
              </w:rPr>
            </w:pPr>
            <w:r>
              <w:rPr>
                <w:sz w:val="18"/>
              </w:rPr>
              <w:t>Abdominal pain</w:t>
            </w:r>
            <w:r>
              <w:rPr>
                <w:sz w:val="18"/>
                <w:vertAlign w:val="superscript"/>
              </w:rPr>
              <w:t>p</w:t>
            </w:r>
            <w:r>
              <w:rPr>
                <w:sz w:val="18"/>
              </w:rPr>
              <w:t xml:space="preserve"> Vomiting </w:t>
            </w:r>
          </w:p>
          <w:p w:rsidR="00D272D5" w:rsidRDefault="00346252" w:rsidP="00092A0A">
            <w:pPr>
              <w:pStyle w:val="TableParagraph"/>
              <w:ind w:left="11" w:right="20"/>
              <w:rPr>
                <w:sz w:val="18"/>
              </w:rPr>
            </w:pPr>
            <w:r>
              <w:rPr>
                <w:sz w:val="18"/>
              </w:rPr>
              <w:t xml:space="preserve">Diarrhoea </w:t>
            </w:r>
          </w:p>
          <w:p w:rsidR="00D272D5" w:rsidRDefault="00346252" w:rsidP="00092A0A">
            <w:pPr>
              <w:pStyle w:val="TableParagraph"/>
              <w:ind w:left="11" w:right="20"/>
              <w:rPr>
                <w:sz w:val="18"/>
              </w:rPr>
            </w:pPr>
            <w:r>
              <w:rPr>
                <w:sz w:val="18"/>
              </w:rPr>
              <w:t xml:space="preserve">Dyspepsia </w:t>
            </w:r>
          </w:p>
          <w:p w:rsidR="00D272D5" w:rsidRDefault="00346252" w:rsidP="00092A0A">
            <w:pPr>
              <w:pStyle w:val="TableParagraph"/>
              <w:ind w:left="11" w:right="20"/>
              <w:rPr>
                <w:sz w:val="18"/>
              </w:rPr>
            </w:pPr>
            <w:r>
              <w:rPr>
                <w:sz w:val="18"/>
              </w:rPr>
              <w:t xml:space="preserve">Nausea </w:t>
            </w:r>
          </w:p>
          <w:p w:rsidR="00457196" w:rsidRDefault="00346252" w:rsidP="00092A0A">
            <w:pPr>
              <w:pStyle w:val="TableParagraph"/>
              <w:ind w:left="11" w:right="20"/>
              <w:rPr>
                <w:sz w:val="18"/>
              </w:rPr>
            </w:pPr>
            <w:r>
              <w:rPr>
                <w:sz w:val="18"/>
              </w:rPr>
              <w:t>Constipation</w:t>
            </w:r>
          </w:p>
        </w:tc>
        <w:tc>
          <w:tcPr>
            <w:tcW w:w="1683" w:type="dxa"/>
          </w:tcPr>
          <w:p w:rsidR="00457196" w:rsidRDefault="00346252" w:rsidP="00092A0A">
            <w:pPr>
              <w:pStyle w:val="TableParagraph"/>
              <w:ind w:left="11" w:right="20"/>
              <w:rPr>
                <w:sz w:val="18"/>
              </w:rPr>
            </w:pPr>
            <w:r>
              <w:rPr>
                <w:sz w:val="18"/>
              </w:rPr>
              <w:t>Gastro-oesophageal reflux disease Dysphagia Gastrointestinal haemorrhage</w:t>
            </w:r>
            <w:r>
              <w:rPr>
                <w:sz w:val="18"/>
                <w:vertAlign w:val="superscript"/>
              </w:rPr>
              <w:t>*</w:t>
            </w:r>
            <w:r>
              <w:rPr>
                <w:sz w:val="18"/>
              </w:rPr>
              <w:t xml:space="preserve"> Oesophagitis</w:t>
            </w:r>
            <w:r>
              <w:rPr>
                <w:sz w:val="18"/>
                <w:vertAlign w:val="superscript"/>
              </w:rPr>
              <w:t>*</w:t>
            </w:r>
            <w:r>
              <w:rPr>
                <w:sz w:val="18"/>
              </w:rPr>
              <w:t xml:space="preserve"> Abdominal distension Abdominal discomfort Rectal haemorrhage Gingival bleeding Mouth ulceration Proctalgia</w:t>
            </w:r>
          </w:p>
          <w:p w:rsidR="00D272D5" w:rsidRDefault="00346252" w:rsidP="00092A0A">
            <w:pPr>
              <w:pStyle w:val="TableParagraph"/>
              <w:ind w:left="11" w:right="20"/>
              <w:rPr>
                <w:sz w:val="18"/>
              </w:rPr>
            </w:pPr>
            <w:r>
              <w:rPr>
                <w:sz w:val="18"/>
              </w:rPr>
              <w:t xml:space="preserve">Cheilitis Haemorrhoids Glossodynia </w:t>
            </w:r>
          </w:p>
          <w:p w:rsidR="00457196" w:rsidRDefault="00346252" w:rsidP="00092A0A">
            <w:pPr>
              <w:pStyle w:val="TableParagraph"/>
              <w:ind w:left="11" w:right="20"/>
              <w:rPr>
                <w:sz w:val="18"/>
              </w:rPr>
            </w:pPr>
            <w:r>
              <w:rPr>
                <w:sz w:val="18"/>
              </w:rPr>
              <w:t>Oral pain</w:t>
            </w:r>
          </w:p>
          <w:p w:rsidR="00D272D5" w:rsidRDefault="00346252" w:rsidP="00092A0A">
            <w:pPr>
              <w:pStyle w:val="TableParagraph"/>
              <w:ind w:left="11" w:right="20"/>
              <w:rPr>
                <w:spacing w:val="-4"/>
                <w:sz w:val="18"/>
              </w:rPr>
            </w:pPr>
            <w:r>
              <w:rPr>
                <w:sz w:val="18"/>
              </w:rPr>
              <w:t xml:space="preserve">Dry </w:t>
            </w:r>
            <w:r>
              <w:rPr>
                <w:spacing w:val="-4"/>
                <w:sz w:val="18"/>
              </w:rPr>
              <w:t xml:space="preserve">mouth </w:t>
            </w:r>
          </w:p>
          <w:p w:rsidR="00457196" w:rsidRDefault="00346252" w:rsidP="00092A0A">
            <w:pPr>
              <w:pStyle w:val="TableParagraph"/>
              <w:ind w:left="11" w:right="20"/>
              <w:rPr>
                <w:sz w:val="18"/>
              </w:rPr>
            </w:pPr>
            <w:r>
              <w:rPr>
                <w:sz w:val="18"/>
              </w:rPr>
              <w:t>Flatulence</w:t>
            </w:r>
          </w:p>
          <w:p w:rsidR="00457196" w:rsidRDefault="00346252" w:rsidP="00092A0A">
            <w:pPr>
              <w:pStyle w:val="TableParagraph"/>
              <w:spacing w:line="206" w:lineRule="exact"/>
              <w:ind w:left="11" w:right="20"/>
              <w:rPr>
                <w:sz w:val="18"/>
              </w:rPr>
            </w:pPr>
            <w:r>
              <w:rPr>
                <w:sz w:val="18"/>
              </w:rPr>
              <w:t xml:space="preserve">Oral </w:t>
            </w:r>
            <w:r>
              <w:rPr>
                <w:spacing w:val="-3"/>
                <w:sz w:val="18"/>
              </w:rPr>
              <w:t xml:space="preserve">discomfort </w:t>
            </w:r>
            <w:r>
              <w:rPr>
                <w:sz w:val="18"/>
              </w:rPr>
              <w:t>Eructation</w:t>
            </w:r>
          </w:p>
        </w:tc>
        <w:tc>
          <w:tcPr>
            <w:tcW w:w="1512" w:type="dxa"/>
          </w:tcPr>
          <w:p w:rsidR="00D272D5" w:rsidRDefault="00346252" w:rsidP="00092A0A">
            <w:pPr>
              <w:pStyle w:val="TableParagraph"/>
              <w:ind w:left="13" w:right="20"/>
              <w:rPr>
                <w:sz w:val="18"/>
              </w:rPr>
            </w:pPr>
            <w:r>
              <w:rPr>
                <w:sz w:val="18"/>
              </w:rPr>
              <w:t>Gastrointestinal perforation</w:t>
            </w:r>
            <w:r>
              <w:rPr>
                <w:sz w:val="18"/>
                <w:vertAlign w:val="superscript"/>
              </w:rPr>
              <w:t>q,*</w:t>
            </w:r>
            <w:r>
              <w:rPr>
                <w:sz w:val="18"/>
              </w:rPr>
              <w:t xml:space="preserve"> Pancreatitis </w:t>
            </w:r>
          </w:p>
          <w:p w:rsidR="00D272D5" w:rsidRDefault="00346252" w:rsidP="00092A0A">
            <w:pPr>
              <w:pStyle w:val="TableParagraph"/>
              <w:ind w:left="13" w:right="20"/>
              <w:rPr>
                <w:sz w:val="18"/>
              </w:rPr>
            </w:pPr>
            <w:r>
              <w:rPr>
                <w:sz w:val="18"/>
              </w:rPr>
              <w:t xml:space="preserve">Anal fistula </w:t>
            </w:r>
          </w:p>
          <w:p w:rsidR="00457196" w:rsidRDefault="00346252" w:rsidP="00092A0A">
            <w:pPr>
              <w:pStyle w:val="TableParagraph"/>
              <w:ind w:left="13" w:right="20"/>
              <w:rPr>
                <w:sz w:val="18"/>
              </w:rPr>
            </w:pPr>
            <w:r>
              <w:rPr>
                <w:sz w:val="18"/>
              </w:rPr>
              <w:t>Colitis</w:t>
            </w:r>
            <w:r>
              <w:rPr>
                <w:sz w:val="18"/>
                <w:vertAlign w:val="superscript"/>
              </w:rPr>
              <w:t>r</w:t>
            </w:r>
          </w:p>
        </w:tc>
        <w:tc>
          <w:tcPr>
            <w:tcW w:w="1558" w:type="dxa"/>
          </w:tcPr>
          <w:p w:rsidR="00457196" w:rsidRDefault="00457196" w:rsidP="00092A0A">
            <w:pPr>
              <w:pStyle w:val="TableParagraph"/>
              <w:ind w:right="20"/>
              <w:rPr>
                <w:sz w:val="16"/>
              </w:rPr>
            </w:pPr>
          </w:p>
        </w:tc>
        <w:tc>
          <w:tcPr>
            <w:tcW w:w="1017" w:type="dxa"/>
          </w:tcPr>
          <w:p w:rsidR="00457196" w:rsidRDefault="00457196" w:rsidP="00092A0A">
            <w:pPr>
              <w:pStyle w:val="TableParagraph"/>
              <w:ind w:right="20"/>
              <w:rPr>
                <w:sz w:val="16"/>
              </w:rPr>
            </w:pPr>
          </w:p>
        </w:tc>
      </w:tr>
      <w:tr w:rsidR="00457196">
        <w:trPr>
          <w:trHeight w:val="827"/>
        </w:trPr>
        <w:tc>
          <w:tcPr>
            <w:tcW w:w="1517" w:type="dxa"/>
          </w:tcPr>
          <w:p w:rsidR="00457196" w:rsidRDefault="00346252" w:rsidP="00092A0A">
            <w:pPr>
              <w:pStyle w:val="TableParagraph"/>
              <w:spacing w:line="242" w:lineRule="auto"/>
              <w:ind w:left="14" w:right="20"/>
              <w:rPr>
                <w:b/>
                <w:sz w:val="18"/>
              </w:rPr>
            </w:pPr>
            <w:r>
              <w:rPr>
                <w:b/>
                <w:sz w:val="18"/>
              </w:rPr>
              <w:t>Hepatobiliary disorders</w:t>
            </w:r>
          </w:p>
        </w:tc>
        <w:tc>
          <w:tcPr>
            <w:tcW w:w="1777" w:type="dxa"/>
          </w:tcPr>
          <w:p w:rsidR="00457196" w:rsidRDefault="00457196" w:rsidP="00092A0A">
            <w:pPr>
              <w:pStyle w:val="TableParagraph"/>
              <w:ind w:right="20"/>
              <w:rPr>
                <w:sz w:val="16"/>
              </w:rPr>
            </w:pPr>
          </w:p>
        </w:tc>
        <w:tc>
          <w:tcPr>
            <w:tcW w:w="1683" w:type="dxa"/>
          </w:tcPr>
          <w:p w:rsidR="00457196" w:rsidRDefault="00457196" w:rsidP="00092A0A">
            <w:pPr>
              <w:pStyle w:val="TableParagraph"/>
              <w:ind w:right="20"/>
              <w:rPr>
                <w:sz w:val="16"/>
              </w:rPr>
            </w:pPr>
          </w:p>
        </w:tc>
        <w:tc>
          <w:tcPr>
            <w:tcW w:w="1512" w:type="dxa"/>
          </w:tcPr>
          <w:p w:rsidR="00457196" w:rsidRDefault="00346252" w:rsidP="00092A0A">
            <w:pPr>
              <w:pStyle w:val="TableParagraph"/>
              <w:spacing w:line="242" w:lineRule="auto"/>
              <w:ind w:left="13" w:right="20"/>
              <w:rPr>
                <w:sz w:val="18"/>
              </w:rPr>
            </w:pPr>
            <w:r>
              <w:rPr>
                <w:sz w:val="18"/>
              </w:rPr>
              <w:t>Hepatic failure</w:t>
            </w:r>
            <w:r>
              <w:rPr>
                <w:sz w:val="18"/>
                <w:vertAlign w:val="superscript"/>
              </w:rPr>
              <w:t>*</w:t>
            </w:r>
            <w:r>
              <w:rPr>
                <w:sz w:val="18"/>
              </w:rPr>
              <w:t xml:space="preserve"> Cholecystitis</w:t>
            </w:r>
            <w:r>
              <w:rPr>
                <w:sz w:val="18"/>
                <w:vertAlign w:val="superscript"/>
              </w:rPr>
              <w:t>s,*</w:t>
            </w:r>
          </w:p>
          <w:p w:rsidR="00457196" w:rsidRDefault="00346252" w:rsidP="00092A0A">
            <w:pPr>
              <w:pStyle w:val="TableParagraph"/>
              <w:spacing w:line="206" w:lineRule="exact"/>
              <w:ind w:left="13" w:right="20"/>
              <w:rPr>
                <w:sz w:val="18"/>
              </w:rPr>
            </w:pPr>
            <w:r>
              <w:rPr>
                <w:sz w:val="18"/>
              </w:rPr>
              <w:t>Hepatic function abnormal</w:t>
            </w:r>
          </w:p>
        </w:tc>
        <w:tc>
          <w:tcPr>
            <w:tcW w:w="1558" w:type="dxa"/>
          </w:tcPr>
          <w:p w:rsidR="00457196" w:rsidRDefault="00346252" w:rsidP="00092A0A">
            <w:pPr>
              <w:pStyle w:val="TableParagraph"/>
              <w:spacing w:line="199" w:lineRule="exact"/>
              <w:ind w:left="13" w:right="20"/>
              <w:rPr>
                <w:sz w:val="18"/>
              </w:rPr>
            </w:pPr>
            <w:r>
              <w:rPr>
                <w:sz w:val="18"/>
              </w:rPr>
              <w:t>Hepatitis</w:t>
            </w:r>
          </w:p>
        </w:tc>
        <w:tc>
          <w:tcPr>
            <w:tcW w:w="1017" w:type="dxa"/>
          </w:tcPr>
          <w:p w:rsidR="00457196" w:rsidRDefault="00457196" w:rsidP="00092A0A">
            <w:pPr>
              <w:pStyle w:val="TableParagraph"/>
              <w:ind w:right="20"/>
              <w:rPr>
                <w:sz w:val="16"/>
              </w:rPr>
            </w:pPr>
          </w:p>
        </w:tc>
      </w:tr>
      <w:tr w:rsidR="00457196">
        <w:trPr>
          <w:trHeight w:val="2896"/>
        </w:trPr>
        <w:tc>
          <w:tcPr>
            <w:tcW w:w="1517" w:type="dxa"/>
          </w:tcPr>
          <w:p w:rsidR="00457196" w:rsidRDefault="00346252" w:rsidP="00092A0A">
            <w:pPr>
              <w:pStyle w:val="TableParagraph"/>
              <w:ind w:left="14" w:right="20"/>
              <w:rPr>
                <w:b/>
                <w:sz w:val="18"/>
              </w:rPr>
            </w:pPr>
            <w:r>
              <w:rPr>
                <w:b/>
                <w:sz w:val="18"/>
              </w:rPr>
              <w:t>Skin and subcutaneous tissue disorders</w:t>
            </w:r>
          </w:p>
        </w:tc>
        <w:tc>
          <w:tcPr>
            <w:tcW w:w="1777" w:type="dxa"/>
          </w:tcPr>
          <w:p w:rsidR="00457196" w:rsidRDefault="00346252" w:rsidP="00092A0A">
            <w:pPr>
              <w:pStyle w:val="TableParagraph"/>
              <w:ind w:left="11" w:right="20"/>
              <w:rPr>
                <w:sz w:val="18"/>
              </w:rPr>
            </w:pPr>
            <w:r>
              <w:rPr>
                <w:sz w:val="18"/>
              </w:rPr>
              <w:t>Skin discolouration</w:t>
            </w:r>
            <w:r>
              <w:rPr>
                <w:sz w:val="18"/>
                <w:vertAlign w:val="superscript"/>
              </w:rPr>
              <w:t>t</w:t>
            </w:r>
            <w:r>
              <w:rPr>
                <w:sz w:val="18"/>
              </w:rPr>
              <w:t xml:space="preserve"> Palmar-plantar erythrodysaesthesia syndrome</w:t>
            </w:r>
          </w:p>
          <w:p w:rsidR="00457196" w:rsidRDefault="00346252" w:rsidP="00092A0A">
            <w:pPr>
              <w:pStyle w:val="TableParagraph"/>
              <w:spacing w:line="207" w:lineRule="exact"/>
              <w:ind w:left="11" w:right="20"/>
              <w:rPr>
                <w:sz w:val="18"/>
              </w:rPr>
            </w:pPr>
            <w:r>
              <w:rPr>
                <w:sz w:val="18"/>
              </w:rPr>
              <w:t>Rash</w:t>
            </w:r>
            <w:r>
              <w:rPr>
                <w:sz w:val="18"/>
                <w:vertAlign w:val="superscript"/>
              </w:rPr>
              <w:t>u</w:t>
            </w:r>
          </w:p>
          <w:p w:rsidR="00457196" w:rsidRDefault="00346252" w:rsidP="00092A0A">
            <w:pPr>
              <w:pStyle w:val="TableParagraph"/>
              <w:ind w:left="11" w:right="20"/>
              <w:rPr>
                <w:sz w:val="18"/>
              </w:rPr>
            </w:pPr>
            <w:r>
              <w:rPr>
                <w:sz w:val="18"/>
              </w:rPr>
              <w:t>Hair colour changes Dry skin</w:t>
            </w:r>
          </w:p>
        </w:tc>
        <w:tc>
          <w:tcPr>
            <w:tcW w:w="1683" w:type="dxa"/>
          </w:tcPr>
          <w:p w:rsidR="00D272D5" w:rsidRDefault="00346252" w:rsidP="00092A0A">
            <w:pPr>
              <w:pStyle w:val="TableParagraph"/>
              <w:ind w:left="11" w:right="20"/>
              <w:rPr>
                <w:sz w:val="18"/>
              </w:rPr>
            </w:pPr>
            <w:r>
              <w:rPr>
                <w:sz w:val="18"/>
              </w:rPr>
              <w:t xml:space="preserve">Skin exfoliation </w:t>
            </w:r>
          </w:p>
          <w:p w:rsidR="00D272D5" w:rsidRDefault="00346252" w:rsidP="00092A0A">
            <w:pPr>
              <w:pStyle w:val="TableParagraph"/>
              <w:ind w:left="11" w:right="20"/>
              <w:rPr>
                <w:sz w:val="18"/>
              </w:rPr>
            </w:pPr>
            <w:r>
              <w:rPr>
                <w:sz w:val="18"/>
              </w:rPr>
              <w:t>Skin reaction</w:t>
            </w:r>
            <w:r>
              <w:rPr>
                <w:sz w:val="18"/>
                <w:vertAlign w:val="superscript"/>
              </w:rPr>
              <w:t>v</w:t>
            </w:r>
            <w:r>
              <w:rPr>
                <w:sz w:val="18"/>
              </w:rPr>
              <w:t xml:space="preserve"> </w:t>
            </w:r>
          </w:p>
          <w:p w:rsidR="00457196" w:rsidRDefault="00346252" w:rsidP="00092A0A">
            <w:pPr>
              <w:pStyle w:val="TableParagraph"/>
              <w:ind w:left="11" w:right="20"/>
              <w:rPr>
                <w:sz w:val="18"/>
              </w:rPr>
            </w:pPr>
            <w:r>
              <w:rPr>
                <w:sz w:val="18"/>
              </w:rPr>
              <w:t>Eczema</w:t>
            </w:r>
          </w:p>
          <w:p w:rsidR="00423E95" w:rsidRDefault="00346252" w:rsidP="00092A0A">
            <w:pPr>
              <w:pStyle w:val="TableParagraph"/>
              <w:ind w:left="11" w:right="20"/>
              <w:rPr>
                <w:sz w:val="18"/>
              </w:rPr>
            </w:pPr>
            <w:r>
              <w:rPr>
                <w:sz w:val="18"/>
              </w:rPr>
              <w:t xml:space="preserve">Blister </w:t>
            </w:r>
          </w:p>
          <w:p w:rsidR="00423E95" w:rsidRDefault="00346252" w:rsidP="00092A0A">
            <w:pPr>
              <w:pStyle w:val="TableParagraph"/>
              <w:ind w:left="11" w:right="20"/>
              <w:rPr>
                <w:sz w:val="18"/>
              </w:rPr>
            </w:pPr>
            <w:r>
              <w:rPr>
                <w:sz w:val="18"/>
              </w:rPr>
              <w:t xml:space="preserve">Erythema </w:t>
            </w:r>
          </w:p>
          <w:p w:rsidR="00423E95" w:rsidRDefault="00346252" w:rsidP="00092A0A">
            <w:pPr>
              <w:pStyle w:val="TableParagraph"/>
              <w:ind w:left="11" w:right="20"/>
              <w:rPr>
                <w:sz w:val="18"/>
              </w:rPr>
            </w:pPr>
            <w:r>
              <w:rPr>
                <w:sz w:val="18"/>
              </w:rPr>
              <w:t xml:space="preserve">Alopecia </w:t>
            </w:r>
          </w:p>
          <w:p w:rsidR="00423E95" w:rsidRDefault="00346252" w:rsidP="00092A0A">
            <w:pPr>
              <w:pStyle w:val="TableParagraph"/>
              <w:ind w:left="11" w:right="20"/>
              <w:rPr>
                <w:sz w:val="18"/>
              </w:rPr>
            </w:pPr>
            <w:r>
              <w:rPr>
                <w:sz w:val="18"/>
              </w:rPr>
              <w:t xml:space="preserve">Acne </w:t>
            </w:r>
          </w:p>
          <w:p w:rsidR="00423E95" w:rsidRDefault="00346252" w:rsidP="00092A0A">
            <w:pPr>
              <w:pStyle w:val="TableParagraph"/>
              <w:ind w:left="11" w:right="20"/>
              <w:rPr>
                <w:sz w:val="18"/>
              </w:rPr>
            </w:pPr>
            <w:r>
              <w:rPr>
                <w:sz w:val="18"/>
              </w:rPr>
              <w:t xml:space="preserve">Pruritus </w:t>
            </w:r>
          </w:p>
          <w:p w:rsidR="00457196" w:rsidRDefault="00346252" w:rsidP="00092A0A">
            <w:pPr>
              <w:pStyle w:val="TableParagraph"/>
              <w:ind w:left="11" w:right="20"/>
              <w:rPr>
                <w:sz w:val="18"/>
              </w:rPr>
            </w:pPr>
            <w:r>
              <w:rPr>
                <w:sz w:val="18"/>
              </w:rPr>
              <w:t>Skin</w:t>
            </w:r>
          </w:p>
          <w:p w:rsidR="00457196" w:rsidRDefault="00346252" w:rsidP="00092A0A">
            <w:pPr>
              <w:pStyle w:val="TableParagraph"/>
              <w:ind w:left="11" w:right="20"/>
              <w:rPr>
                <w:sz w:val="18"/>
              </w:rPr>
            </w:pPr>
            <w:r>
              <w:rPr>
                <w:sz w:val="18"/>
              </w:rPr>
              <w:t>hyperpigmentation Skin lesion Hyperkeratosis Dermatitis</w:t>
            </w:r>
          </w:p>
          <w:p w:rsidR="00457196" w:rsidRDefault="00346252" w:rsidP="00092A0A">
            <w:pPr>
              <w:pStyle w:val="TableParagraph"/>
              <w:spacing w:line="194" w:lineRule="exact"/>
              <w:ind w:left="11" w:right="20"/>
              <w:rPr>
                <w:sz w:val="18"/>
              </w:rPr>
            </w:pPr>
            <w:r>
              <w:rPr>
                <w:sz w:val="18"/>
              </w:rPr>
              <w:t>Nail disorder</w:t>
            </w:r>
            <w:r>
              <w:rPr>
                <w:sz w:val="18"/>
                <w:vertAlign w:val="superscript"/>
              </w:rPr>
              <w:t>w</w:t>
            </w:r>
          </w:p>
        </w:tc>
        <w:tc>
          <w:tcPr>
            <w:tcW w:w="1512" w:type="dxa"/>
          </w:tcPr>
          <w:p w:rsidR="00457196" w:rsidRDefault="00457196" w:rsidP="00092A0A">
            <w:pPr>
              <w:pStyle w:val="TableParagraph"/>
              <w:ind w:right="20"/>
              <w:rPr>
                <w:sz w:val="16"/>
              </w:rPr>
            </w:pPr>
          </w:p>
        </w:tc>
        <w:tc>
          <w:tcPr>
            <w:tcW w:w="1558" w:type="dxa"/>
          </w:tcPr>
          <w:p w:rsidR="00423E95" w:rsidRDefault="00346252" w:rsidP="00092A0A">
            <w:pPr>
              <w:pStyle w:val="TableParagraph"/>
              <w:ind w:left="13" w:right="20"/>
              <w:rPr>
                <w:sz w:val="18"/>
              </w:rPr>
            </w:pPr>
            <w:r>
              <w:rPr>
                <w:sz w:val="18"/>
              </w:rPr>
              <w:t>Erythema multiforme</w:t>
            </w:r>
            <w:r>
              <w:rPr>
                <w:sz w:val="18"/>
                <w:vertAlign w:val="superscript"/>
              </w:rPr>
              <w:t>*</w:t>
            </w:r>
            <w:r>
              <w:rPr>
                <w:sz w:val="18"/>
              </w:rPr>
              <w:t xml:space="preserve"> Stevens-Johnson syndrome</w:t>
            </w:r>
            <w:r>
              <w:rPr>
                <w:sz w:val="18"/>
                <w:vertAlign w:val="superscript"/>
              </w:rPr>
              <w:t>*</w:t>
            </w:r>
            <w:r>
              <w:rPr>
                <w:sz w:val="18"/>
              </w:rPr>
              <w:t xml:space="preserve"> Pyoderma gangrenosum </w:t>
            </w:r>
          </w:p>
          <w:p w:rsidR="00457196" w:rsidRDefault="00346252" w:rsidP="00092A0A">
            <w:pPr>
              <w:pStyle w:val="TableParagraph"/>
              <w:ind w:left="13" w:right="20"/>
              <w:rPr>
                <w:sz w:val="18"/>
              </w:rPr>
            </w:pPr>
            <w:r>
              <w:rPr>
                <w:sz w:val="18"/>
              </w:rPr>
              <w:t>Toxic epidermal necrolysis</w:t>
            </w:r>
            <w:r>
              <w:rPr>
                <w:sz w:val="18"/>
                <w:vertAlign w:val="superscript"/>
              </w:rPr>
              <w:t>*</w:t>
            </w:r>
          </w:p>
        </w:tc>
        <w:tc>
          <w:tcPr>
            <w:tcW w:w="1017" w:type="dxa"/>
          </w:tcPr>
          <w:p w:rsidR="00457196" w:rsidRDefault="00457196" w:rsidP="00092A0A">
            <w:pPr>
              <w:pStyle w:val="TableParagraph"/>
              <w:ind w:right="20"/>
              <w:rPr>
                <w:sz w:val="16"/>
              </w:rPr>
            </w:pPr>
          </w:p>
        </w:tc>
      </w:tr>
      <w:tr w:rsidR="00457196">
        <w:trPr>
          <w:trHeight w:val="827"/>
        </w:trPr>
        <w:tc>
          <w:tcPr>
            <w:tcW w:w="1517" w:type="dxa"/>
          </w:tcPr>
          <w:p w:rsidR="00457196" w:rsidRDefault="00346252" w:rsidP="00092A0A">
            <w:pPr>
              <w:pStyle w:val="TableParagraph"/>
              <w:ind w:left="14" w:right="20"/>
              <w:rPr>
                <w:b/>
                <w:sz w:val="18"/>
              </w:rPr>
            </w:pPr>
            <w:r>
              <w:rPr>
                <w:b/>
                <w:sz w:val="18"/>
              </w:rPr>
              <w:t>Musculoskeletal and connective tissue disorders</w:t>
            </w:r>
          </w:p>
        </w:tc>
        <w:tc>
          <w:tcPr>
            <w:tcW w:w="1777" w:type="dxa"/>
          </w:tcPr>
          <w:p w:rsidR="00457196" w:rsidRDefault="00346252" w:rsidP="00092A0A">
            <w:pPr>
              <w:pStyle w:val="TableParagraph"/>
              <w:ind w:left="11" w:right="20"/>
              <w:rPr>
                <w:sz w:val="18"/>
              </w:rPr>
            </w:pPr>
            <w:r>
              <w:rPr>
                <w:sz w:val="18"/>
              </w:rPr>
              <w:t xml:space="preserve">Pain in </w:t>
            </w:r>
            <w:r>
              <w:rPr>
                <w:spacing w:val="-3"/>
                <w:sz w:val="18"/>
              </w:rPr>
              <w:t xml:space="preserve">extremity </w:t>
            </w:r>
            <w:r>
              <w:rPr>
                <w:sz w:val="18"/>
              </w:rPr>
              <w:t>Arthralgia</w:t>
            </w:r>
          </w:p>
          <w:p w:rsidR="00457196" w:rsidRDefault="00346252" w:rsidP="00092A0A">
            <w:pPr>
              <w:pStyle w:val="TableParagraph"/>
              <w:ind w:left="11" w:right="20"/>
              <w:rPr>
                <w:sz w:val="18"/>
              </w:rPr>
            </w:pPr>
            <w:r>
              <w:rPr>
                <w:sz w:val="18"/>
              </w:rPr>
              <w:t>Back</w:t>
            </w:r>
            <w:r>
              <w:rPr>
                <w:spacing w:val="-3"/>
                <w:sz w:val="18"/>
              </w:rPr>
              <w:t xml:space="preserve"> </w:t>
            </w:r>
            <w:r>
              <w:rPr>
                <w:sz w:val="18"/>
              </w:rPr>
              <w:t>pain</w:t>
            </w:r>
          </w:p>
        </w:tc>
        <w:tc>
          <w:tcPr>
            <w:tcW w:w="1683" w:type="dxa"/>
          </w:tcPr>
          <w:p w:rsidR="00457196" w:rsidRDefault="00346252" w:rsidP="00092A0A">
            <w:pPr>
              <w:pStyle w:val="TableParagraph"/>
              <w:ind w:left="11" w:right="20"/>
              <w:rPr>
                <w:sz w:val="18"/>
              </w:rPr>
            </w:pPr>
            <w:r>
              <w:rPr>
                <w:sz w:val="18"/>
              </w:rPr>
              <w:t>Musculoskeletal pain Muscle spasms Myalgia</w:t>
            </w:r>
          </w:p>
          <w:p w:rsidR="00457196" w:rsidRDefault="00346252" w:rsidP="00092A0A">
            <w:pPr>
              <w:pStyle w:val="TableParagraph"/>
              <w:spacing w:line="194" w:lineRule="exact"/>
              <w:ind w:left="11" w:right="20"/>
              <w:rPr>
                <w:sz w:val="18"/>
              </w:rPr>
            </w:pPr>
            <w:r>
              <w:rPr>
                <w:sz w:val="18"/>
              </w:rPr>
              <w:t>Muscular weakness</w:t>
            </w:r>
          </w:p>
        </w:tc>
        <w:tc>
          <w:tcPr>
            <w:tcW w:w="1512" w:type="dxa"/>
          </w:tcPr>
          <w:p w:rsidR="00457196" w:rsidRDefault="00346252" w:rsidP="00092A0A">
            <w:pPr>
              <w:pStyle w:val="TableParagraph"/>
              <w:ind w:left="13" w:right="20"/>
              <w:rPr>
                <w:sz w:val="18"/>
              </w:rPr>
            </w:pPr>
            <w:r>
              <w:rPr>
                <w:sz w:val="18"/>
              </w:rPr>
              <w:t>Osteonecrosis of the jaw</w:t>
            </w:r>
          </w:p>
          <w:p w:rsidR="00457196" w:rsidRDefault="00346252" w:rsidP="00092A0A">
            <w:pPr>
              <w:pStyle w:val="TableParagraph"/>
              <w:ind w:left="13" w:right="20"/>
              <w:rPr>
                <w:sz w:val="18"/>
              </w:rPr>
            </w:pPr>
            <w:r>
              <w:rPr>
                <w:sz w:val="18"/>
              </w:rPr>
              <w:t>Fistula</w:t>
            </w:r>
            <w:r>
              <w:rPr>
                <w:sz w:val="18"/>
                <w:vertAlign w:val="superscript"/>
              </w:rPr>
              <w:t>*</w:t>
            </w:r>
          </w:p>
        </w:tc>
        <w:tc>
          <w:tcPr>
            <w:tcW w:w="1558" w:type="dxa"/>
          </w:tcPr>
          <w:p w:rsidR="00457196" w:rsidRDefault="00346252" w:rsidP="00092A0A">
            <w:pPr>
              <w:pStyle w:val="TableParagraph"/>
              <w:ind w:left="13" w:right="20"/>
              <w:rPr>
                <w:sz w:val="18"/>
              </w:rPr>
            </w:pPr>
            <w:r>
              <w:rPr>
                <w:w w:val="95"/>
                <w:sz w:val="18"/>
              </w:rPr>
              <w:t>Rhabdomyolysis</w:t>
            </w:r>
            <w:r>
              <w:rPr>
                <w:w w:val="95"/>
                <w:sz w:val="18"/>
                <w:vertAlign w:val="superscript"/>
              </w:rPr>
              <w:t>*</w:t>
            </w:r>
            <w:r>
              <w:rPr>
                <w:w w:val="95"/>
                <w:sz w:val="18"/>
              </w:rPr>
              <w:t xml:space="preserve"> </w:t>
            </w:r>
            <w:r>
              <w:rPr>
                <w:sz w:val="18"/>
              </w:rPr>
              <w:t>Myopathy</w:t>
            </w:r>
          </w:p>
        </w:tc>
        <w:tc>
          <w:tcPr>
            <w:tcW w:w="1017" w:type="dxa"/>
          </w:tcPr>
          <w:p w:rsidR="00457196" w:rsidRDefault="00457196" w:rsidP="00092A0A">
            <w:pPr>
              <w:pStyle w:val="TableParagraph"/>
              <w:ind w:right="20"/>
              <w:rPr>
                <w:sz w:val="16"/>
              </w:rPr>
            </w:pPr>
          </w:p>
        </w:tc>
      </w:tr>
      <w:tr w:rsidR="00457196">
        <w:trPr>
          <w:trHeight w:val="827"/>
        </w:trPr>
        <w:tc>
          <w:tcPr>
            <w:tcW w:w="1517" w:type="dxa"/>
          </w:tcPr>
          <w:p w:rsidR="00457196" w:rsidRDefault="00346252" w:rsidP="00092A0A">
            <w:pPr>
              <w:pStyle w:val="TableParagraph"/>
              <w:spacing w:line="242" w:lineRule="auto"/>
              <w:ind w:left="14" w:right="20"/>
              <w:rPr>
                <w:b/>
                <w:sz w:val="18"/>
              </w:rPr>
            </w:pPr>
            <w:r>
              <w:rPr>
                <w:b/>
                <w:sz w:val="18"/>
              </w:rPr>
              <w:t>Renal and urinary disorders</w:t>
            </w:r>
          </w:p>
        </w:tc>
        <w:tc>
          <w:tcPr>
            <w:tcW w:w="1777" w:type="dxa"/>
          </w:tcPr>
          <w:p w:rsidR="00457196" w:rsidRDefault="00457196" w:rsidP="00092A0A">
            <w:pPr>
              <w:pStyle w:val="TableParagraph"/>
              <w:ind w:right="20"/>
              <w:rPr>
                <w:sz w:val="16"/>
              </w:rPr>
            </w:pPr>
          </w:p>
        </w:tc>
        <w:tc>
          <w:tcPr>
            <w:tcW w:w="1683" w:type="dxa"/>
          </w:tcPr>
          <w:p w:rsidR="00423E95" w:rsidRDefault="00346252" w:rsidP="00092A0A">
            <w:pPr>
              <w:pStyle w:val="TableParagraph"/>
              <w:spacing w:line="242" w:lineRule="auto"/>
              <w:ind w:left="11" w:right="20"/>
              <w:rPr>
                <w:sz w:val="18"/>
              </w:rPr>
            </w:pPr>
            <w:r>
              <w:rPr>
                <w:sz w:val="18"/>
              </w:rPr>
              <w:t>Renal failure</w:t>
            </w:r>
            <w:r>
              <w:rPr>
                <w:sz w:val="18"/>
                <w:vertAlign w:val="superscript"/>
              </w:rPr>
              <w:t>*</w:t>
            </w:r>
            <w:r>
              <w:rPr>
                <w:sz w:val="18"/>
              </w:rPr>
              <w:t xml:space="preserve"> </w:t>
            </w:r>
          </w:p>
          <w:p w:rsidR="00457196" w:rsidRDefault="00346252" w:rsidP="00092A0A">
            <w:pPr>
              <w:pStyle w:val="TableParagraph"/>
              <w:spacing w:line="242" w:lineRule="auto"/>
              <w:ind w:left="11" w:right="20"/>
              <w:rPr>
                <w:sz w:val="18"/>
              </w:rPr>
            </w:pPr>
            <w:r>
              <w:rPr>
                <w:sz w:val="18"/>
              </w:rPr>
              <w:t>Renal failure</w:t>
            </w:r>
            <w:r>
              <w:rPr>
                <w:spacing w:val="-7"/>
                <w:sz w:val="18"/>
              </w:rPr>
              <w:t xml:space="preserve"> </w:t>
            </w:r>
            <w:r>
              <w:rPr>
                <w:sz w:val="18"/>
              </w:rPr>
              <w:t>acute</w:t>
            </w:r>
            <w:r>
              <w:rPr>
                <w:sz w:val="18"/>
                <w:vertAlign w:val="superscript"/>
              </w:rPr>
              <w:t>*</w:t>
            </w:r>
          </w:p>
          <w:p w:rsidR="00457196" w:rsidRDefault="00346252" w:rsidP="00092A0A">
            <w:pPr>
              <w:pStyle w:val="TableParagraph"/>
              <w:spacing w:line="206" w:lineRule="exact"/>
              <w:ind w:left="11" w:right="20"/>
              <w:rPr>
                <w:sz w:val="18"/>
              </w:rPr>
            </w:pPr>
            <w:r>
              <w:rPr>
                <w:sz w:val="18"/>
              </w:rPr>
              <w:t>Chromaturia Proteinuria</w:t>
            </w:r>
          </w:p>
        </w:tc>
        <w:tc>
          <w:tcPr>
            <w:tcW w:w="1512" w:type="dxa"/>
          </w:tcPr>
          <w:p w:rsidR="00457196" w:rsidRDefault="00346252" w:rsidP="00092A0A">
            <w:pPr>
              <w:pStyle w:val="TableParagraph"/>
              <w:spacing w:line="242" w:lineRule="auto"/>
              <w:ind w:left="13" w:right="20"/>
              <w:rPr>
                <w:sz w:val="18"/>
              </w:rPr>
            </w:pPr>
            <w:r>
              <w:rPr>
                <w:sz w:val="18"/>
              </w:rPr>
              <w:t>Haemorrhage urinary tract</w:t>
            </w:r>
          </w:p>
        </w:tc>
        <w:tc>
          <w:tcPr>
            <w:tcW w:w="1558" w:type="dxa"/>
          </w:tcPr>
          <w:p w:rsidR="00457196" w:rsidRDefault="00346252" w:rsidP="00092A0A">
            <w:pPr>
              <w:pStyle w:val="TableParagraph"/>
              <w:spacing w:line="199" w:lineRule="exact"/>
              <w:ind w:left="13" w:right="20"/>
              <w:rPr>
                <w:sz w:val="18"/>
              </w:rPr>
            </w:pPr>
            <w:r>
              <w:rPr>
                <w:sz w:val="18"/>
              </w:rPr>
              <w:t>Nephrotic syndrome</w:t>
            </w:r>
          </w:p>
        </w:tc>
        <w:tc>
          <w:tcPr>
            <w:tcW w:w="1017" w:type="dxa"/>
          </w:tcPr>
          <w:p w:rsidR="00457196" w:rsidRDefault="00457196" w:rsidP="00092A0A">
            <w:pPr>
              <w:pStyle w:val="TableParagraph"/>
              <w:ind w:right="20"/>
              <w:rPr>
                <w:sz w:val="16"/>
              </w:rPr>
            </w:pPr>
          </w:p>
        </w:tc>
      </w:tr>
      <w:tr w:rsidR="00457196">
        <w:trPr>
          <w:trHeight w:val="827"/>
        </w:trPr>
        <w:tc>
          <w:tcPr>
            <w:tcW w:w="1517" w:type="dxa"/>
          </w:tcPr>
          <w:p w:rsidR="00457196" w:rsidRDefault="00346252" w:rsidP="00092A0A">
            <w:pPr>
              <w:pStyle w:val="TableParagraph"/>
              <w:ind w:left="14" w:right="20"/>
              <w:rPr>
                <w:b/>
                <w:sz w:val="18"/>
              </w:rPr>
            </w:pPr>
            <w:r>
              <w:rPr>
                <w:b/>
                <w:sz w:val="18"/>
              </w:rPr>
              <w:t>General disorders and administration site conditions</w:t>
            </w:r>
          </w:p>
        </w:tc>
        <w:tc>
          <w:tcPr>
            <w:tcW w:w="1777" w:type="dxa"/>
          </w:tcPr>
          <w:p w:rsidR="00457196" w:rsidRDefault="00346252" w:rsidP="00092A0A">
            <w:pPr>
              <w:pStyle w:val="TableParagraph"/>
              <w:spacing w:line="242" w:lineRule="auto"/>
              <w:ind w:left="11" w:right="20"/>
              <w:rPr>
                <w:sz w:val="18"/>
              </w:rPr>
            </w:pPr>
            <w:r>
              <w:rPr>
                <w:sz w:val="18"/>
              </w:rPr>
              <w:t>Mucosal inflammation Fatigue</w:t>
            </w:r>
            <w:r>
              <w:rPr>
                <w:sz w:val="18"/>
                <w:vertAlign w:val="superscript"/>
              </w:rPr>
              <w:t>x</w:t>
            </w:r>
          </w:p>
          <w:p w:rsidR="00423E95" w:rsidRDefault="00346252" w:rsidP="00092A0A">
            <w:pPr>
              <w:pStyle w:val="TableParagraph"/>
              <w:spacing w:line="206" w:lineRule="exact"/>
              <w:ind w:left="11" w:right="20"/>
              <w:rPr>
                <w:sz w:val="18"/>
              </w:rPr>
            </w:pPr>
            <w:r>
              <w:rPr>
                <w:sz w:val="18"/>
              </w:rPr>
              <w:t>Oedema</w:t>
            </w:r>
            <w:r>
              <w:rPr>
                <w:sz w:val="18"/>
                <w:vertAlign w:val="superscript"/>
              </w:rPr>
              <w:t>y</w:t>
            </w:r>
            <w:r>
              <w:rPr>
                <w:sz w:val="18"/>
              </w:rPr>
              <w:t xml:space="preserve"> </w:t>
            </w:r>
          </w:p>
          <w:p w:rsidR="00457196" w:rsidRDefault="00346252" w:rsidP="00092A0A">
            <w:pPr>
              <w:pStyle w:val="TableParagraph"/>
              <w:spacing w:line="206" w:lineRule="exact"/>
              <w:ind w:left="11" w:right="20"/>
              <w:rPr>
                <w:sz w:val="18"/>
              </w:rPr>
            </w:pPr>
            <w:r>
              <w:rPr>
                <w:sz w:val="18"/>
              </w:rPr>
              <w:t>Pyrexia</w:t>
            </w:r>
          </w:p>
        </w:tc>
        <w:tc>
          <w:tcPr>
            <w:tcW w:w="1683" w:type="dxa"/>
          </w:tcPr>
          <w:p w:rsidR="00423E95" w:rsidRDefault="00346252" w:rsidP="00092A0A">
            <w:pPr>
              <w:pStyle w:val="TableParagraph"/>
              <w:spacing w:line="242" w:lineRule="auto"/>
              <w:ind w:left="11" w:right="20"/>
              <w:rPr>
                <w:sz w:val="18"/>
              </w:rPr>
            </w:pPr>
            <w:r>
              <w:rPr>
                <w:sz w:val="18"/>
              </w:rPr>
              <w:t xml:space="preserve">Chest pain </w:t>
            </w:r>
          </w:p>
          <w:p w:rsidR="00457196" w:rsidRDefault="00346252" w:rsidP="00092A0A">
            <w:pPr>
              <w:pStyle w:val="TableParagraph"/>
              <w:spacing w:line="242" w:lineRule="auto"/>
              <w:ind w:left="11" w:right="20"/>
              <w:rPr>
                <w:sz w:val="18"/>
              </w:rPr>
            </w:pPr>
            <w:r>
              <w:rPr>
                <w:sz w:val="18"/>
              </w:rPr>
              <w:t>Pain</w:t>
            </w:r>
          </w:p>
          <w:p w:rsidR="00457196" w:rsidRDefault="00346252" w:rsidP="00092A0A">
            <w:pPr>
              <w:pStyle w:val="TableParagraph"/>
              <w:spacing w:line="206" w:lineRule="exact"/>
              <w:ind w:left="11" w:right="20"/>
              <w:rPr>
                <w:sz w:val="18"/>
              </w:rPr>
            </w:pPr>
            <w:r>
              <w:rPr>
                <w:sz w:val="18"/>
              </w:rPr>
              <w:t>Influenza like illness Chills</w:t>
            </w:r>
          </w:p>
        </w:tc>
        <w:tc>
          <w:tcPr>
            <w:tcW w:w="1512" w:type="dxa"/>
          </w:tcPr>
          <w:p w:rsidR="00457196" w:rsidRDefault="00346252" w:rsidP="00092A0A">
            <w:pPr>
              <w:pStyle w:val="TableParagraph"/>
              <w:spacing w:line="199" w:lineRule="exact"/>
              <w:ind w:left="13" w:right="20"/>
              <w:rPr>
                <w:sz w:val="18"/>
              </w:rPr>
            </w:pPr>
            <w:r>
              <w:rPr>
                <w:sz w:val="18"/>
              </w:rPr>
              <w:t>Impaired healing</w:t>
            </w:r>
          </w:p>
        </w:tc>
        <w:tc>
          <w:tcPr>
            <w:tcW w:w="1558" w:type="dxa"/>
          </w:tcPr>
          <w:p w:rsidR="00457196" w:rsidRDefault="00457196" w:rsidP="00092A0A">
            <w:pPr>
              <w:pStyle w:val="TableParagraph"/>
              <w:ind w:right="20"/>
              <w:rPr>
                <w:sz w:val="18"/>
              </w:rPr>
            </w:pPr>
          </w:p>
        </w:tc>
        <w:tc>
          <w:tcPr>
            <w:tcW w:w="1017" w:type="dxa"/>
          </w:tcPr>
          <w:p w:rsidR="00457196" w:rsidRDefault="00457196" w:rsidP="00092A0A">
            <w:pPr>
              <w:pStyle w:val="TableParagraph"/>
              <w:ind w:right="20"/>
              <w:rPr>
                <w:sz w:val="18"/>
              </w:rPr>
            </w:pPr>
          </w:p>
        </w:tc>
      </w:tr>
      <w:tr w:rsidR="00457196">
        <w:trPr>
          <w:trHeight w:val="4346"/>
        </w:trPr>
        <w:tc>
          <w:tcPr>
            <w:tcW w:w="1517" w:type="dxa"/>
          </w:tcPr>
          <w:p w:rsidR="00457196" w:rsidRDefault="00346252" w:rsidP="00092A0A">
            <w:pPr>
              <w:pStyle w:val="TableParagraph"/>
              <w:spacing w:line="196" w:lineRule="exact"/>
              <w:ind w:left="14" w:right="20"/>
              <w:rPr>
                <w:b/>
                <w:sz w:val="18"/>
              </w:rPr>
            </w:pPr>
            <w:r>
              <w:rPr>
                <w:b/>
                <w:sz w:val="18"/>
              </w:rPr>
              <w:t>Investigations</w:t>
            </w:r>
          </w:p>
        </w:tc>
        <w:tc>
          <w:tcPr>
            <w:tcW w:w="1777" w:type="dxa"/>
          </w:tcPr>
          <w:p w:rsidR="00457196" w:rsidRDefault="00457196" w:rsidP="00092A0A">
            <w:pPr>
              <w:pStyle w:val="TableParagraph"/>
              <w:ind w:right="20"/>
              <w:rPr>
                <w:sz w:val="18"/>
              </w:rPr>
            </w:pPr>
          </w:p>
        </w:tc>
        <w:tc>
          <w:tcPr>
            <w:tcW w:w="1683" w:type="dxa"/>
          </w:tcPr>
          <w:p w:rsidR="00457196" w:rsidRDefault="00346252" w:rsidP="00092A0A">
            <w:pPr>
              <w:pStyle w:val="TableParagraph"/>
              <w:ind w:left="11" w:right="20"/>
              <w:rPr>
                <w:sz w:val="18"/>
              </w:rPr>
            </w:pPr>
            <w:r>
              <w:rPr>
                <w:sz w:val="18"/>
              </w:rPr>
              <w:t xml:space="preserve">Weight decreased White blood cell </w:t>
            </w:r>
            <w:r>
              <w:rPr>
                <w:spacing w:val="-4"/>
                <w:sz w:val="18"/>
              </w:rPr>
              <w:t xml:space="preserve">count </w:t>
            </w:r>
            <w:r>
              <w:rPr>
                <w:sz w:val="18"/>
              </w:rPr>
              <w:t>decreased</w:t>
            </w:r>
          </w:p>
          <w:p w:rsidR="00457196" w:rsidRDefault="00346252" w:rsidP="00092A0A">
            <w:pPr>
              <w:pStyle w:val="TableParagraph"/>
              <w:ind w:left="11" w:right="20"/>
              <w:rPr>
                <w:sz w:val="18"/>
              </w:rPr>
            </w:pPr>
            <w:r>
              <w:rPr>
                <w:sz w:val="18"/>
              </w:rPr>
              <w:t xml:space="preserve">Lipase </w:t>
            </w:r>
            <w:r>
              <w:rPr>
                <w:spacing w:val="-3"/>
                <w:sz w:val="18"/>
              </w:rPr>
              <w:t xml:space="preserve">increased </w:t>
            </w:r>
            <w:r>
              <w:rPr>
                <w:sz w:val="18"/>
              </w:rPr>
              <w:t>Platelet count decreased Haemoglobin decreased</w:t>
            </w:r>
          </w:p>
          <w:p w:rsidR="00457196" w:rsidRDefault="00346252" w:rsidP="00092A0A">
            <w:pPr>
              <w:pStyle w:val="TableParagraph"/>
              <w:ind w:left="11" w:right="20"/>
              <w:rPr>
                <w:sz w:val="18"/>
              </w:rPr>
            </w:pPr>
            <w:r>
              <w:rPr>
                <w:sz w:val="18"/>
              </w:rPr>
              <w:t>Amylase increased</w:t>
            </w:r>
            <w:r>
              <w:rPr>
                <w:sz w:val="18"/>
                <w:vertAlign w:val="superscript"/>
              </w:rPr>
              <w:t>z</w:t>
            </w:r>
            <w:r>
              <w:rPr>
                <w:sz w:val="18"/>
              </w:rPr>
              <w:t xml:space="preserve"> Aspartate aminotransferase increased</w:t>
            </w:r>
          </w:p>
          <w:p w:rsidR="00457196" w:rsidRDefault="00346252" w:rsidP="00092A0A">
            <w:pPr>
              <w:pStyle w:val="TableParagraph"/>
              <w:ind w:left="11" w:right="20"/>
              <w:rPr>
                <w:sz w:val="18"/>
              </w:rPr>
            </w:pPr>
            <w:r>
              <w:rPr>
                <w:sz w:val="18"/>
              </w:rPr>
              <w:t xml:space="preserve">Alanine </w:t>
            </w:r>
            <w:r>
              <w:rPr>
                <w:spacing w:val="-1"/>
                <w:sz w:val="18"/>
              </w:rPr>
              <w:t xml:space="preserve">aminotransferase </w:t>
            </w:r>
            <w:r>
              <w:rPr>
                <w:sz w:val="18"/>
              </w:rPr>
              <w:t>increased</w:t>
            </w:r>
          </w:p>
          <w:p w:rsidR="00457196" w:rsidRDefault="00346252" w:rsidP="00092A0A">
            <w:pPr>
              <w:pStyle w:val="TableParagraph"/>
              <w:ind w:left="11" w:right="20"/>
              <w:rPr>
                <w:sz w:val="18"/>
              </w:rPr>
            </w:pPr>
            <w:r>
              <w:rPr>
                <w:sz w:val="18"/>
              </w:rPr>
              <w:t xml:space="preserve">Blood </w:t>
            </w:r>
            <w:r>
              <w:rPr>
                <w:spacing w:val="-3"/>
                <w:sz w:val="18"/>
              </w:rPr>
              <w:t xml:space="preserve">creatinine </w:t>
            </w:r>
            <w:r>
              <w:rPr>
                <w:sz w:val="18"/>
              </w:rPr>
              <w:t>increased</w:t>
            </w:r>
          </w:p>
          <w:p w:rsidR="00423E95" w:rsidRDefault="00346252" w:rsidP="00092A0A">
            <w:pPr>
              <w:pStyle w:val="TableParagraph"/>
              <w:spacing w:line="206" w:lineRule="exact"/>
              <w:ind w:left="11" w:right="20"/>
              <w:rPr>
                <w:sz w:val="18"/>
              </w:rPr>
            </w:pPr>
            <w:r>
              <w:rPr>
                <w:sz w:val="18"/>
              </w:rPr>
              <w:t xml:space="preserve">Blood pressure increased </w:t>
            </w:r>
          </w:p>
          <w:p w:rsidR="00457196" w:rsidRDefault="00346252" w:rsidP="00092A0A">
            <w:pPr>
              <w:pStyle w:val="TableParagraph"/>
              <w:spacing w:line="206" w:lineRule="exact"/>
              <w:ind w:left="11" w:right="20"/>
              <w:rPr>
                <w:sz w:val="18"/>
              </w:rPr>
            </w:pPr>
            <w:r>
              <w:rPr>
                <w:sz w:val="18"/>
              </w:rPr>
              <w:t xml:space="preserve">Blood uric </w:t>
            </w:r>
            <w:r>
              <w:rPr>
                <w:spacing w:val="-5"/>
                <w:sz w:val="18"/>
              </w:rPr>
              <w:t xml:space="preserve">acid </w:t>
            </w:r>
            <w:r>
              <w:rPr>
                <w:sz w:val="18"/>
              </w:rPr>
              <w:t>increased</w:t>
            </w:r>
          </w:p>
        </w:tc>
        <w:tc>
          <w:tcPr>
            <w:tcW w:w="1512" w:type="dxa"/>
          </w:tcPr>
          <w:p w:rsidR="00423E95" w:rsidRDefault="00346252" w:rsidP="00092A0A">
            <w:pPr>
              <w:pStyle w:val="TableParagraph"/>
              <w:ind w:left="13" w:right="20"/>
              <w:rPr>
                <w:sz w:val="18"/>
              </w:rPr>
            </w:pPr>
            <w:r>
              <w:rPr>
                <w:sz w:val="18"/>
              </w:rPr>
              <w:t xml:space="preserve">Blood creatine phosphokinase increased </w:t>
            </w:r>
          </w:p>
          <w:p w:rsidR="00457196" w:rsidRDefault="00346252" w:rsidP="00092A0A">
            <w:pPr>
              <w:pStyle w:val="TableParagraph"/>
              <w:ind w:left="13" w:right="20"/>
              <w:rPr>
                <w:sz w:val="18"/>
              </w:rPr>
            </w:pPr>
            <w:r>
              <w:rPr>
                <w:sz w:val="18"/>
              </w:rPr>
              <w:t>Blood thyroid stimulating</w:t>
            </w:r>
          </w:p>
          <w:p w:rsidR="00457196" w:rsidRDefault="00346252" w:rsidP="00092A0A">
            <w:pPr>
              <w:pStyle w:val="TableParagraph"/>
              <w:ind w:left="13" w:right="20"/>
              <w:rPr>
                <w:sz w:val="18"/>
              </w:rPr>
            </w:pPr>
            <w:r>
              <w:rPr>
                <w:sz w:val="18"/>
              </w:rPr>
              <w:t>hormone increased</w:t>
            </w:r>
          </w:p>
        </w:tc>
        <w:tc>
          <w:tcPr>
            <w:tcW w:w="1558" w:type="dxa"/>
          </w:tcPr>
          <w:p w:rsidR="00457196" w:rsidRDefault="00457196" w:rsidP="00092A0A">
            <w:pPr>
              <w:pStyle w:val="TableParagraph"/>
              <w:ind w:right="20"/>
              <w:rPr>
                <w:sz w:val="18"/>
              </w:rPr>
            </w:pPr>
          </w:p>
        </w:tc>
        <w:tc>
          <w:tcPr>
            <w:tcW w:w="1017" w:type="dxa"/>
          </w:tcPr>
          <w:p w:rsidR="00457196" w:rsidRDefault="00457196" w:rsidP="00092A0A">
            <w:pPr>
              <w:pStyle w:val="TableParagraph"/>
              <w:ind w:right="20"/>
              <w:rPr>
                <w:sz w:val="18"/>
              </w:rPr>
            </w:pPr>
          </w:p>
        </w:tc>
      </w:tr>
    </w:tbl>
    <w:p w:rsidR="00457196" w:rsidRDefault="00346252" w:rsidP="00092A0A">
      <w:pPr>
        <w:tabs>
          <w:tab w:val="left" w:pos="617"/>
        </w:tabs>
        <w:spacing w:line="199" w:lineRule="exact"/>
        <w:ind w:left="258" w:right="20"/>
        <w:rPr>
          <w:sz w:val="18"/>
        </w:rPr>
      </w:pPr>
      <w:r>
        <w:rPr>
          <w:position w:val="6"/>
          <w:sz w:val="12"/>
        </w:rPr>
        <w:t>*</w:t>
      </w:r>
      <w:r>
        <w:rPr>
          <w:position w:val="6"/>
          <w:sz w:val="12"/>
        </w:rPr>
        <w:tab/>
      </w:r>
      <w:r>
        <w:rPr>
          <w:sz w:val="18"/>
        </w:rPr>
        <w:t>Including fatal</w:t>
      </w:r>
      <w:r>
        <w:rPr>
          <w:spacing w:val="-2"/>
          <w:sz w:val="18"/>
        </w:rPr>
        <w:t xml:space="preserve"> </w:t>
      </w:r>
      <w:r>
        <w:rPr>
          <w:sz w:val="18"/>
        </w:rPr>
        <w:t>events.</w:t>
      </w:r>
    </w:p>
    <w:p w:rsidR="00457196" w:rsidRDefault="00346252" w:rsidP="00092A0A">
      <w:pPr>
        <w:spacing w:line="204" w:lineRule="exact"/>
        <w:ind w:left="258" w:right="20"/>
        <w:rPr>
          <w:sz w:val="18"/>
        </w:rPr>
      </w:pPr>
      <w:r>
        <w:rPr>
          <w:sz w:val="18"/>
        </w:rPr>
        <w:t>The following terms have been combined:</w:t>
      </w:r>
    </w:p>
    <w:p w:rsidR="00457196" w:rsidRDefault="00346252" w:rsidP="00092A0A">
      <w:pPr>
        <w:tabs>
          <w:tab w:val="left" w:pos="617"/>
        </w:tabs>
        <w:spacing w:line="206" w:lineRule="exact"/>
        <w:ind w:left="258" w:right="20"/>
        <w:rPr>
          <w:sz w:val="18"/>
        </w:rPr>
      </w:pPr>
      <w:r>
        <w:rPr>
          <w:position w:val="6"/>
          <w:sz w:val="12"/>
        </w:rPr>
        <w:t>a</w:t>
      </w:r>
      <w:r>
        <w:rPr>
          <w:position w:val="6"/>
          <w:sz w:val="12"/>
        </w:rPr>
        <w:tab/>
      </w:r>
      <w:r>
        <w:rPr>
          <w:sz w:val="18"/>
        </w:rPr>
        <w:t>Nasopharyngitis and oral</w:t>
      </w:r>
      <w:r>
        <w:rPr>
          <w:spacing w:val="-2"/>
          <w:sz w:val="18"/>
        </w:rPr>
        <w:t xml:space="preserve"> </w:t>
      </w:r>
      <w:r>
        <w:rPr>
          <w:sz w:val="18"/>
        </w:rPr>
        <w:t>herpes.</w:t>
      </w:r>
    </w:p>
    <w:p w:rsidR="00457196" w:rsidRDefault="00346252" w:rsidP="00092A0A">
      <w:pPr>
        <w:tabs>
          <w:tab w:val="left" w:pos="617"/>
        </w:tabs>
        <w:spacing w:line="208" w:lineRule="exact"/>
        <w:ind w:left="258" w:right="20"/>
        <w:rPr>
          <w:sz w:val="18"/>
        </w:rPr>
      </w:pPr>
      <w:r>
        <w:rPr>
          <w:position w:val="6"/>
          <w:sz w:val="12"/>
        </w:rPr>
        <w:t>b</w:t>
      </w:r>
      <w:r>
        <w:rPr>
          <w:position w:val="6"/>
          <w:sz w:val="12"/>
        </w:rPr>
        <w:tab/>
      </w:r>
      <w:r>
        <w:rPr>
          <w:sz w:val="18"/>
        </w:rPr>
        <w:t>Bronchitis, lower respiratory tract infection, pneumonia, and respiratory tract</w:t>
      </w:r>
      <w:r>
        <w:rPr>
          <w:spacing w:val="-12"/>
          <w:sz w:val="18"/>
        </w:rPr>
        <w:t xml:space="preserve"> </w:t>
      </w:r>
      <w:r>
        <w:rPr>
          <w:sz w:val="18"/>
        </w:rPr>
        <w:t>infection.</w:t>
      </w:r>
    </w:p>
    <w:p w:rsidR="00457196" w:rsidRDefault="00346252" w:rsidP="00092A0A">
      <w:pPr>
        <w:tabs>
          <w:tab w:val="left" w:pos="617"/>
        </w:tabs>
        <w:ind w:left="618" w:right="20" w:hanging="360"/>
        <w:rPr>
          <w:sz w:val="18"/>
        </w:rPr>
      </w:pPr>
      <w:r>
        <w:rPr>
          <w:position w:val="6"/>
          <w:sz w:val="12"/>
        </w:rPr>
        <w:t>c</w:t>
      </w:r>
      <w:r>
        <w:rPr>
          <w:position w:val="6"/>
          <w:sz w:val="12"/>
        </w:rPr>
        <w:tab/>
      </w:r>
      <w:r>
        <w:rPr>
          <w:sz w:val="18"/>
        </w:rPr>
        <w:t>Abscess, abscess limb, anal abscess, gingival abscess, liver abscess, pancreatic abscess, perineal abscess, perirectal abscess, rectal abscess, subcutaneous abscess, and tooth</w:t>
      </w:r>
      <w:r>
        <w:rPr>
          <w:spacing w:val="-4"/>
          <w:sz w:val="18"/>
        </w:rPr>
        <w:t xml:space="preserve"> </w:t>
      </w:r>
      <w:r>
        <w:rPr>
          <w:sz w:val="18"/>
        </w:rPr>
        <w:t>abscess.</w:t>
      </w:r>
    </w:p>
    <w:p w:rsidR="00457196" w:rsidRDefault="00346252" w:rsidP="00092A0A">
      <w:pPr>
        <w:tabs>
          <w:tab w:val="left" w:pos="617"/>
        </w:tabs>
        <w:spacing w:line="204" w:lineRule="exact"/>
        <w:ind w:left="258" w:right="20"/>
        <w:rPr>
          <w:sz w:val="18"/>
        </w:rPr>
      </w:pPr>
      <w:r>
        <w:rPr>
          <w:position w:val="6"/>
          <w:sz w:val="12"/>
        </w:rPr>
        <w:t>d</w:t>
      </w:r>
      <w:r>
        <w:rPr>
          <w:position w:val="6"/>
          <w:sz w:val="12"/>
        </w:rPr>
        <w:tab/>
      </w:r>
      <w:r>
        <w:rPr>
          <w:sz w:val="18"/>
        </w:rPr>
        <w:t>Oesophageal candidiasis and oral</w:t>
      </w:r>
      <w:r>
        <w:rPr>
          <w:spacing w:val="-2"/>
          <w:sz w:val="18"/>
        </w:rPr>
        <w:t xml:space="preserve"> </w:t>
      </w:r>
      <w:r>
        <w:rPr>
          <w:sz w:val="18"/>
        </w:rPr>
        <w:t>candidiasis.</w:t>
      </w:r>
    </w:p>
    <w:p w:rsidR="00457196" w:rsidRDefault="00346252" w:rsidP="00092A0A">
      <w:pPr>
        <w:tabs>
          <w:tab w:val="left" w:pos="617"/>
        </w:tabs>
        <w:spacing w:line="208" w:lineRule="exact"/>
        <w:ind w:left="258" w:right="20"/>
        <w:rPr>
          <w:sz w:val="18"/>
        </w:rPr>
      </w:pPr>
      <w:r>
        <w:rPr>
          <w:position w:val="6"/>
          <w:sz w:val="12"/>
        </w:rPr>
        <w:t>e</w:t>
      </w:r>
      <w:r>
        <w:rPr>
          <w:position w:val="6"/>
          <w:sz w:val="12"/>
        </w:rPr>
        <w:tab/>
      </w:r>
      <w:r>
        <w:rPr>
          <w:sz w:val="18"/>
        </w:rPr>
        <w:t>Cellulitis and skin</w:t>
      </w:r>
      <w:r>
        <w:rPr>
          <w:spacing w:val="-1"/>
          <w:sz w:val="18"/>
        </w:rPr>
        <w:t xml:space="preserve"> </w:t>
      </w:r>
      <w:r>
        <w:rPr>
          <w:sz w:val="18"/>
        </w:rPr>
        <w:t>infection.</w:t>
      </w:r>
    </w:p>
    <w:p w:rsidR="00457196" w:rsidRDefault="00346252" w:rsidP="00092A0A">
      <w:pPr>
        <w:tabs>
          <w:tab w:val="left" w:pos="617"/>
        </w:tabs>
        <w:spacing w:line="208" w:lineRule="exact"/>
        <w:ind w:left="258" w:right="20"/>
        <w:rPr>
          <w:sz w:val="18"/>
        </w:rPr>
      </w:pPr>
      <w:r>
        <w:rPr>
          <w:position w:val="6"/>
          <w:sz w:val="12"/>
        </w:rPr>
        <w:t>f</w:t>
      </w:r>
      <w:r>
        <w:rPr>
          <w:position w:val="6"/>
          <w:sz w:val="12"/>
        </w:rPr>
        <w:tab/>
      </w:r>
      <w:r>
        <w:rPr>
          <w:sz w:val="18"/>
        </w:rPr>
        <w:t>Sepsis and sepsis</w:t>
      </w:r>
      <w:r>
        <w:rPr>
          <w:spacing w:val="-3"/>
          <w:sz w:val="18"/>
        </w:rPr>
        <w:t xml:space="preserve"> </w:t>
      </w:r>
      <w:r>
        <w:rPr>
          <w:sz w:val="18"/>
        </w:rPr>
        <w:t>shock.</w:t>
      </w:r>
    </w:p>
    <w:p w:rsidR="00457196" w:rsidRDefault="00346252" w:rsidP="00092A0A">
      <w:pPr>
        <w:tabs>
          <w:tab w:val="left" w:pos="617"/>
        </w:tabs>
        <w:spacing w:line="206" w:lineRule="exact"/>
        <w:ind w:left="258" w:right="20"/>
        <w:rPr>
          <w:sz w:val="18"/>
        </w:rPr>
      </w:pPr>
      <w:r>
        <w:rPr>
          <w:position w:val="6"/>
          <w:sz w:val="12"/>
        </w:rPr>
        <w:t>g</w:t>
      </w:r>
      <w:r>
        <w:rPr>
          <w:position w:val="6"/>
          <w:sz w:val="12"/>
        </w:rPr>
        <w:tab/>
      </w:r>
      <w:r>
        <w:rPr>
          <w:sz w:val="18"/>
        </w:rPr>
        <w:t>Abdominal abscess, abdominal sepsis, diverticulitis, and</w:t>
      </w:r>
      <w:r>
        <w:rPr>
          <w:spacing w:val="-2"/>
          <w:sz w:val="18"/>
        </w:rPr>
        <w:t xml:space="preserve"> </w:t>
      </w:r>
      <w:r>
        <w:rPr>
          <w:sz w:val="18"/>
        </w:rPr>
        <w:t>osteomyelitis.</w:t>
      </w:r>
    </w:p>
    <w:p w:rsidR="00457196" w:rsidRDefault="00346252" w:rsidP="00092A0A">
      <w:pPr>
        <w:tabs>
          <w:tab w:val="left" w:pos="617"/>
        </w:tabs>
        <w:spacing w:line="206" w:lineRule="exact"/>
        <w:ind w:left="258" w:right="20"/>
        <w:rPr>
          <w:sz w:val="18"/>
        </w:rPr>
      </w:pPr>
      <w:r>
        <w:rPr>
          <w:position w:val="6"/>
          <w:sz w:val="12"/>
        </w:rPr>
        <w:t>h</w:t>
      </w:r>
      <w:r>
        <w:rPr>
          <w:position w:val="6"/>
          <w:sz w:val="12"/>
        </w:rPr>
        <w:tab/>
      </w:r>
      <w:r>
        <w:rPr>
          <w:sz w:val="18"/>
        </w:rPr>
        <w:t>Thrombotic microangiopathy, thrombotic thrombocytopenic purpura, and haemolytic uraemic</w:t>
      </w:r>
      <w:r>
        <w:rPr>
          <w:spacing w:val="-10"/>
          <w:sz w:val="18"/>
        </w:rPr>
        <w:t xml:space="preserve"> </w:t>
      </w:r>
      <w:r>
        <w:rPr>
          <w:sz w:val="18"/>
        </w:rPr>
        <w:t>syndrome.</w:t>
      </w:r>
    </w:p>
    <w:p w:rsidR="00457196" w:rsidRDefault="00346252" w:rsidP="00092A0A">
      <w:pPr>
        <w:tabs>
          <w:tab w:val="left" w:pos="617"/>
        </w:tabs>
        <w:spacing w:line="208" w:lineRule="exact"/>
        <w:ind w:left="258" w:right="20"/>
        <w:rPr>
          <w:sz w:val="18"/>
        </w:rPr>
      </w:pPr>
      <w:r>
        <w:rPr>
          <w:position w:val="6"/>
          <w:sz w:val="12"/>
        </w:rPr>
        <w:t>i</w:t>
      </w:r>
      <w:r>
        <w:rPr>
          <w:position w:val="6"/>
          <w:sz w:val="12"/>
        </w:rPr>
        <w:tab/>
      </w:r>
      <w:r>
        <w:rPr>
          <w:sz w:val="18"/>
        </w:rPr>
        <w:t>Decreased appetite and</w:t>
      </w:r>
      <w:r>
        <w:rPr>
          <w:spacing w:val="1"/>
          <w:sz w:val="18"/>
        </w:rPr>
        <w:t xml:space="preserve"> </w:t>
      </w:r>
      <w:r>
        <w:rPr>
          <w:sz w:val="18"/>
        </w:rPr>
        <w:t>anorexia</w:t>
      </w:r>
    </w:p>
    <w:p w:rsidR="00457196" w:rsidRDefault="00346252" w:rsidP="00092A0A">
      <w:pPr>
        <w:tabs>
          <w:tab w:val="left" w:pos="617"/>
        </w:tabs>
        <w:spacing w:line="208" w:lineRule="exact"/>
        <w:ind w:left="258" w:right="20"/>
        <w:rPr>
          <w:sz w:val="18"/>
        </w:rPr>
      </w:pPr>
      <w:r>
        <w:rPr>
          <w:position w:val="6"/>
          <w:sz w:val="12"/>
        </w:rPr>
        <w:t>j</w:t>
      </w:r>
      <w:r>
        <w:rPr>
          <w:position w:val="6"/>
          <w:sz w:val="12"/>
        </w:rPr>
        <w:tab/>
      </w:r>
      <w:r>
        <w:rPr>
          <w:sz w:val="18"/>
        </w:rPr>
        <w:t>Dysgeusia, ageusia, and taste disturbance.</w:t>
      </w:r>
    </w:p>
    <w:p w:rsidR="00457196" w:rsidRDefault="00346252" w:rsidP="00092A0A">
      <w:pPr>
        <w:tabs>
          <w:tab w:val="left" w:pos="617"/>
        </w:tabs>
        <w:spacing w:line="206" w:lineRule="exact"/>
        <w:ind w:left="258" w:right="20"/>
        <w:rPr>
          <w:sz w:val="18"/>
        </w:rPr>
      </w:pPr>
      <w:r>
        <w:rPr>
          <w:position w:val="6"/>
          <w:sz w:val="12"/>
        </w:rPr>
        <w:t>k</w:t>
      </w:r>
      <w:r>
        <w:rPr>
          <w:position w:val="6"/>
          <w:sz w:val="12"/>
        </w:rPr>
        <w:tab/>
      </w:r>
      <w:r>
        <w:rPr>
          <w:sz w:val="18"/>
        </w:rPr>
        <w:t>Acute coronary syndrome, angina pectoris, angina unstable, coronary artery occlusion, and myocardial</w:t>
      </w:r>
      <w:r>
        <w:rPr>
          <w:spacing w:val="-21"/>
          <w:sz w:val="18"/>
        </w:rPr>
        <w:t xml:space="preserve"> </w:t>
      </w:r>
      <w:r>
        <w:rPr>
          <w:sz w:val="18"/>
        </w:rPr>
        <w:t>ischaemia.</w:t>
      </w:r>
    </w:p>
    <w:p w:rsidR="00457196" w:rsidRDefault="00346252" w:rsidP="00092A0A">
      <w:pPr>
        <w:tabs>
          <w:tab w:val="left" w:pos="617"/>
        </w:tabs>
        <w:spacing w:line="206" w:lineRule="exact"/>
        <w:ind w:left="258" w:right="20"/>
        <w:rPr>
          <w:sz w:val="18"/>
        </w:rPr>
      </w:pPr>
      <w:r>
        <w:rPr>
          <w:position w:val="6"/>
          <w:sz w:val="12"/>
        </w:rPr>
        <w:t>l</w:t>
      </w:r>
      <w:r>
        <w:rPr>
          <w:position w:val="6"/>
          <w:sz w:val="12"/>
        </w:rPr>
        <w:tab/>
      </w:r>
      <w:r>
        <w:rPr>
          <w:sz w:val="18"/>
        </w:rPr>
        <w:t>Ejection fraction</w:t>
      </w:r>
      <w:r>
        <w:rPr>
          <w:spacing w:val="-1"/>
          <w:sz w:val="18"/>
        </w:rPr>
        <w:t xml:space="preserve"> </w:t>
      </w:r>
      <w:r>
        <w:rPr>
          <w:sz w:val="18"/>
        </w:rPr>
        <w:t>decreased/abnormal.</w:t>
      </w:r>
    </w:p>
    <w:p w:rsidR="00457196" w:rsidRDefault="00346252" w:rsidP="00092A0A">
      <w:pPr>
        <w:tabs>
          <w:tab w:val="left" w:pos="617"/>
        </w:tabs>
        <w:spacing w:line="208" w:lineRule="exact"/>
        <w:ind w:left="258" w:right="20"/>
        <w:rPr>
          <w:sz w:val="18"/>
        </w:rPr>
      </w:pPr>
      <w:r>
        <w:rPr>
          <w:position w:val="6"/>
          <w:sz w:val="12"/>
        </w:rPr>
        <w:t>m</w:t>
      </w:r>
      <w:r>
        <w:rPr>
          <w:position w:val="6"/>
          <w:sz w:val="12"/>
        </w:rPr>
        <w:tab/>
      </w:r>
      <w:r>
        <w:rPr>
          <w:sz w:val="18"/>
        </w:rPr>
        <w:t>Acute myocardial infarction, myocardial infarction, and silent myocardial infarction.</w:t>
      </w:r>
    </w:p>
    <w:p w:rsidR="00457196" w:rsidRDefault="00346252" w:rsidP="00092A0A">
      <w:pPr>
        <w:tabs>
          <w:tab w:val="left" w:pos="617"/>
        </w:tabs>
        <w:spacing w:line="208" w:lineRule="exact"/>
        <w:ind w:left="258" w:right="20"/>
        <w:rPr>
          <w:sz w:val="18"/>
        </w:rPr>
      </w:pPr>
      <w:r>
        <w:rPr>
          <w:position w:val="6"/>
          <w:sz w:val="12"/>
        </w:rPr>
        <w:t>n</w:t>
      </w:r>
      <w:r>
        <w:rPr>
          <w:position w:val="6"/>
          <w:sz w:val="12"/>
        </w:rPr>
        <w:tab/>
      </w:r>
      <w:r>
        <w:rPr>
          <w:sz w:val="18"/>
        </w:rPr>
        <w:t>Oropharyngeal and pharyngolaryngeal</w:t>
      </w:r>
      <w:r>
        <w:rPr>
          <w:spacing w:val="1"/>
          <w:sz w:val="18"/>
        </w:rPr>
        <w:t xml:space="preserve"> </w:t>
      </w:r>
      <w:r>
        <w:rPr>
          <w:sz w:val="18"/>
        </w:rPr>
        <w:t>pain.</w:t>
      </w:r>
    </w:p>
    <w:p w:rsidR="00457196" w:rsidRDefault="00346252" w:rsidP="00092A0A">
      <w:pPr>
        <w:tabs>
          <w:tab w:val="left" w:pos="617"/>
        </w:tabs>
        <w:spacing w:line="206" w:lineRule="exact"/>
        <w:ind w:left="258" w:right="20"/>
        <w:rPr>
          <w:sz w:val="18"/>
        </w:rPr>
      </w:pPr>
      <w:r>
        <w:rPr>
          <w:position w:val="6"/>
          <w:sz w:val="12"/>
        </w:rPr>
        <w:t>o</w:t>
      </w:r>
      <w:r>
        <w:rPr>
          <w:position w:val="6"/>
          <w:sz w:val="12"/>
        </w:rPr>
        <w:tab/>
      </w:r>
      <w:r>
        <w:rPr>
          <w:sz w:val="18"/>
        </w:rPr>
        <w:t>Stomatitis and aphtous stomatitis.</w:t>
      </w:r>
    </w:p>
    <w:p w:rsidR="00457196" w:rsidRDefault="00346252" w:rsidP="00092A0A">
      <w:pPr>
        <w:tabs>
          <w:tab w:val="left" w:pos="617"/>
        </w:tabs>
        <w:spacing w:line="207" w:lineRule="exact"/>
        <w:ind w:left="258" w:right="20"/>
        <w:rPr>
          <w:sz w:val="18"/>
        </w:rPr>
      </w:pPr>
      <w:r>
        <w:rPr>
          <w:position w:val="6"/>
          <w:sz w:val="12"/>
        </w:rPr>
        <w:t>p</w:t>
      </w:r>
      <w:r>
        <w:rPr>
          <w:position w:val="6"/>
          <w:sz w:val="12"/>
        </w:rPr>
        <w:tab/>
      </w:r>
      <w:r>
        <w:rPr>
          <w:sz w:val="18"/>
        </w:rPr>
        <w:t>Abdominal pain, abdominal pain lower, and abdominal pain</w:t>
      </w:r>
      <w:r>
        <w:rPr>
          <w:spacing w:val="-3"/>
          <w:sz w:val="18"/>
        </w:rPr>
        <w:t xml:space="preserve"> </w:t>
      </w:r>
      <w:r>
        <w:rPr>
          <w:sz w:val="18"/>
        </w:rPr>
        <w:t>upper.</w:t>
      </w:r>
    </w:p>
    <w:p w:rsidR="00457196" w:rsidRDefault="00346252" w:rsidP="00092A0A">
      <w:pPr>
        <w:tabs>
          <w:tab w:val="left" w:pos="617"/>
        </w:tabs>
        <w:spacing w:line="208" w:lineRule="exact"/>
        <w:ind w:left="258" w:right="20"/>
        <w:rPr>
          <w:sz w:val="18"/>
        </w:rPr>
      </w:pPr>
      <w:r>
        <w:rPr>
          <w:position w:val="6"/>
          <w:sz w:val="12"/>
        </w:rPr>
        <w:t>q</w:t>
      </w:r>
      <w:r>
        <w:rPr>
          <w:position w:val="6"/>
          <w:sz w:val="12"/>
        </w:rPr>
        <w:tab/>
      </w:r>
      <w:r>
        <w:rPr>
          <w:sz w:val="18"/>
        </w:rPr>
        <w:t>Gastrointestinal perforation and intestinal</w:t>
      </w:r>
      <w:r>
        <w:rPr>
          <w:spacing w:val="-3"/>
          <w:sz w:val="18"/>
        </w:rPr>
        <w:t xml:space="preserve"> </w:t>
      </w:r>
      <w:r>
        <w:rPr>
          <w:sz w:val="18"/>
        </w:rPr>
        <w:t>perforation.</w:t>
      </w:r>
    </w:p>
    <w:p w:rsidR="00457196" w:rsidRDefault="00346252" w:rsidP="00092A0A">
      <w:pPr>
        <w:tabs>
          <w:tab w:val="left" w:pos="617"/>
        </w:tabs>
        <w:spacing w:line="208" w:lineRule="exact"/>
        <w:ind w:left="258" w:right="20"/>
        <w:rPr>
          <w:sz w:val="18"/>
        </w:rPr>
      </w:pPr>
      <w:r>
        <w:rPr>
          <w:position w:val="6"/>
          <w:sz w:val="12"/>
        </w:rPr>
        <w:t>r</w:t>
      </w:r>
      <w:r>
        <w:rPr>
          <w:position w:val="6"/>
          <w:sz w:val="12"/>
        </w:rPr>
        <w:tab/>
      </w:r>
      <w:r>
        <w:rPr>
          <w:sz w:val="18"/>
        </w:rPr>
        <w:t>Colitis and colitis ischaemic.</w:t>
      </w:r>
    </w:p>
    <w:p w:rsidR="00457196" w:rsidRDefault="00346252" w:rsidP="00092A0A">
      <w:pPr>
        <w:tabs>
          <w:tab w:val="left" w:pos="617"/>
        </w:tabs>
        <w:spacing w:line="206" w:lineRule="exact"/>
        <w:ind w:left="258" w:right="20"/>
        <w:rPr>
          <w:sz w:val="18"/>
        </w:rPr>
      </w:pPr>
      <w:r>
        <w:rPr>
          <w:position w:val="6"/>
          <w:sz w:val="12"/>
        </w:rPr>
        <w:t>s</w:t>
      </w:r>
      <w:r>
        <w:rPr>
          <w:position w:val="6"/>
          <w:sz w:val="12"/>
        </w:rPr>
        <w:tab/>
      </w:r>
      <w:r>
        <w:rPr>
          <w:sz w:val="18"/>
        </w:rPr>
        <w:t>Cholecystitis and acalculous</w:t>
      </w:r>
      <w:r>
        <w:rPr>
          <w:spacing w:val="2"/>
          <w:sz w:val="18"/>
        </w:rPr>
        <w:t xml:space="preserve"> </w:t>
      </w:r>
      <w:r>
        <w:rPr>
          <w:sz w:val="18"/>
        </w:rPr>
        <w:t>cholecystitis.</w:t>
      </w:r>
    </w:p>
    <w:p w:rsidR="00457196" w:rsidRDefault="00346252" w:rsidP="00092A0A">
      <w:pPr>
        <w:tabs>
          <w:tab w:val="left" w:pos="617"/>
        </w:tabs>
        <w:spacing w:line="206" w:lineRule="exact"/>
        <w:ind w:left="258" w:right="20"/>
        <w:rPr>
          <w:sz w:val="18"/>
        </w:rPr>
      </w:pPr>
      <w:r>
        <w:rPr>
          <w:position w:val="6"/>
          <w:sz w:val="12"/>
        </w:rPr>
        <w:t>t</w:t>
      </w:r>
      <w:r>
        <w:rPr>
          <w:position w:val="6"/>
          <w:sz w:val="12"/>
        </w:rPr>
        <w:tab/>
      </w:r>
      <w:r>
        <w:rPr>
          <w:sz w:val="18"/>
        </w:rPr>
        <w:t>Yellow skin, skin discolouration, and pigmentation</w:t>
      </w:r>
      <w:r>
        <w:rPr>
          <w:spacing w:val="-5"/>
          <w:sz w:val="18"/>
        </w:rPr>
        <w:t xml:space="preserve"> </w:t>
      </w:r>
      <w:r>
        <w:rPr>
          <w:sz w:val="18"/>
        </w:rPr>
        <w:t>disorder.</w:t>
      </w:r>
    </w:p>
    <w:p w:rsidR="00457196" w:rsidRDefault="00346252" w:rsidP="00092A0A">
      <w:pPr>
        <w:tabs>
          <w:tab w:val="left" w:pos="617"/>
        </w:tabs>
        <w:spacing w:line="242" w:lineRule="auto"/>
        <w:ind w:left="618" w:right="20" w:hanging="360"/>
        <w:rPr>
          <w:sz w:val="18"/>
        </w:rPr>
      </w:pPr>
      <w:r>
        <w:rPr>
          <w:position w:val="6"/>
          <w:sz w:val="12"/>
        </w:rPr>
        <w:t>u</w:t>
      </w:r>
      <w:r>
        <w:rPr>
          <w:position w:val="6"/>
          <w:sz w:val="12"/>
        </w:rPr>
        <w:tab/>
      </w:r>
      <w:r>
        <w:rPr>
          <w:sz w:val="18"/>
        </w:rPr>
        <w:t>Dermatitis</w:t>
      </w:r>
      <w:r>
        <w:rPr>
          <w:spacing w:val="-3"/>
          <w:sz w:val="18"/>
        </w:rPr>
        <w:t xml:space="preserve"> </w:t>
      </w:r>
      <w:r>
        <w:rPr>
          <w:sz w:val="18"/>
        </w:rPr>
        <w:t>psoriasiform,</w:t>
      </w:r>
      <w:r>
        <w:rPr>
          <w:spacing w:val="-3"/>
          <w:sz w:val="18"/>
        </w:rPr>
        <w:t xml:space="preserve"> </w:t>
      </w:r>
      <w:r>
        <w:rPr>
          <w:sz w:val="18"/>
        </w:rPr>
        <w:t>exfoliative</w:t>
      </w:r>
      <w:r>
        <w:rPr>
          <w:spacing w:val="-4"/>
          <w:sz w:val="18"/>
        </w:rPr>
        <w:t xml:space="preserve"> </w:t>
      </w:r>
      <w:r>
        <w:rPr>
          <w:sz w:val="18"/>
        </w:rPr>
        <w:t>rash,</w:t>
      </w:r>
      <w:r>
        <w:rPr>
          <w:spacing w:val="-3"/>
          <w:sz w:val="18"/>
        </w:rPr>
        <w:t xml:space="preserve"> </w:t>
      </w:r>
      <w:r>
        <w:rPr>
          <w:sz w:val="18"/>
        </w:rPr>
        <w:t>rash,</w:t>
      </w:r>
      <w:r>
        <w:rPr>
          <w:spacing w:val="-3"/>
          <w:sz w:val="18"/>
        </w:rPr>
        <w:t xml:space="preserve"> </w:t>
      </w:r>
      <w:r>
        <w:rPr>
          <w:sz w:val="18"/>
        </w:rPr>
        <w:t>rash</w:t>
      </w:r>
      <w:r>
        <w:rPr>
          <w:spacing w:val="-3"/>
          <w:sz w:val="18"/>
        </w:rPr>
        <w:t xml:space="preserve"> </w:t>
      </w:r>
      <w:r>
        <w:rPr>
          <w:sz w:val="18"/>
        </w:rPr>
        <w:t>erythematous,</w:t>
      </w:r>
      <w:r>
        <w:rPr>
          <w:spacing w:val="-2"/>
          <w:sz w:val="18"/>
        </w:rPr>
        <w:t xml:space="preserve"> </w:t>
      </w:r>
      <w:r>
        <w:rPr>
          <w:sz w:val="18"/>
        </w:rPr>
        <w:t>rash</w:t>
      </w:r>
      <w:r>
        <w:rPr>
          <w:spacing w:val="-3"/>
          <w:sz w:val="18"/>
        </w:rPr>
        <w:t xml:space="preserve"> </w:t>
      </w:r>
      <w:r>
        <w:rPr>
          <w:sz w:val="18"/>
        </w:rPr>
        <w:t>follicular,</w:t>
      </w:r>
      <w:r>
        <w:rPr>
          <w:spacing w:val="-3"/>
          <w:sz w:val="18"/>
        </w:rPr>
        <w:t xml:space="preserve"> </w:t>
      </w:r>
      <w:r>
        <w:rPr>
          <w:sz w:val="18"/>
        </w:rPr>
        <w:t>rash</w:t>
      </w:r>
      <w:r>
        <w:rPr>
          <w:spacing w:val="-3"/>
          <w:sz w:val="18"/>
        </w:rPr>
        <w:t xml:space="preserve"> </w:t>
      </w:r>
      <w:r>
        <w:rPr>
          <w:sz w:val="18"/>
        </w:rPr>
        <w:t>generalised,</w:t>
      </w:r>
      <w:r>
        <w:rPr>
          <w:spacing w:val="-3"/>
          <w:sz w:val="18"/>
        </w:rPr>
        <w:t xml:space="preserve"> </w:t>
      </w:r>
      <w:r>
        <w:rPr>
          <w:sz w:val="18"/>
        </w:rPr>
        <w:t>rash</w:t>
      </w:r>
      <w:r>
        <w:rPr>
          <w:spacing w:val="-3"/>
          <w:sz w:val="18"/>
        </w:rPr>
        <w:t xml:space="preserve"> </w:t>
      </w:r>
      <w:r>
        <w:rPr>
          <w:sz w:val="18"/>
        </w:rPr>
        <w:t>macular,</w:t>
      </w:r>
      <w:r>
        <w:rPr>
          <w:spacing w:val="-2"/>
          <w:sz w:val="18"/>
        </w:rPr>
        <w:t xml:space="preserve"> </w:t>
      </w:r>
      <w:r>
        <w:rPr>
          <w:sz w:val="18"/>
        </w:rPr>
        <w:t>rash maculo-papular, rash papular, and rash</w:t>
      </w:r>
      <w:r>
        <w:rPr>
          <w:spacing w:val="-3"/>
          <w:sz w:val="18"/>
        </w:rPr>
        <w:t xml:space="preserve"> </w:t>
      </w:r>
      <w:r>
        <w:rPr>
          <w:sz w:val="18"/>
        </w:rPr>
        <w:t>pruritic.</w:t>
      </w:r>
    </w:p>
    <w:p w:rsidR="008B7310" w:rsidRDefault="00346252" w:rsidP="00092A0A">
      <w:pPr>
        <w:tabs>
          <w:tab w:val="left" w:pos="617"/>
        </w:tabs>
        <w:spacing w:line="235" w:lineRule="auto"/>
        <w:ind w:left="258" w:right="20"/>
        <w:rPr>
          <w:sz w:val="18"/>
        </w:rPr>
      </w:pPr>
      <w:r>
        <w:rPr>
          <w:position w:val="6"/>
          <w:sz w:val="12"/>
        </w:rPr>
        <w:t>v</w:t>
      </w:r>
      <w:r>
        <w:rPr>
          <w:position w:val="6"/>
          <w:sz w:val="12"/>
        </w:rPr>
        <w:tab/>
      </w:r>
      <w:r>
        <w:rPr>
          <w:sz w:val="18"/>
        </w:rPr>
        <w:t xml:space="preserve">Skin reaction and skin disorder. </w:t>
      </w:r>
    </w:p>
    <w:p w:rsidR="008B7310" w:rsidRDefault="00346252" w:rsidP="00092A0A">
      <w:pPr>
        <w:tabs>
          <w:tab w:val="left" w:pos="617"/>
        </w:tabs>
        <w:spacing w:line="235" w:lineRule="auto"/>
        <w:ind w:left="258" w:right="20"/>
        <w:rPr>
          <w:sz w:val="18"/>
        </w:rPr>
      </w:pPr>
      <w:r>
        <w:rPr>
          <w:position w:val="6"/>
          <w:sz w:val="12"/>
        </w:rPr>
        <w:t>w</w:t>
      </w:r>
      <w:r>
        <w:rPr>
          <w:position w:val="6"/>
          <w:sz w:val="12"/>
        </w:rPr>
        <w:tab/>
      </w:r>
      <w:r>
        <w:rPr>
          <w:sz w:val="18"/>
        </w:rPr>
        <w:t xml:space="preserve">Nail disorder and discolouration. </w:t>
      </w:r>
    </w:p>
    <w:p w:rsidR="00457196" w:rsidRDefault="00346252" w:rsidP="00092A0A">
      <w:pPr>
        <w:tabs>
          <w:tab w:val="left" w:pos="617"/>
        </w:tabs>
        <w:spacing w:line="235" w:lineRule="auto"/>
        <w:ind w:left="258" w:right="20"/>
        <w:rPr>
          <w:sz w:val="18"/>
        </w:rPr>
      </w:pPr>
      <w:r>
        <w:rPr>
          <w:position w:val="6"/>
          <w:sz w:val="12"/>
        </w:rPr>
        <w:t>x</w:t>
      </w:r>
      <w:r>
        <w:rPr>
          <w:position w:val="6"/>
          <w:sz w:val="12"/>
        </w:rPr>
        <w:tab/>
      </w:r>
      <w:r>
        <w:rPr>
          <w:sz w:val="18"/>
        </w:rPr>
        <w:t>Fatigue and</w:t>
      </w:r>
      <w:r>
        <w:rPr>
          <w:spacing w:val="-1"/>
          <w:sz w:val="18"/>
        </w:rPr>
        <w:t xml:space="preserve"> </w:t>
      </w:r>
      <w:r>
        <w:rPr>
          <w:sz w:val="18"/>
        </w:rPr>
        <w:t>asthenia.</w:t>
      </w:r>
    </w:p>
    <w:p w:rsidR="00457196" w:rsidRDefault="00346252" w:rsidP="00092A0A">
      <w:pPr>
        <w:tabs>
          <w:tab w:val="left" w:pos="617"/>
        </w:tabs>
        <w:spacing w:line="206" w:lineRule="exact"/>
        <w:ind w:left="258" w:right="20"/>
        <w:rPr>
          <w:sz w:val="18"/>
        </w:rPr>
      </w:pPr>
      <w:r>
        <w:rPr>
          <w:position w:val="6"/>
          <w:sz w:val="12"/>
        </w:rPr>
        <w:t>y</w:t>
      </w:r>
      <w:r>
        <w:rPr>
          <w:position w:val="6"/>
          <w:sz w:val="12"/>
        </w:rPr>
        <w:tab/>
      </w:r>
      <w:r>
        <w:rPr>
          <w:sz w:val="18"/>
        </w:rPr>
        <w:t>Face oedema, oedema, and oedema</w:t>
      </w:r>
      <w:r>
        <w:rPr>
          <w:spacing w:val="-2"/>
          <w:sz w:val="18"/>
        </w:rPr>
        <w:t xml:space="preserve"> </w:t>
      </w:r>
      <w:r>
        <w:rPr>
          <w:sz w:val="18"/>
        </w:rPr>
        <w:t>peripheral.</w:t>
      </w:r>
    </w:p>
    <w:p w:rsidR="00457196" w:rsidRDefault="00346252" w:rsidP="00092A0A">
      <w:pPr>
        <w:tabs>
          <w:tab w:val="left" w:pos="617"/>
        </w:tabs>
        <w:spacing w:line="209" w:lineRule="exact"/>
        <w:ind w:left="258" w:right="20"/>
        <w:rPr>
          <w:sz w:val="18"/>
        </w:rPr>
      </w:pPr>
      <w:r>
        <w:rPr>
          <w:position w:val="6"/>
          <w:sz w:val="12"/>
        </w:rPr>
        <w:t>z</w:t>
      </w:r>
      <w:r>
        <w:rPr>
          <w:position w:val="6"/>
          <w:sz w:val="12"/>
        </w:rPr>
        <w:tab/>
      </w:r>
      <w:r>
        <w:rPr>
          <w:sz w:val="18"/>
        </w:rPr>
        <w:t>Amylase and amylase</w:t>
      </w:r>
      <w:r>
        <w:rPr>
          <w:spacing w:val="-2"/>
          <w:sz w:val="18"/>
        </w:rPr>
        <w:t xml:space="preserve"> </w:t>
      </w:r>
      <w:r>
        <w:rPr>
          <w:sz w:val="18"/>
        </w:rPr>
        <w:t>increased.</w:t>
      </w:r>
    </w:p>
    <w:p w:rsidR="00457196" w:rsidRDefault="00457196" w:rsidP="00092A0A">
      <w:pPr>
        <w:pStyle w:val="BodyText"/>
        <w:spacing w:before="2"/>
        <w:ind w:right="20"/>
        <w:rPr>
          <w:sz w:val="13"/>
        </w:rPr>
      </w:pPr>
    </w:p>
    <w:p w:rsidR="00457196" w:rsidRDefault="00346252" w:rsidP="00092A0A">
      <w:pPr>
        <w:pStyle w:val="BodyText"/>
        <w:spacing w:before="92"/>
        <w:ind w:left="238" w:right="20"/>
        <w:jc w:val="both"/>
      </w:pPr>
      <w:r>
        <w:rPr>
          <w:u w:val="single"/>
        </w:rPr>
        <w:t>Description of selected adverse reactions</w:t>
      </w:r>
    </w:p>
    <w:p w:rsidR="00457196" w:rsidRDefault="00457196" w:rsidP="00092A0A">
      <w:pPr>
        <w:pStyle w:val="BodyText"/>
        <w:spacing w:before="1"/>
        <w:ind w:right="20"/>
        <w:jc w:val="both"/>
        <w:rPr>
          <w:sz w:val="14"/>
        </w:rPr>
      </w:pPr>
    </w:p>
    <w:p w:rsidR="00457196" w:rsidRDefault="00346252" w:rsidP="00092A0A">
      <w:pPr>
        <w:spacing w:before="91"/>
        <w:ind w:left="238" w:right="20"/>
        <w:jc w:val="both"/>
        <w:rPr>
          <w:i/>
        </w:rPr>
      </w:pPr>
      <w:r>
        <w:rPr>
          <w:i/>
        </w:rPr>
        <w:t>Infections and infestations</w:t>
      </w:r>
    </w:p>
    <w:p w:rsidR="00457196" w:rsidRDefault="00346252" w:rsidP="00092A0A">
      <w:pPr>
        <w:pStyle w:val="BodyText"/>
        <w:spacing w:before="2"/>
        <w:ind w:left="238" w:right="20"/>
        <w:jc w:val="both"/>
      </w:pPr>
      <w:r>
        <w:t>Cases of serious infection (with or without neutropenia), including cases with fatal outcome, have been reported. Cases of necrotising fasciitis, including of the perineum, sometimes fatal, have been reported (see also section 4.4).</w:t>
      </w:r>
    </w:p>
    <w:p w:rsidR="006B68E6" w:rsidRDefault="006B68E6" w:rsidP="00092A0A">
      <w:pPr>
        <w:pStyle w:val="BodyText"/>
        <w:spacing w:before="2"/>
        <w:ind w:left="238" w:right="20"/>
        <w:jc w:val="both"/>
      </w:pPr>
    </w:p>
    <w:p w:rsidR="00457196" w:rsidRDefault="00346252" w:rsidP="00092A0A">
      <w:pPr>
        <w:spacing w:before="70"/>
        <w:ind w:left="238" w:right="20"/>
        <w:jc w:val="both"/>
        <w:rPr>
          <w:i/>
        </w:rPr>
      </w:pPr>
      <w:r>
        <w:rPr>
          <w:i/>
        </w:rPr>
        <w:t>Blood and lymphatic system disorders</w:t>
      </w:r>
    </w:p>
    <w:p w:rsidR="00457196" w:rsidRDefault="00346252" w:rsidP="00092A0A">
      <w:pPr>
        <w:pStyle w:val="BodyText"/>
        <w:spacing w:before="2"/>
        <w:ind w:left="238" w:right="20"/>
        <w:jc w:val="both"/>
      </w:pPr>
      <w:r>
        <w:t>Decreased absolute neutrophil counts of Grade 3 and 4 severities, respectively, were reported in 10% and 1.7% of patients on the Phase 3 GIST study, in 16% and 1.6% of patients on the Phase 3 MRCC study, and in 13% and 2.4% of patients on the Phase 3 pNET study. Decreased platelet counts of Grade 3 and 4 severities, respectively, were reported in 3.7% and 0.4% of patients on the Phase 3 GIST study, in 8.2% and 1.1% of patients on the Phase 3 MRCC study, and in 3.7% and 1.2% of patients on the Phase 3 pNET study (see section 4.4).</w:t>
      </w:r>
    </w:p>
    <w:p w:rsidR="00457196" w:rsidRDefault="00457196" w:rsidP="00092A0A">
      <w:pPr>
        <w:pStyle w:val="BodyText"/>
        <w:ind w:right="20"/>
        <w:jc w:val="both"/>
      </w:pPr>
    </w:p>
    <w:p w:rsidR="00457196" w:rsidRDefault="00346252" w:rsidP="00092A0A">
      <w:pPr>
        <w:pStyle w:val="BodyText"/>
        <w:ind w:left="238" w:right="20"/>
        <w:jc w:val="both"/>
      </w:pPr>
      <w:r>
        <w:t>Bleeding events were reported in 18% of patients receiving sunitinib in a Phase 3 GIST study vs 17% of patients receiving placebo. In patients receiving sunitinib for treatment-naïve MRCC, 39% had bleeding events vs 11% of patients receiving interferon-</w:t>
      </w:r>
      <w:r>
        <w:rPr>
          <w:rFonts w:ascii="Symbol" w:hAnsi="Symbol"/>
        </w:rPr>
        <w:t></w:t>
      </w:r>
      <w:r>
        <w:t xml:space="preserve"> (IFN-α). Seventeen (4.5%) patients on sunitinib versus 5 (1.7%) patients on IFN-α experienced Grade 3 or greater bleeding events. Of patients receiving sunitinib for cytokine-refractory MRCC, 26% experienced bleeding. Bleeding events, excluding epistaxis, were reported in 21.7% of patients receiving sunitinib in the Phase 3 pNET study compared to 9.85% of patients receiving placebo (see section 4.4)</w:t>
      </w:r>
    </w:p>
    <w:p w:rsidR="00457196" w:rsidRDefault="00457196" w:rsidP="00092A0A">
      <w:pPr>
        <w:pStyle w:val="BodyText"/>
        <w:spacing w:before="1"/>
        <w:ind w:right="20"/>
        <w:jc w:val="both"/>
      </w:pPr>
    </w:p>
    <w:p w:rsidR="00457196" w:rsidRDefault="00346252" w:rsidP="00092A0A">
      <w:pPr>
        <w:pStyle w:val="BodyText"/>
        <w:ind w:left="238" w:right="20"/>
        <w:jc w:val="both"/>
      </w:pPr>
      <w:r>
        <w:t>In clinical trials, tumour haemorrhage was reported in approximately 2% of patients with GIST.</w:t>
      </w:r>
    </w:p>
    <w:p w:rsidR="00457196" w:rsidRDefault="00457196" w:rsidP="00092A0A">
      <w:pPr>
        <w:pStyle w:val="BodyText"/>
        <w:ind w:right="20"/>
        <w:jc w:val="both"/>
      </w:pPr>
    </w:p>
    <w:p w:rsidR="00457196" w:rsidRDefault="00346252" w:rsidP="00092A0A">
      <w:pPr>
        <w:spacing w:line="252" w:lineRule="exact"/>
        <w:ind w:left="238" w:right="20"/>
        <w:jc w:val="both"/>
        <w:rPr>
          <w:i/>
        </w:rPr>
      </w:pPr>
      <w:r>
        <w:rPr>
          <w:i/>
        </w:rPr>
        <w:t>Immune system disorders</w:t>
      </w:r>
    </w:p>
    <w:p w:rsidR="00457196" w:rsidRDefault="00346252" w:rsidP="00092A0A">
      <w:pPr>
        <w:pStyle w:val="BodyText"/>
        <w:spacing w:line="252" w:lineRule="exact"/>
        <w:ind w:left="238" w:right="20"/>
        <w:jc w:val="both"/>
      </w:pPr>
      <w:r>
        <w:t>Hypersensitivity reactions, including angioedema, have been reported (see section 4.4).</w:t>
      </w:r>
    </w:p>
    <w:p w:rsidR="00457196" w:rsidRDefault="00457196" w:rsidP="00092A0A">
      <w:pPr>
        <w:pStyle w:val="BodyText"/>
        <w:ind w:right="20"/>
        <w:jc w:val="both"/>
      </w:pPr>
    </w:p>
    <w:p w:rsidR="00457196" w:rsidRDefault="00346252" w:rsidP="00092A0A">
      <w:pPr>
        <w:spacing w:before="1" w:line="252" w:lineRule="exact"/>
        <w:ind w:left="238" w:right="20"/>
        <w:jc w:val="both"/>
        <w:rPr>
          <w:i/>
        </w:rPr>
      </w:pPr>
      <w:r>
        <w:rPr>
          <w:i/>
        </w:rPr>
        <w:t>Endocrine disorders</w:t>
      </w:r>
    </w:p>
    <w:p w:rsidR="00457196" w:rsidRDefault="00346252" w:rsidP="00092A0A">
      <w:pPr>
        <w:pStyle w:val="BodyText"/>
        <w:ind w:left="238" w:right="20"/>
        <w:jc w:val="both"/>
      </w:pPr>
      <w:r>
        <w:t>Hypothyroidism was reported as an adverse reaction in 7 patients (4%) receiving sunitinib across the 2 cytokine-refractory MRCC studies; in 61 patients (16%) on sunitinib and 3 patients (&lt; 1%) in the IFN-</w:t>
      </w:r>
      <w:r>
        <w:rPr>
          <w:rFonts w:ascii="Symbol" w:hAnsi="Symbol"/>
        </w:rPr>
        <w:t></w:t>
      </w:r>
      <w:r>
        <w:t xml:space="preserve"> arm in the treatment-naïve MRCC study.</w:t>
      </w:r>
    </w:p>
    <w:p w:rsidR="00457196" w:rsidRDefault="00457196" w:rsidP="00092A0A">
      <w:pPr>
        <w:pStyle w:val="BodyText"/>
        <w:ind w:right="20"/>
        <w:jc w:val="both"/>
      </w:pPr>
    </w:p>
    <w:p w:rsidR="00457196" w:rsidRDefault="00346252" w:rsidP="00092A0A">
      <w:pPr>
        <w:pStyle w:val="BodyText"/>
        <w:spacing w:before="1"/>
        <w:ind w:left="238" w:right="20"/>
        <w:jc w:val="both"/>
      </w:pPr>
      <w:r>
        <w:t>Additionally, thyroid-stimulating hormone (TSH) elevations were reported in 4 cytokine-refractory MRCC patients (2%). Overall, 7% of the MRCC population had either clinical or laboratory evidence of treatment-emergent hypothyroidism. Acquired hypothyroidism was noted in 6.2% of GIST patients on sunitinib versus 1% on placebo. In the Phase 3 pNET study hypothyroidism was reported in</w:t>
      </w:r>
      <w:r w:rsidR="00592E2B">
        <w:t xml:space="preserve"> </w:t>
      </w:r>
      <w:r>
        <w:t>6 patients (7.2%) receiving sunitinib and in 1 patient (1.2%) on placebo.</w:t>
      </w:r>
    </w:p>
    <w:p w:rsidR="00457196" w:rsidRDefault="00457196" w:rsidP="00092A0A">
      <w:pPr>
        <w:pStyle w:val="BodyText"/>
        <w:spacing w:before="9"/>
        <w:ind w:right="20"/>
        <w:jc w:val="both"/>
        <w:rPr>
          <w:sz w:val="21"/>
        </w:rPr>
      </w:pPr>
    </w:p>
    <w:p w:rsidR="00457196" w:rsidRDefault="00346252" w:rsidP="00DC32D3">
      <w:pPr>
        <w:pStyle w:val="BodyText"/>
        <w:ind w:left="238" w:right="20"/>
        <w:jc w:val="both"/>
      </w:pPr>
      <w:r>
        <w:t xml:space="preserve">Thyroid function was monitored prospectively in 2 studies in patients with breast cancer; </w:t>
      </w:r>
      <w:r w:rsidR="00DF353E">
        <w:t>sunitinib</w:t>
      </w:r>
      <w:r w:rsidR="006537F0">
        <w:t xml:space="preserve"> </w:t>
      </w:r>
      <w:r>
        <w:t>is not approved for use in breast cancer. In 1 study, hypothyroidism was reported in 15 (13.6%) patients on sunitinib and 3 (2.9%) patients on standard of care. Blood TSH increase was reported in 1 (0.9%) patient on sunitinib and no patients on standard of care. Hyperthyroidism was reported in no</w:t>
      </w:r>
      <w:r w:rsidR="00DC32D3">
        <w:t xml:space="preserve"> </w:t>
      </w:r>
      <w:r>
        <w:t>sunitinib-treated patients and 1 (1.0%) patient receiving standard of care. In the other study hypothyroidism was reported in a total of 31 (13%) patients on sunitinib and 2 (0.8%) patients on capecitabine. Blood TSH increase was reported in 12 (5.0%) patients on sunitinib and no patients on capecitabine. Hyperthyroidism was reported in 4 (1.7%) patients on sunitinib and no patients on capecitabine. Blood TSH decrease was reported in 3 (1.3%) patients on sunitinib and no patients on capecitabine. T4 increase was reported in 2 (0.8%) patients on sunitinib and 1 (0.4%) patient on capecitabine. T3 increase was reported in 1 (0.8%) patient on sunitinib and no patients on capecitabine. All thyroid-related events reported were Grade 1-2 (see section 4.4).</w:t>
      </w:r>
    </w:p>
    <w:p w:rsidR="00457196" w:rsidRDefault="00457196" w:rsidP="00092A0A">
      <w:pPr>
        <w:pStyle w:val="BodyText"/>
        <w:spacing w:before="1"/>
        <w:ind w:right="20"/>
        <w:jc w:val="both"/>
      </w:pPr>
    </w:p>
    <w:p w:rsidR="00457196" w:rsidRDefault="00346252" w:rsidP="00092A0A">
      <w:pPr>
        <w:spacing w:line="252" w:lineRule="exact"/>
        <w:ind w:left="238" w:right="20"/>
        <w:jc w:val="both"/>
        <w:rPr>
          <w:i/>
        </w:rPr>
      </w:pPr>
      <w:r>
        <w:rPr>
          <w:i/>
        </w:rPr>
        <w:t>Metabolism and nutrition disorders</w:t>
      </w:r>
    </w:p>
    <w:p w:rsidR="00457196" w:rsidRDefault="00346252" w:rsidP="00092A0A">
      <w:pPr>
        <w:pStyle w:val="BodyText"/>
        <w:ind w:left="238" w:right="20"/>
        <w:jc w:val="both"/>
      </w:pPr>
      <w:r>
        <w:t>A higher incidence rate of hypoglycaemia events was reported in patients with pNET in comparison to MRCC and GIST. Nevertheless, most of these adverse events observed in clinical studies were not considered related to study treatment (see section 4.4).</w:t>
      </w:r>
    </w:p>
    <w:p w:rsidR="00457196" w:rsidRDefault="00457196" w:rsidP="00092A0A">
      <w:pPr>
        <w:pStyle w:val="BodyText"/>
        <w:spacing w:before="1"/>
        <w:ind w:right="20"/>
        <w:jc w:val="both"/>
      </w:pPr>
    </w:p>
    <w:p w:rsidR="00457196" w:rsidRDefault="00346252" w:rsidP="00092A0A">
      <w:pPr>
        <w:spacing w:line="252" w:lineRule="exact"/>
        <w:ind w:left="238" w:right="20"/>
        <w:jc w:val="both"/>
        <w:rPr>
          <w:i/>
        </w:rPr>
      </w:pPr>
      <w:r>
        <w:rPr>
          <w:i/>
        </w:rPr>
        <w:t>Nervous system disorders</w:t>
      </w:r>
    </w:p>
    <w:p w:rsidR="00457196" w:rsidRDefault="00346252" w:rsidP="00DC32D3">
      <w:pPr>
        <w:pStyle w:val="BodyText"/>
        <w:spacing w:line="252" w:lineRule="exact"/>
        <w:ind w:left="238" w:right="20"/>
        <w:jc w:val="both"/>
      </w:pPr>
      <w:r>
        <w:t>In clinical studies of sunitinib and from postmarketing surveillance, there have been few reports</w:t>
      </w:r>
      <w:r w:rsidR="00DC32D3">
        <w:t xml:space="preserve"> </w:t>
      </w:r>
      <w:r>
        <w:t>(&lt; 1%), some fatal, of subjects presenting with seizures and radiological evidence of RPLS. Seizures have been observed in patients with or without radiological evidence of brain metastases (see section 4.4).</w:t>
      </w:r>
    </w:p>
    <w:p w:rsidR="006B68E6" w:rsidRDefault="006B68E6" w:rsidP="00092A0A">
      <w:pPr>
        <w:spacing w:before="70"/>
        <w:ind w:left="238" w:right="20"/>
        <w:jc w:val="both"/>
        <w:rPr>
          <w:i/>
        </w:rPr>
      </w:pPr>
    </w:p>
    <w:p w:rsidR="00457196" w:rsidRDefault="00346252" w:rsidP="00092A0A">
      <w:pPr>
        <w:spacing w:before="70"/>
        <w:ind w:left="238" w:right="20"/>
        <w:jc w:val="both"/>
        <w:rPr>
          <w:i/>
        </w:rPr>
      </w:pPr>
      <w:r>
        <w:rPr>
          <w:i/>
        </w:rPr>
        <w:t>Cardiac disorders</w:t>
      </w:r>
    </w:p>
    <w:p w:rsidR="00457196" w:rsidRDefault="00346252" w:rsidP="00DC32D3">
      <w:pPr>
        <w:pStyle w:val="BodyText"/>
        <w:spacing w:before="3"/>
        <w:ind w:left="238" w:right="20"/>
        <w:jc w:val="both"/>
      </w:pPr>
      <w:r>
        <w:t xml:space="preserve">In clinical trials, decreases in left ventricular ejection fraction (LVEF) of </w:t>
      </w:r>
      <w:r>
        <w:rPr>
          <w:rFonts w:ascii="Symbol" w:hAnsi="Symbol"/>
        </w:rPr>
        <w:t></w:t>
      </w:r>
      <w:r>
        <w:t xml:space="preserve"> 20% and below the lower limit of normal were reported in approximately 2% of sunitinib-treated GIST patients, 4% of cytokine-refractory MRCC patients, and 2% of placebo-treated GIST patients. These LVEF declines do not appear to have been progressive and often improved as treatment continued. In the</w:t>
      </w:r>
      <w:r w:rsidR="00DC32D3">
        <w:t xml:space="preserve"> </w:t>
      </w:r>
      <w:r>
        <w:t>treatment-naïve MRCC study, 27% of patients on sunitinib and 15% of patients on IFN-</w:t>
      </w:r>
      <w:r>
        <w:rPr>
          <w:rFonts w:ascii="Symbol" w:hAnsi="Symbol"/>
        </w:rPr>
        <w:t></w:t>
      </w:r>
      <w:r>
        <w:t xml:space="preserve"> had an LVEF value below the lower limit of normal. Two patients (&lt; 1%) who received sunitinib were diagnosed with CHF.</w:t>
      </w:r>
    </w:p>
    <w:p w:rsidR="00457196" w:rsidRDefault="00457196" w:rsidP="00092A0A">
      <w:pPr>
        <w:pStyle w:val="BodyText"/>
        <w:spacing w:before="10"/>
        <w:ind w:right="20"/>
        <w:jc w:val="both"/>
        <w:rPr>
          <w:sz w:val="21"/>
        </w:rPr>
      </w:pPr>
    </w:p>
    <w:p w:rsidR="00457196" w:rsidRDefault="00346252" w:rsidP="00092A0A">
      <w:pPr>
        <w:pStyle w:val="BodyText"/>
        <w:spacing w:before="1"/>
        <w:ind w:left="238" w:right="20"/>
        <w:jc w:val="both"/>
      </w:pPr>
      <w:r>
        <w:t>In GIST patients ‘cardiac failure’, ‘cardiac failure congestive’, or ‘left ventricular failure’ were reported in 1.2% of patients treated with sunitinib and 1% of patients treated with placebo. In the pivotal Phase 3 GIST study (N = 312), treatment-related fatal cardiac reactions were reported in 1% of patients on each arm of the study (i.e. sunitinib and placebo arms). In a Phase 2 study in</w:t>
      </w:r>
      <w:r w:rsidR="00DC32D3">
        <w:t xml:space="preserve"> </w:t>
      </w:r>
      <w:r>
        <w:t>cytokine-refractory MRCC patients, 0.9% of patients experienced treatment-related fatal myocardial infarction and in the Phase 3 study in treatment-naïve MRCC patients, 0.6% of patients on the IFN-</w:t>
      </w:r>
      <w:r>
        <w:rPr>
          <w:rFonts w:ascii="Symbol" w:hAnsi="Symbol"/>
        </w:rPr>
        <w:t></w:t>
      </w:r>
      <w:r>
        <w:t xml:space="preserve"> arm and 0% of patients on the sunitinib arm experienced fatal cardiac events. In the Phase 3 pNET study, 1 (1%) patient who received sunitinib had treatment-related fatal cardiac failure.</w:t>
      </w:r>
    </w:p>
    <w:p w:rsidR="00457196" w:rsidRDefault="00457196" w:rsidP="00092A0A">
      <w:pPr>
        <w:pStyle w:val="BodyText"/>
        <w:ind w:right="20"/>
        <w:jc w:val="both"/>
      </w:pPr>
    </w:p>
    <w:p w:rsidR="00457196" w:rsidRDefault="00346252" w:rsidP="00092A0A">
      <w:pPr>
        <w:spacing w:line="252" w:lineRule="exact"/>
        <w:ind w:left="238" w:right="20"/>
        <w:jc w:val="both"/>
        <w:rPr>
          <w:i/>
        </w:rPr>
      </w:pPr>
      <w:r>
        <w:rPr>
          <w:i/>
        </w:rPr>
        <w:t>Vascular disorders</w:t>
      </w:r>
    </w:p>
    <w:p w:rsidR="00457196" w:rsidRDefault="00346252" w:rsidP="00092A0A">
      <w:pPr>
        <w:pStyle w:val="BodyText"/>
        <w:spacing w:line="252" w:lineRule="exact"/>
        <w:ind w:left="238" w:right="20"/>
        <w:jc w:val="both"/>
      </w:pPr>
      <w:r>
        <w:rPr>
          <w:u w:val="single"/>
        </w:rPr>
        <w:t>Hypertension</w:t>
      </w:r>
    </w:p>
    <w:p w:rsidR="00457196" w:rsidRDefault="00346252" w:rsidP="00092A0A">
      <w:pPr>
        <w:pStyle w:val="BodyText"/>
        <w:ind w:left="238" w:right="20"/>
        <w:jc w:val="both"/>
      </w:pPr>
      <w:r>
        <w:t>Hypertension was a very common adverse reaction reported in clinical trials. The dose of sunitinib was reduced or its administration temporarily suspended in approximately 2.7% of the patients who experienced hypertension. Sunitinib was not permanently discontinued in any of these patients. Severe hypertension (&gt; 200 mmHg systolic or 110 mmHg diastolic) was reported in 4.7% of patients with solid tumours. Hypertension was reported in approximately 33.9% of patients receiving sunitinib for treatment-naïve MRCC compared to 3.6% of patients receiving IFN-</w:t>
      </w:r>
      <w:r>
        <w:rPr>
          <w:rFonts w:ascii="Symbol" w:hAnsi="Symbol"/>
        </w:rPr>
        <w:t></w:t>
      </w:r>
      <w:r>
        <w:t>. Severe hypertension was reported in 12% of treatment-naïve patients on sunitinib and &lt; 1% of patients on IFN-</w:t>
      </w:r>
      <w:r>
        <w:rPr>
          <w:rFonts w:ascii="Symbol" w:hAnsi="Symbol"/>
        </w:rPr>
        <w:t></w:t>
      </w:r>
      <w:r>
        <w:t>. Hypertension was reported in 26.5% of patients receiving sunitinib in a Phase 3 pNET study, compared to 4.9% of patients receiving placebo. Severe hypertension was reported in 10% of pNET patients on sunitinib and 3% of patients on</w:t>
      </w:r>
      <w:r>
        <w:rPr>
          <w:spacing w:val="-1"/>
        </w:rPr>
        <w:t xml:space="preserve"> </w:t>
      </w:r>
      <w:r>
        <w:t>placebo.</w:t>
      </w:r>
    </w:p>
    <w:p w:rsidR="00457196" w:rsidRDefault="00457196" w:rsidP="00092A0A">
      <w:pPr>
        <w:pStyle w:val="BodyText"/>
        <w:spacing w:before="2"/>
        <w:ind w:right="20"/>
        <w:jc w:val="both"/>
      </w:pPr>
    </w:p>
    <w:p w:rsidR="00457196" w:rsidRDefault="00346252" w:rsidP="00092A0A">
      <w:pPr>
        <w:pStyle w:val="BodyText"/>
        <w:spacing w:line="252" w:lineRule="exact"/>
        <w:ind w:left="238" w:right="20"/>
        <w:jc w:val="both"/>
      </w:pPr>
      <w:r>
        <w:rPr>
          <w:u w:val="single"/>
        </w:rPr>
        <w:t>Venous thromboembolic events</w:t>
      </w:r>
    </w:p>
    <w:p w:rsidR="00457196" w:rsidRDefault="00346252" w:rsidP="00092A0A">
      <w:pPr>
        <w:pStyle w:val="BodyText"/>
        <w:ind w:left="238" w:right="20"/>
        <w:jc w:val="both"/>
      </w:pPr>
      <w:r>
        <w:t>Treatment-related venous thromboembolic events were reported in approximately 1.0% of patients with solid tumours who received sunitinib on clinical trials, including GIST and RCC.</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Seven patients (3%) on sunitinib and none on placebo in a Phase 3 GIST study experienced venous thromboembolic events; 5 of the 7 were Grade 3 deep venous thrombosis (DVT) and 2 were Grade 1 or 2. Four of these 7 GIST patients discontinued treatment following first observation of DVT.</w:t>
      </w:r>
    </w:p>
    <w:p w:rsidR="00457196" w:rsidRDefault="00457196" w:rsidP="00092A0A">
      <w:pPr>
        <w:pStyle w:val="BodyText"/>
        <w:spacing w:before="2"/>
        <w:ind w:right="20"/>
        <w:jc w:val="both"/>
      </w:pPr>
    </w:p>
    <w:p w:rsidR="00457196" w:rsidRDefault="00346252" w:rsidP="00092A0A">
      <w:pPr>
        <w:pStyle w:val="BodyText"/>
        <w:ind w:left="238" w:right="20"/>
        <w:jc w:val="both"/>
      </w:pPr>
      <w:r>
        <w:t>Thirteen patients (3%) receiving sunitinib in the Phase 3 treatment-naïve MRCC study and 4 patients (2%) on the 2 cytokine-refractory MRCC studies had venous thromboembolic events reported. Nine of these patients had pulmonary embolisms; 1 was Grade 2 and 8 were Grade 4. Eight of these patients had DVT; 1 with Grade 1, 2 with Grade 2, 4 with Grade 3, and 1 with Grade 4. One patient with pulmonary embolism in the cytokine-refractory MRCC study experienced dose interruption.</w:t>
      </w:r>
    </w:p>
    <w:p w:rsidR="00457196" w:rsidRDefault="00457196" w:rsidP="00092A0A">
      <w:pPr>
        <w:pStyle w:val="BodyText"/>
        <w:ind w:right="20"/>
        <w:jc w:val="both"/>
      </w:pPr>
    </w:p>
    <w:p w:rsidR="00457196" w:rsidRDefault="00346252" w:rsidP="00092A0A">
      <w:pPr>
        <w:pStyle w:val="BodyText"/>
        <w:ind w:left="238" w:right="20"/>
        <w:jc w:val="both"/>
      </w:pPr>
      <w:r>
        <w:t>In treatment-naïve MRCC patients receiving IFN-</w:t>
      </w:r>
      <w:r>
        <w:rPr>
          <w:rFonts w:ascii="Symbol" w:hAnsi="Symbol"/>
        </w:rPr>
        <w:t></w:t>
      </w:r>
      <w:r>
        <w:t>, 6 (2%) venous thromboembolic events were reported; 1 patient (&lt; 1%) experienced a Grade 3 DVT and 5 patients (1%) had pulmonary embolisms, all with Grade 4.</w:t>
      </w:r>
    </w:p>
    <w:p w:rsidR="00457196" w:rsidRDefault="00457196" w:rsidP="00092A0A">
      <w:pPr>
        <w:pStyle w:val="BodyText"/>
        <w:ind w:right="20"/>
        <w:jc w:val="both"/>
      </w:pPr>
    </w:p>
    <w:p w:rsidR="00457196" w:rsidRDefault="00346252" w:rsidP="00092A0A">
      <w:pPr>
        <w:pStyle w:val="BodyText"/>
        <w:ind w:left="238" w:right="20"/>
        <w:jc w:val="both"/>
      </w:pPr>
      <w:r>
        <w:t>Venous thromboembolic events were reported for 1 (1.2%) patient in the sunitinib arm and 5 (6.1%) patients in the placebo arm in the Phase 3 pNET study. Two of these patients on placebo had DVT, 1 with Grade 2 and 1 with Grade</w:t>
      </w:r>
      <w:r>
        <w:rPr>
          <w:spacing w:val="-8"/>
        </w:rPr>
        <w:t xml:space="preserve"> </w:t>
      </w:r>
      <w:r>
        <w:t>3.</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No cases with fatal outcome were reported in GIST, MRCC, and pNET registrational studies. Cases with fatal outcome have been observed in the postmarketing surveillance.</w:t>
      </w:r>
    </w:p>
    <w:p w:rsidR="00457196" w:rsidRDefault="00457196" w:rsidP="00092A0A">
      <w:pPr>
        <w:ind w:right="20"/>
        <w:jc w:val="both"/>
      </w:pPr>
    </w:p>
    <w:p w:rsidR="00457196" w:rsidRDefault="00346252" w:rsidP="00092A0A">
      <w:pPr>
        <w:pStyle w:val="BodyText"/>
        <w:spacing w:before="70"/>
        <w:ind w:left="238" w:right="20"/>
        <w:jc w:val="both"/>
      </w:pPr>
      <w:r>
        <w:t>Cases of pulmonary embolism were observed in approximately 3.1% of patients with GIST and in approximately 1.2% of patients with MRCC, who received sunitinib in Phase 3 studies. No pulmonary embolism was reported for patients with pNET who received sunitinib in the Phase 3 study. Rare cases with fatal outcome have been observed in the postmarketing surveillance.</w:t>
      </w:r>
    </w:p>
    <w:p w:rsidR="00457196" w:rsidRDefault="00457196" w:rsidP="00092A0A">
      <w:pPr>
        <w:pStyle w:val="BodyText"/>
        <w:spacing w:before="3"/>
        <w:ind w:right="20"/>
        <w:jc w:val="both"/>
      </w:pPr>
    </w:p>
    <w:p w:rsidR="00457196" w:rsidRDefault="00346252" w:rsidP="00092A0A">
      <w:pPr>
        <w:pStyle w:val="BodyText"/>
        <w:ind w:left="238" w:right="20"/>
        <w:jc w:val="both"/>
      </w:pPr>
      <w:r>
        <w:t>Patients who presented with pulmonary embolism within the previous 12 months were excluded from sunitinib clinical studies.</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In patients who received sunitinib in Phase 3 registrational studies, pulmonary events (i.e. dyspnoea, pleural effusion, pulmonary embolism, or pulmonary oedema) were reported in approximately 17.8% of patients with GIST, in approximately 26.7% of patients with MRCC and in 12% of patients with pNET.</w:t>
      </w:r>
    </w:p>
    <w:p w:rsidR="00457196" w:rsidRDefault="00457196" w:rsidP="00092A0A">
      <w:pPr>
        <w:pStyle w:val="BodyText"/>
        <w:ind w:right="20"/>
        <w:jc w:val="both"/>
      </w:pPr>
    </w:p>
    <w:p w:rsidR="00457196" w:rsidRDefault="00346252" w:rsidP="00092A0A">
      <w:pPr>
        <w:pStyle w:val="BodyText"/>
        <w:ind w:left="238" w:right="20"/>
        <w:jc w:val="both"/>
      </w:pPr>
      <w:r>
        <w:t>Approximately 22.2% of patients with solid tumours, including GIST and MRCC, who received sunitinib in clinical trials experienced pulmonary events.</w:t>
      </w:r>
    </w:p>
    <w:p w:rsidR="00457196" w:rsidRDefault="00457196" w:rsidP="00092A0A">
      <w:pPr>
        <w:pStyle w:val="BodyText"/>
        <w:ind w:right="20"/>
        <w:jc w:val="both"/>
      </w:pPr>
    </w:p>
    <w:p w:rsidR="00457196" w:rsidRDefault="00346252" w:rsidP="00092A0A">
      <w:pPr>
        <w:spacing w:line="252" w:lineRule="exact"/>
        <w:ind w:left="238" w:right="20"/>
        <w:jc w:val="both"/>
        <w:rPr>
          <w:i/>
        </w:rPr>
      </w:pPr>
      <w:r>
        <w:rPr>
          <w:i/>
        </w:rPr>
        <w:t>Gastrointestinal disorders</w:t>
      </w:r>
    </w:p>
    <w:p w:rsidR="00457196" w:rsidRDefault="00346252" w:rsidP="00092A0A">
      <w:pPr>
        <w:pStyle w:val="BodyText"/>
        <w:ind w:left="238" w:right="20"/>
        <w:jc w:val="both"/>
      </w:pPr>
      <w:r>
        <w:t>Pancreatitis has been observed uncommonly (&lt; 1%) in patients receiving sunitinib for GIST or MRCC. No treatment-related pancreatitis was reported in the Phase 3 pNET study (see section 4.4).</w:t>
      </w:r>
    </w:p>
    <w:p w:rsidR="00457196" w:rsidRDefault="00457196" w:rsidP="00092A0A">
      <w:pPr>
        <w:pStyle w:val="BodyText"/>
        <w:spacing w:before="1"/>
        <w:ind w:right="20"/>
        <w:jc w:val="both"/>
      </w:pPr>
    </w:p>
    <w:p w:rsidR="00457196" w:rsidRDefault="00346252" w:rsidP="00092A0A">
      <w:pPr>
        <w:pStyle w:val="BodyText"/>
        <w:ind w:left="238" w:right="20"/>
        <w:jc w:val="both"/>
      </w:pPr>
      <w:r>
        <w:t>Fatal gastrointestinal bleeding was reported in 0.98% of patients receiving placebo in the GIST Phase 3 study.</w:t>
      </w:r>
    </w:p>
    <w:p w:rsidR="00457196" w:rsidRDefault="00457196" w:rsidP="00092A0A">
      <w:pPr>
        <w:pStyle w:val="BodyText"/>
        <w:ind w:right="20"/>
        <w:jc w:val="both"/>
      </w:pPr>
    </w:p>
    <w:p w:rsidR="00457196" w:rsidRDefault="00346252" w:rsidP="00092A0A">
      <w:pPr>
        <w:spacing w:line="252" w:lineRule="exact"/>
        <w:ind w:left="238" w:right="20"/>
        <w:jc w:val="both"/>
        <w:rPr>
          <w:i/>
        </w:rPr>
      </w:pPr>
      <w:r>
        <w:rPr>
          <w:i/>
        </w:rPr>
        <w:t>Hepatobiliary disorders</w:t>
      </w:r>
    </w:p>
    <w:p w:rsidR="00457196" w:rsidRDefault="00346252" w:rsidP="00092A0A">
      <w:pPr>
        <w:pStyle w:val="BodyText"/>
        <w:ind w:left="238" w:right="20"/>
        <w:jc w:val="both"/>
      </w:pPr>
      <w:r>
        <w:t>Hepatic dysfunction has been reported and may include Liver Function Test abnormalities, hepatitis, or liver failure (see section 4.4).</w:t>
      </w:r>
    </w:p>
    <w:p w:rsidR="00457196" w:rsidRDefault="00457196" w:rsidP="00092A0A">
      <w:pPr>
        <w:pStyle w:val="BodyText"/>
        <w:spacing w:before="1"/>
        <w:ind w:right="20"/>
        <w:jc w:val="both"/>
      </w:pPr>
    </w:p>
    <w:p w:rsidR="00457196" w:rsidRDefault="00346252" w:rsidP="00092A0A">
      <w:pPr>
        <w:spacing w:before="1" w:line="252" w:lineRule="exact"/>
        <w:ind w:left="238" w:right="20"/>
        <w:jc w:val="both"/>
        <w:rPr>
          <w:i/>
        </w:rPr>
      </w:pPr>
      <w:r>
        <w:rPr>
          <w:i/>
        </w:rPr>
        <w:t>Skin and subcutaneous tissue disorders</w:t>
      </w:r>
    </w:p>
    <w:p w:rsidR="00457196" w:rsidRDefault="00346252" w:rsidP="00092A0A">
      <w:pPr>
        <w:pStyle w:val="BodyText"/>
        <w:ind w:left="238" w:right="20"/>
        <w:jc w:val="both"/>
      </w:pPr>
      <w:r>
        <w:t>Cases of pyoderma gangrenosum, generally reversible after discontinuation of sunitinib, have been reported (see also section 4.4).</w:t>
      </w:r>
    </w:p>
    <w:p w:rsidR="00457196" w:rsidRDefault="00457196" w:rsidP="00092A0A">
      <w:pPr>
        <w:pStyle w:val="BodyText"/>
        <w:spacing w:before="10"/>
        <w:ind w:right="20"/>
        <w:jc w:val="both"/>
        <w:rPr>
          <w:sz w:val="21"/>
        </w:rPr>
      </w:pPr>
    </w:p>
    <w:p w:rsidR="00457196" w:rsidRDefault="00346252" w:rsidP="00092A0A">
      <w:pPr>
        <w:ind w:left="238" w:right="20"/>
        <w:jc w:val="both"/>
        <w:rPr>
          <w:i/>
        </w:rPr>
      </w:pPr>
      <w:r>
        <w:rPr>
          <w:i/>
        </w:rPr>
        <w:t>Musculoskeletal and connective tissue disorders</w:t>
      </w:r>
    </w:p>
    <w:p w:rsidR="00457196" w:rsidRDefault="00346252" w:rsidP="00092A0A">
      <w:pPr>
        <w:pStyle w:val="BodyText"/>
        <w:spacing w:before="1"/>
        <w:ind w:left="238" w:right="20"/>
        <w:jc w:val="both"/>
      </w:pPr>
      <w:r>
        <w:t>Cases of myopathy and/or rhabdomyolysis, some with acute renal failure, have been reported. Patients with signs or symptoms of muscle toxicity should be managed as per standard medical practice (see section 4.4).</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Cases of fistula formation, sometimes associated with tumour necrosis and regression, in some cases with fatal outcomes, have been reported (see section 4.4).</w:t>
      </w:r>
    </w:p>
    <w:p w:rsidR="00457196" w:rsidRDefault="00457196" w:rsidP="00092A0A">
      <w:pPr>
        <w:pStyle w:val="BodyText"/>
        <w:ind w:right="20"/>
        <w:jc w:val="both"/>
      </w:pPr>
    </w:p>
    <w:p w:rsidR="00457196" w:rsidRDefault="00346252" w:rsidP="00092A0A">
      <w:pPr>
        <w:pStyle w:val="BodyText"/>
        <w:spacing w:before="1"/>
        <w:ind w:left="238" w:right="20"/>
        <w:jc w:val="both"/>
      </w:pPr>
      <w:r>
        <w:t>Cases of ONJ have been reported in patients treated with</w:t>
      </w:r>
      <w:r w:rsidR="006537F0">
        <w:t xml:space="preserve"> </w:t>
      </w:r>
      <w:r w:rsidR="00DF353E">
        <w:t>sunitinib</w:t>
      </w:r>
      <w:r>
        <w:t>, most of which occurred in patients who had identified risk factors for ONJ, in particular, exposure to intravenous bisphosphonates and/or a history of dental disease requiring invasive dental procedures (see also section 4.4).</w:t>
      </w:r>
    </w:p>
    <w:p w:rsidR="00457196" w:rsidRDefault="00457196" w:rsidP="00092A0A">
      <w:pPr>
        <w:pStyle w:val="BodyText"/>
        <w:ind w:right="20"/>
        <w:jc w:val="both"/>
      </w:pPr>
    </w:p>
    <w:p w:rsidR="00457196" w:rsidRDefault="00346252" w:rsidP="00092A0A">
      <w:pPr>
        <w:spacing w:line="252" w:lineRule="exact"/>
        <w:ind w:left="238" w:right="20"/>
        <w:jc w:val="both"/>
        <w:rPr>
          <w:i/>
        </w:rPr>
      </w:pPr>
      <w:r>
        <w:rPr>
          <w:i/>
        </w:rPr>
        <w:t>Investigations</w:t>
      </w:r>
    </w:p>
    <w:p w:rsidR="00457196" w:rsidRDefault="00346252" w:rsidP="00092A0A">
      <w:pPr>
        <w:pStyle w:val="BodyText"/>
        <w:ind w:left="238" w:right="20"/>
        <w:jc w:val="both"/>
      </w:pPr>
      <w:r>
        <w:t>Data from non clinical (</w:t>
      </w:r>
      <w:r>
        <w:rPr>
          <w:i/>
        </w:rPr>
        <w:t xml:space="preserve">in vitro </w:t>
      </w:r>
      <w:r>
        <w:t xml:space="preserve">and </w:t>
      </w:r>
      <w:r>
        <w:rPr>
          <w:i/>
        </w:rPr>
        <w:t>in vivo</w:t>
      </w:r>
      <w:r>
        <w:t>) studies, at doses higher than the recommended human dose, indicated that sunitinib has the potential to inhibit the cardiac action potential repolarisation process (e.g., prolongation of QT interval).</w:t>
      </w:r>
    </w:p>
    <w:p w:rsidR="00457196" w:rsidRDefault="00457196" w:rsidP="00092A0A">
      <w:pPr>
        <w:pStyle w:val="BodyText"/>
        <w:spacing w:before="1"/>
        <w:ind w:right="20"/>
        <w:jc w:val="both"/>
      </w:pPr>
    </w:p>
    <w:p w:rsidR="00457196" w:rsidRDefault="00346252" w:rsidP="00092A0A">
      <w:pPr>
        <w:pStyle w:val="BodyText"/>
        <w:ind w:left="238" w:right="20"/>
        <w:jc w:val="both"/>
      </w:pPr>
      <w:r>
        <w:t>Increases in the QTc interval to over 500 msec were reported in 0.5%, and changes from baseline in excess of 60 msec were reported in 1.1% of the 450 solid tumour patients; both of these parameters are recognised as potentially significant changes. At approximately twice therapeutic concentrations, sunitinib has been shown to prolong the QTcF interval (Fridericia corrected QT interval).</w:t>
      </w:r>
    </w:p>
    <w:p w:rsidR="00457196" w:rsidRDefault="00457196" w:rsidP="00092A0A">
      <w:pPr>
        <w:pStyle w:val="BodyText"/>
        <w:ind w:right="20"/>
        <w:jc w:val="both"/>
      </w:pPr>
    </w:p>
    <w:p w:rsidR="00457196" w:rsidRDefault="00346252" w:rsidP="00092A0A">
      <w:pPr>
        <w:pStyle w:val="BodyText"/>
        <w:ind w:left="238" w:right="20"/>
        <w:jc w:val="both"/>
      </w:pPr>
      <w:r>
        <w:t>QTc interval prolongation was investigated in a trial in 24 patients, ages 20-87 years, with advanced malignancies. The results of this study demonstrated that sunitinib had an effect on QTc interval (defined as a mean placebo-adjusted change of &gt; 10 msec with a 90% confidence interval [CI] upper limit &gt; 15 msec) at therapeutic concentration (Day 3) using the within-day baseline correction method,</w:t>
      </w:r>
      <w:r w:rsidR="006B68E6">
        <w:t xml:space="preserve"> </w:t>
      </w:r>
      <w:r>
        <w:t xml:space="preserve">and at greater than therapeutic concentration (Day 9) using both baseline correction methods. No patients had a QTc interval &gt; 500 msec. Although an effect on QTcF interval was observed on Day 3 at 24 hours postdose (i.e., at therapeutic plasma concentration expected after the recommended starting dose of 50 </w:t>
      </w:r>
      <w:r>
        <w:rPr>
          <w:spacing w:val="-3"/>
        </w:rPr>
        <w:t xml:space="preserve">mg) </w:t>
      </w:r>
      <w:r>
        <w:t>with the within-day baseline correction method, the clinical significance of this finding is unclear.</w:t>
      </w:r>
    </w:p>
    <w:p w:rsidR="00457196" w:rsidRDefault="00457196" w:rsidP="00092A0A">
      <w:pPr>
        <w:pStyle w:val="BodyText"/>
        <w:spacing w:before="2"/>
        <w:ind w:right="20"/>
        <w:jc w:val="both"/>
      </w:pPr>
    </w:p>
    <w:p w:rsidR="00457196" w:rsidRDefault="00346252" w:rsidP="00092A0A">
      <w:pPr>
        <w:pStyle w:val="BodyText"/>
        <w:ind w:left="238" w:right="20"/>
        <w:jc w:val="both"/>
      </w:pPr>
      <w:r>
        <w:t>Using comprehensive serial ECG assessments at times corresponding to either therapeutic or greater than therapeutic exposures, none of the patients in the evaluable or intent-to-treat (ITT) populations were observed to develop QTc interval prolongation considered as “severe” (i.e. equal to or greater than Grade 3 by Common Terminology Criteria for Adverse Events [CTCAE] version 3.0).</w:t>
      </w:r>
    </w:p>
    <w:p w:rsidR="00457196" w:rsidRDefault="00457196" w:rsidP="00092A0A">
      <w:pPr>
        <w:pStyle w:val="BodyText"/>
        <w:ind w:right="20"/>
        <w:jc w:val="both"/>
      </w:pPr>
    </w:p>
    <w:p w:rsidR="00457196" w:rsidRDefault="00346252" w:rsidP="00092A0A">
      <w:pPr>
        <w:pStyle w:val="BodyText"/>
        <w:ind w:left="238" w:right="20"/>
        <w:jc w:val="both"/>
      </w:pPr>
      <w:r>
        <w:t>At therapeutic plasma concentrations, the maximum QTcF interval (Frederica’s correction) mean change from baseline was 9 msec (90% CI: 15.1 msec). At approximately twice therapeutic concentrations, the maximum QTcF interval change from baseline was 15.4 msec (90%</w:t>
      </w:r>
      <w:r w:rsidR="00592E2B">
        <w:t xml:space="preserve"> </w:t>
      </w:r>
      <w:r>
        <w:t>CI: 22.4 msec). Moxifloxacin (400 mg) used as a positive control showed a 5.6 msec maximum mean QTcF interval change from baseline. No subjects experienced an effect on the QTc interval greater than Grade 2 (CTCAE version 3.0) (see section 4.4).</w:t>
      </w:r>
    </w:p>
    <w:p w:rsidR="00457196" w:rsidRDefault="00457196" w:rsidP="00092A0A">
      <w:pPr>
        <w:pStyle w:val="BodyText"/>
        <w:spacing w:before="1"/>
        <w:ind w:right="20"/>
        <w:jc w:val="both"/>
      </w:pPr>
    </w:p>
    <w:p w:rsidR="00457196" w:rsidRDefault="00346252" w:rsidP="00092A0A">
      <w:pPr>
        <w:pStyle w:val="BodyText"/>
        <w:spacing w:line="252" w:lineRule="exact"/>
        <w:ind w:left="238" w:right="20"/>
        <w:jc w:val="both"/>
      </w:pPr>
      <w:r>
        <w:rPr>
          <w:u w:val="single"/>
        </w:rPr>
        <w:t>Long-term safety in MRCC</w:t>
      </w:r>
    </w:p>
    <w:p w:rsidR="00457196" w:rsidRDefault="00346252" w:rsidP="00092A0A">
      <w:pPr>
        <w:pStyle w:val="BodyText"/>
        <w:ind w:left="238" w:right="20"/>
        <w:jc w:val="both"/>
      </w:pPr>
      <w:r>
        <w:t>The long-term safety of sunitinib in patients with MRCC was analysed across 9 completed clinical studies conducted in the first-line, bevacizumab-refractory, and cytokine-refractory treatment settings in 5,739 patients, of whom 807 (14%) were treated for ≥ 2 years up to 6 years. In the 807 patients who received long-term sunitinib treatment, most treatment-related adverse events (TRAEs) occurred initially in the first 6 months–1 year and then were stable or decreased in frequency over time, with the exception of hypothyroidism, which gradually increased over time, with new cases occurring over the 6 year period. Prolonged treatment with sunitinib did not appear to be associated with new types of TRAEs.</w:t>
      </w:r>
    </w:p>
    <w:p w:rsidR="00457196" w:rsidRDefault="00457196" w:rsidP="00092A0A">
      <w:pPr>
        <w:pStyle w:val="BodyText"/>
        <w:ind w:right="20"/>
        <w:jc w:val="both"/>
      </w:pPr>
    </w:p>
    <w:p w:rsidR="00457196" w:rsidRDefault="00346252" w:rsidP="00092A0A">
      <w:pPr>
        <w:pStyle w:val="BodyText"/>
        <w:spacing w:before="1" w:line="252" w:lineRule="exact"/>
        <w:ind w:left="238" w:right="20"/>
        <w:jc w:val="both"/>
      </w:pPr>
      <w:r>
        <w:rPr>
          <w:u w:val="single"/>
        </w:rPr>
        <w:t>Paediatric population</w:t>
      </w:r>
    </w:p>
    <w:p w:rsidR="00457196" w:rsidRDefault="00346252" w:rsidP="00092A0A">
      <w:pPr>
        <w:pStyle w:val="BodyText"/>
        <w:ind w:left="238" w:right="20"/>
        <w:jc w:val="both"/>
      </w:pPr>
      <w:r>
        <w:t>The safety profile of sunitinib has been derived from a Phase 1 dose-escalation study, a Phase 2 open-label study, a Phase 1/2 single-arm study and from publications as described below.</w:t>
      </w:r>
    </w:p>
    <w:p w:rsidR="00457196" w:rsidRDefault="00457196" w:rsidP="00092A0A">
      <w:pPr>
        <w:pStyle w:val="BodyText"/>
        <w:spacing w:before="1"/>
        <w:ind w:right="20"/>
        <w:jc w:val="both"/>
      </w:pPr>
    </w:p>
    <w:p w:rsidR="00457196" w:rsidRDefault="00346252" w:rsidP="00DC32D3">
      <w:pPr>
        <w:pStyle w:val="BodyText"/>
        <w:spacing w:line="252" w:lineRule="exact"/>
        <w:ind w:left="238" w:right="20"/>
        <w:jc w:val="both"/>
      </w:pPr>
      <w:r>
        <w:t>A Phase 1 dose-escalation study of oral sunitinib was conducted in 35 patients comprised of</w:t>
      </w:r>
      <w:r w:rsidR="00DC32D3">
        <w:t xml:space="preserve"> </w:t>
      </w:r>
      <w:r>
        <w:t>30 paediatric patients (aged 3 years to 17 years) and 5 young adult patients (aged 18 to 21 years), with refractory solid tumours, the majority of whom had a primary diagnosis of brain tumour. All study participants experienced adverse drug reactions; most of these were severe (toxicity grade ≥ 3) and included cardiac toxicity. The most common adverse drug reactions were gastrointestinal (GI) toxicity, neutropenia, fatigue, and ALT elevation. The risk of cardiac adverse drug reactions appeared to be higher in paediatric patients with previous exposure to cardiac irradiation or anthracycline compared to those paediatric patients without previous exposure. In these paediatric patients without previous exposure to anthracyclines or cardiac irradiation, the maximum tolerated dose (MTD) has been identified (see section</w:t>
      </w:r>
      <w:r>
        <w:rPr>
          <w:spacing w:val="-3"/>
        </w:rPr>
        <w:t xml:space="preserve"> </w:t>
      </w:r>
      <w:r>
        <w:t>5.1).</w:t>
      </w:r>
    </w:p>
    <w:p w:rsidR="00457196" w:rsidRDefault="00457196" w:rsidP="00092A0A">
      <w:pPr>
        <w:pStyle w:val="BodyText"/>
        <w:ind w:right="20"/>
        <w:jc w:val="both"/>
      </w:pPr>
    </w:p>
    <w:p w:rsidR="00457196" w:rsidRDefault="00346252" w:rsidP="00092A0A">
      <w:pPr>
        <w:pStyle w:val="BodyText"/>
        <w:ind w:left="238" w:right="20"/>
        <w:jc w:val="both"/>
      </w:pPr>
      <w:r>
        <w:t>A phase 2 open-label study was conducted in 29 patients comprised of 27 paediatric patients (aged 3 years to 16 years) and 2 young adult patients (aged 18 years to 19 years) with recurrent/progressive/refractory high grade glioma (HGG) or ependymoma. There were no Grade 5 adverse reactions in either group. The most common (≥10%) treatment-related adverse events were neutrophil count decreased (6 [20.7%] patients) and haemorrhage intracranial (3[10.3%] patients).</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A Phase 1/2 single-arm, study was conducted in 6 paediatric patients (aged 13 years to 16 years) with advanced unresectable GIST. The most frequent adverse drug reactions were diarrhoea, nausea, WBC count decreased, neutropenia, and headache in 3 (50.0%) patients each, primarily Grade 1 or 2 in severity. Four out of 6 patients (66.7%) experienced Grade 3-4 treatment-related adverse events (Grade 3 hypophosphataemia, neutropenia, and thrombocytopenia in 1 patient each and a Grade 4 neutropenia in 1 patient). There were no serious adverse events (SAEs) or Grade 5 adverse drug reactions reported in this study. In both the clinical study and the publications, the safety profile was consistent with the known safety profile in adults.</w:t>
      </w:r>
    </w:p>
    <w:p w:rsidR="00457196" w:rsidRDefault="00457196" w:rsidP="00092A0A">
      <w:pPr>
        <w:ind w:right="20"/>
        <w:jc w:val="both"/>
      </w:pPr>
    </w:p>
    <w:p w:rsidR="00457196" w:rsidRDefault="00346252" w:rsidP="00092A0A">
      <w:pPr>
        <w:pStyle w:val="BodyText"/>
        <w:spacing w:before="65"/>
        <w:ind w:left="238" w:right="20"/>
        <w:jc w:val="both"/>
      </w:pPr>
      <w:r>
        <w:rPr>
          <w:u w:val="single"/>
        </w:rPr>
        <w:t>Reporting of suspected adverse reactions</w:t>
      </w:r>
    </w:p>
    <w:p w:rsidR="00457196" w:rsidRDefault="00346252" w:rsidP="00092A0A">
      <w:pPr>
        <w:pStyle w:val="BodyText"/>
        <w:tabs>
          <w:tab w:val="left" w:pos="8882"/>
        </w:tabs>
        <w:ind w:left="238" w:right="20"/>
        <w:jc w:val="both"/>
      </w:pPr>
      <w: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785D4C">
        <w:rPr>
          <w:highlight w:val="lightGray"/>
          <w:shd w:val="clear" w:color="auto" w:fill="D2D2D2"/>
        </w:rPr>
        <w:t>the</w:t>
      </w:r>
      <w:r w:rsidRPr="00785D4C">
        <w:rPr>
          <w:spacing w:val="22"/>
          <w:highlight w:val="lightGray"/>
          <w:shd w:val="clear" w:color="auto" w:fill="D2D2D2"/>
        </w:rPr>
        <w:t xml:space="preserve"> </w:t>
      </w:r>
      <w:r w:rsidRPr="00785D4C">
        <w:rPr>
          <w:highlight w:val="lightGray"/>
          <w:shd w:val="clear" w:color="auto" w:fill="D2D2D2"/>
        </w:rPr>
        <w:t>national</w:t>
      </w:r>
      <w:r w:rsidRPr="00785D4C">
        <w:rPr>
          <w:spacing w:val="-2"/>
          <w:highlight w:val="lightGray"/>
          <w:shd w:val="clear" w:color="auto" w:fill="D2D2D2"/>
        </w:rPr>
        <w:t xml:space="preserve"> </w:t>
      </w:r>
      <w:r w:rsidRPr="00785D4C">
        <w:rPr>
          <w:highlight w:val="lightGray"/>
          <w:shd w:val="clear" w:color="auto" w:fill="D2D2D2"/>
        </w:rPr>
        <w:t>reporting</w:t>
      </w:r>
      <w:r w:rsidRPr="00785D4C">
        <w:rPr>
          <w:highlight w:val="lightGray"/>
        </w:rPr>
        <w:t xml:space="preserve"> </w:t>
      </w:r>
      <w:r w:rsidRPr="00785D4C">
        <w:rPr>
          <w:highlight w:val="lightGray"/>
          <w:shd w:val="clear" w:color="auto" w:fill="D2D2D2"/>
        </w:rPr>
        <w:t xml:space="preserve">system listed in </w:t>
      </w:r>
      <w:r w:rsidRPr="00785D4C">
        <w:rPr>
          <w:highlight w:val="lightGray"/>
          <w:u w:val="single"/>
          <w:shd w:val="clear" w:color="auto" w:fill="D2D2D2"/>
        </w:rPr>
        <w:t>App</w:t>
      </w:r>
      <w:r w:rsidRPr="00785D4C">
        <w:rPr>
          <w:highlight w:val="lightGray"/>
          <w:u w:val="single"/>
        </w:rPr>
        <w:t>endix</w:t>
      </w:r>
      <w:r w:rsidRPr="00785D4C">
        <w:rPr>
          <w:spacing w:val="-9"/>
          <w:highlight w:val="lightGray"/>
          <w:u w:val="single"/>
        </w:rPr>
        <w:t xml:space="preserve"> </w:t>
      </w:r>
      <w:r w:rsidRPr="00785D4C">
        <w:rPr>
          <w:highlight w:val="lightGray"/>
          <w:u w:val="single"/>
        </w:rPr>
        <w:t>V</w:t>
      </w:r>
      <w:r w:rsidRPr="00785D4C">
        <w:rPr>
          <w:highlight w:val="lightGray"/>
        </w:rPr>
        <w:t>.</w:t>
      </w:r>
    </w:p>
    <w:p w:rsidR="00457196" w:rsidRDefault="00457196" w:rsidP="00092A0A">
      <w:pPr>
        <w:pStyle w:val="BodyText"/>
        <w:spacing w:before="11"/>
        <w:ind w:right="20"/>
        <w:jc w:val="both"/>
        <w:rPr>
          <w:sz w:val="13"/>
        </w:rPr>
      </w:pPr>
    </w:p>
    <w:p w:rsidR="00457196" w:rsidRDefault="00346252" w:rsidP="00092A0A">
      <w:pPr>
        <w:pStyle w:val="Heading1"/>
        <w:numPr>
          <w:ilvl w:val="1"/>
          <w:numId w:val="12"/>
        </w:numPr>
        <w:tabs>
          <w:tab w:val="left" w:pos="800"/>
          <w:tab w:val="left" w:pos="801"/>
        </w:tabs>
        <w:spacing w:before="92"/>
        <w:ind w:left="800" w:right="20" w:hanging="563"/>
        <w:jc w:val="both"/>
      </w:pPr>
      <w:r>
        <w:t>Overdose</w:t>
      </w:r>
    </w:p>
    <w:p w:rsidR="00457196" w:rsidRDefault="00457196" w:rsidP="00092A0A">
      <w:pPr>
        <w:pStyle w:val="BodyText"/>
        <w:ind w:right="20"/>
        <w:jc w:val="both"/>
        <w:rPr>
          <w:b/>
        </w:rPr>
      </w:pPr>
    </w:p>
    <w:p w:rsidR="00457196" w:rsidRDefault="00346252" w:rsidP="00092A0A">
      <w:pPr>
        <w:pStyle w:val="BodyText"/>
        <w:ind w:left="238" w:right="20"/>
        <w:jc w:val="both"/>
      </w:pPr>
      <w:r>
        <w:t xml:space="preserve">There is no specific antidote for overdose with </w:t>
      </w:r>
      <w:r w:rsidR="00FB4591">
        <w:t>&lt;Product name&gt;</w:t>
      </w:r>
      <w:r>
        <w:t xml:space="preserve"> and treatment of overdose should consist of general supportive measures. If indicated, elimination of unabsorbed active substance may be achieved by emesis or gastric lavage. Cases of overdose have been reported; some cases were associated with adverse reactions consistent with the known safety profile of sunitinib.</w:t>
      </w:r>
    </w:p>
    <w:p w:rsidR="00457196" w:rsidRDefault="00457196" w:rsidP="00092A0A">
      <w:pPr>
        <w:pStyle w:val="BodyText"/>
        <w:ind w:right="20"/>
        <w:jc w:val="both"/>
        <w:rPr>
          <w:sz w:val="24"/>
        </w:rPr>
      </w:pPr>
    </w:p>
    <w:p w:rsidR="00457196" w:rsidRDefault="00457196" w:rsidP="00092A0A">
      <w:pPr>
        <w:pStyle w:val="BodyText"/>
        <w:spacing w:before="2"/>
        <w:ind w:right="20"/>
        <w:jc w:val="both"/>
        <w:rPr>
          <w:sz w:val="20"/>
        </w:rPr>
      </w:pPr>
    </w:p>
    <w:p w:rsidR="00457196" w:rsidRDefault="00346252" w:rsidP="00092A0A">
      <w:pPr>
        <w:pStyle w:val="Heading1"/>
        <w:numPr>
          <w:ilvl w:val="0"/>
          <w:numId w:val="13"/>
        </w:numPr>
        <w:tabs>
          <w:tab w:val="left" w:pos="805"/>
          <w:tab w:val="left" w:pos="806"/>
        </w:tabs>
        <w:spacing w:before="0"/>
        <w:ind w:left="805" w:right="20" w:hanging="568"/>
        <w:jc w:val="both"/>
      </w:pPr>
      <w:r>
        <w:t>PHARMACOLOGICAL</w:t>
      </w:r>
      <w:r>
        <w:rPr>
          <w:spacing w:val="-2"/>
        </w:rPr>
        <w:t xml:space="preserve"> </w:t>
      </w:r>
      <w:r>
        <w:t>PROPERTIES</w:t>
      </w:r>
    </w:p>
    <w:p w:rsidR="00457196" w:rsidRDefault="00457196" w:rsidP="00092A0A">
      <w:pPr>
        <w:pStyle w:val="BodyText"/>
        <w:spacing w:before="9"/>
        <w:ind w:right="20"/>
        <w:jc w:val="both"/>
        <w:rPr>
          <w:b/>
          <w:sz w:val="21"/>
        </w:rPr>
      </w:pPr>
    </w:p>
    <w:p w:rsidR="00457196" w:rsidRDefault="00346252" w:rsidP="00092A0A">
      <w:pPr>
        <w:pStyle w:val="ListParagraph"/>
        <w:numPr>
          <w:ilvl w:val="1"/>
          <w:numId w:val="13"/>
        </w:numPr>
        <w:tabs>
          <w:tab w:val="left" w:pos="800"/>
          <w:tab w:val="left" w:pos="801"/>
        </w:tabs>
        <w:ind w:left="800" w:right="20" w:hanging="563"/>
        <w:jc w:val="both"/>
        <w:rPr>
          <w:b/>
        </w:rPr>
      </w:pPr>
      <w:r>
        <w:rPr>
          <w:b/>
        </w:rPr>
        <w:t>Pharmacodynamic</w:t>
      </w:r>
      <w:r>
        <w:rPr>
          <w:b/>
          <w:spacing w:val="-1"/>
        </w:rPr>
        <w:t xml:space="preserve"> </w:t>
      </w:r>
      <w:r>
        <w:rPr>
          <w:b/>
        </w:rPr>
        <w:t>properties</w:t>
      </w:r>
    </w:p>
    <w:p w:rsidR="00DF353E" w:rsidRDefault="00346252" w:rsidP="00092A0A">
      <w:pPr>
        <w:pStyle w:val="BodyText"/>
        <w:spacing w:before="7" w:line="500" w:lineRule="atLeast"/>
        <w:ind w:left="238" w:right="20"/>
        <w:jc w:val="both"/>
      </w:pPr>
      <w:r>
        <w:t xml:space="preserve">Pharmacotherapeutic group: Antineoplastic agents, protein kinase inhibitors; ATC code: </w:t>
      </w:r>
      <w:r w:rsidR="00DF353E" w:rsidRPr="00DF353E">
        <w:t>L01EX01</w:t>
      </w:r>
    </w:p>
    <w:p w:rsidR="00457196" w:rsidRDefault="00346252" w:rsidP="00092A0A">
      <w:pPr>
        <w:pStyle w:val="BodyText"/>
        <w:spacing w:before="7" w:line="500" w:lineRule="atLeast"/>
        <w:ind w:left="238" w:right="20"/>
        <w:jc w:val="both"/>
      </w:pPr>
      <w:r>
        <w:rPr>
          <w:u w:val="single"/>
        </w:rPr>
        <w:t>Mechanism of action</w:t>
      </w:r>
    </w:p>
    <w:p w:rsidR="00457196" w:rsidRDefault="00346252" w:rsidP="00DC32D3">
      <w:pPr>
        <w:pStyle w:val="BodyText"/>
        <w:spacing w:before="5"/>
        <w:ind w:left="238" w:right="20"/>
        <w:jc w:val="both"/>
      </w:pPr>
      <w:r>
        <w:t>Sunitinib inhibits multiple RTKs that are implicated in tumour growth, neoangiogenesis, and metastatic progression of cancer. Sunitinib was identified as an inhibitor of platelet-derived growth factor receptors (PDGFRα and PDGFRβ), VEGF receptors (VEGFR1, VEGFR2, and VEGFR3), stem cell factor receptor (KIT), Fms-like tyrosine kinase-3 (FLT3), colony stimulating factor receptor</w:t>
      </w:r>
      <w:r w:rsidR="00DC32D3">
        <w:t xml:space="preserve"> </w:t>
      </w:r>
      <w:r>
        <w:t>(CSF-1R), and the glial cell-line derived neurotrophic factor receptor (RET). The primary metabolite exhibits similar potency compared to sunitinib in biochemical and cellular assays.</w:t>
      </w:r>
    </w:p>
    <w:p w:rsidR="00457196" w:rsidRDefault="00457196" w:rsidP="00092A0A">
      <w:pPr>
        <w:pStyle w:val="BodyText"/>
        <w:spacing w:before="10"/>
        <w:ind w:right="20"/>
        <w:jc w:val="both"/>
        <w:rPr>
          <w:sz w:val="21"/>
        </w:rPr>
      </w:pPr>
    </w:p>
    <w:p w:rsidR="00457196" w:rsidRDefault="00346252" w:rsidP="00092A0A">
      <w:pPr>
        <w:pStyle w:val="BodyText"/>
        <w:spacing w:before="1"/>
        <w:ind w:left="238" w:right="20"/>
        <w:jc w:val="both"/>
      </w:pPr>
      <w:r>
        <w:rPr>
          <w:u w:val="single"/>
        </w:rPr>
        <w:t>Clinical efficacy and safety</w:t>
      </w:r>
    </w:p>
    <w:p w:rsidR="00457196" w:rsidRDefault="00346252" w:rsidP="00092A0A">
      <w:pPr>
        <w:pStyle w:val="BodyText"/>
        <w:spacing w:before="1"/>
        <w:ind w:left="238" w:right="20"/>
        <w:jc w:val="both"/>
      </w:pPr>
      <w:r>
        <w:t>The clinical safety and efficacy of sunitinib has been studied in the treatment of patients with GIST who were resistant to imatinib (i.e., those who experienced disease progression during or following treatment with imatinib) or intolerant to imatinib (i.e., those who experienced significant toxicity during treatment with imatinib that precluded further treatment), the treatment of patients with MRCC, and the treatment of patients with unresectable pNET.</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Efficacy is based on time-to-tumour progression (TTP) and an increase in survival in GIST, on progression-free survival (PFS) and objective response rates (ORR) for treatment-naïve and cytokine-refractory MRCC respectively, and on PFS for pNET.</w:t>
      </w:r>
    </w:p>
    <w:p w:rsidR="00457196" w:rsidRDefault="00457196" w:rsidP="00092A0A">
      <w:pPr>
        <w:pStyle w:val="BodyText"/>
        <w:spacing w:before="6"/>
        <w:ind w:right="20"/>
        <w:jc w:val="both"/>
      </w:pPr>
    </w:p>
    <w:p w:rsidR="00457196" w:rsidRDefault="00346252" w:rsidP="00092A0A">
      <w:pPr>
        <w:spacing w:before="1"/>
        <w:ind w:left="238" w:right="20"/>
        <w:jc w:val="both"/>
        <w:rPr>
          <w:i/>
        </w:rPr>
      </w:pPr>
      <w:r>
        <w:rPr>
          <w:i/>
        </w:rPr>
        <w:t>Gastrointestinal stromal tumours</w:t>
      </w:r>
    </w:p>
    <w:p w:rsidR="00457196" w:rsidRDefault="00346252" w:rsidP="00092A0A">
      <w:pPr>
        <w:pStyle w:val="BodyText"/>
        <w:spacing w:before="1"/>
        <w:ind w:left="238" w:right="20"/>
        <w:jc w:val="both"/>
      </w:pPr>
      <w:r>
        <w:t>An initial open-label, dose-escalation study was conducted in patients with GIST after failure of imatinib (median maximum daily dose 800 mg) due to resistance or intolerance. Ninety-seven patients were enrolled at various doses and schedules; 55 patients received 50 mg at the recommended treatment Schedule 4 weeks on /2 weeks off (“Schedule 4/2”).</w:t>
      </w:r>
    </w:p>
    <w:p w:rsidR="00457196" w:rsidRDefault="00457196" w:rsidP="00092A0A">
      <w:pPr>
        <w:pStyle w:val="BodyText"/>
        <w:ind w:right="20"/>
        <w:jc w:val="both"/>
      </w:pPr>
    </w:p>
    <w:p w:rsidR="00457196" w:rsidRDefault="00346252" w:rsidP="00092A0A">
      <w:pPr>
        <w:pStyle w:val="BodyText"/>
        <w:ind w:left="238" w:right="20"/>
        <w:jc w:val="both"/>
      </w:pPr>
      <w:r>
        <w:t>In this study, the median TTP was 34.0 weeks (95% CI: 22.0, 46.0).</w:t>
      </w:r>
    </w:p>
    <w:p w:rsidR="00457196" w:rsidRDefault="00457196" w:rsidP="00092A0A">
      <w:pPr>
        <w:pStyle w:val="BodyText"/>
        <w:ind w:right="20"/>
        <w:jc w:val="both"/>
      </w:pPr>
    </w:p>
    <w:p w:rsidR="00457196" w:rsidRDefault="00346252" w:rsidP="00092A0A">
      <w:pPr>
        <w:pStyle w:val="BodyText"/>
        <w:ind w:left="238" w:right="20"/>
        <w:jc w:val="both"/>
      </w:pPr>
      <w:r>
        <w:t>A Phase 3, randomised, double-blind, placebo-controlled study of sunitinib was conducted in patients with GIST who were intolerant to, or had experienced disease progression during or following treatment with imatinib (median maximum daily dose 800 mg). In this study, 312 patients were randomised (2:1) to receive either 50 mg sunitinib or placebo, orally once daily on Schedule 4/2 until disease progression or withdrawal from the study for another reason (207 patients received sunitinib and 105 patients received placebo). The primary efficacy endpoint of the study was TTP, defined as the time from randomisation to first documentation of objective tumour progression. At the time of the prespecified interim analysis, the median TTP on sunitinib was 28.9 weeks (95% CI: 21.3, 34.1) as assessed by the investigator and 27.3 weeks (95% CI: 16.0, 32.1) as assessed by the independent</w:t>
      </w:r>
      <w:r w:rsidR="00D80E38">
        <w:t xml:space="preserve"> </w:t>
      </w:r>
      <w:r>
        <w:t>review and was statistically significantly longer than the TTP on placebo of 5.1 weeks</w:t>
      </w:r>
      <w:r w:rsidR="00A3101A">
        <w:t xml:space="preserve"> </w:t>
      </w:r>
      <w:r>
        <w:t>(95% CI: 4.4, 10.1) as assessed by the investigator and 6.4 weeks (95% CI: 4.4, 10.0) as assessed by the independent review. The difference in overall survival (OS) was statistically in favour of sunitinib [hazard ratio (HR): 0.491; (95% CI: 0.290, 0.831)]; the risk of death was 2 times higher in patients in the placebo arm compared to the sunitinib arm.</w:t>
      </w:r>
    </w:p>
    <w:p w:rsidR="00457196" w:rsidRDefault="00457196" w:rsidP="00092A0A">
      <w:pPr>
        <w:pStyle w:val="BodyText"/>
        <w:ind w:right="20"/>
        <w:jc w:val="both"/>
      </w:pPr>
    </w:p>
    <w:p w:rsidR="00457196" w:rsidRDefault="00346252" w:rsidP="00092A0A">
      <w:pPr>
        <w:pStyle w:val="BodyText"/>
        <w:ind w:left="238" w:right="20"/>
        <w:jc w:val="both"/>
      </w:pPr>
      <w:r>
        <w:t>After the interim analysis of efficacy and safety, at the recommendation of the independent Data and Safety Monitoring Board (DSMB), the study was unblinded and patients on the placebo arm were offered open-label sunitinib treatment.</w:t>
      </w:r>
    </w:p>
    <w:p w:rsidR="00457196" w:rsidRDefault="00457196" w:rsidP="00092A0A">
      <w:pPr>
        <w:pStyle w:val="BodyText"/>
        <w:spacing w:before="1"/>
        <w:ind w:right="20"/>
        <w:jc w:val="both"/>
      </w:pPr>
    </w:p>
    <w:p w:rsidR="00457196" w:rsidRDefault="00346252" w:rsidP="00092A0A">
      <w:pPr>
        <w:pStyle w:val="BodyText"/>
        <w:ind w:left="238" w:right="20"/>
        <w:jc w:val="both"/>
      </w:pPr>
      <w:r>
        <w:t>A total of 255 patients received sunitinib in the open-label treatment phase of the study, including 99 patients who were initially treated with placebo.</w:t>
      </w:r>
    </w:p>
    <w:p w:rsidR="00457196" w:rsidRDefault="00457196" w:rsidP="00092A0A">
      <w:pPr>
        <w:pStyle w:val="BodyText"/>
        <w:ind w:right="20"/>
        <w:jc w:val="both"/>
      </w:pPr>
    </w:p>
    <w:p w:rsidR="00DC32D3" w:rsidRDefault="00346252" w:rsidP="00DC32D3">
      <w:pPr>
        <w:pStyle w:val="BodyText"/>
        <w:ind w:left="238" w:right="20"/>
        <w:jc w:val="both"/>
      </w:pPr>
      <w:r>
        <w:t>The analyses of primary and secondary endpoints in the open-label phase of the study reaffirmed the results obtained at the time of the interim analysis, as shown in Table 2:</w:t>
      </w:r>
    </w:p>
    <w:p w:rsidR="00BA7FB9" w:rsidRDefault="00BA7FB9" w:rsidP="00092A0A">
      <w:pPr>
        <w:pStyle w:val="BodyText"/>
        <w:spacing w:before="11"/>
        <w:ind w:right="20"/>
        <w:rPr>
          <w:sz w:val="21"/>
        </w:rPr>
      </w:pPr>
    </w:p>
    <w:p w:rsidR="00457196" w:rsidRDefault="00346252" w:rsidP="00092A0A">
      <w:pPr>
        <w:pStyle w:val="Heading1"/>
        <w:tabs>
          <w:tab w:val="left" w:pos="1229"/>
        </w:tabs>
        <w:spacing w:before="0"/>
        <w:ind w:left="238" w:right="20"/>
      </w:pPr>
      <w:r>
        <w:t>Table</w:t>
      </w:r>
      <w:r>
        <w:rPr>
          <w:spacing w:val="1"/>
        </w:rPr>
        <w:t xml:space="preserve"> </w:t>
      </w:r>
      <w:r>
        <w:t>2.</w:t>
      </w:r>
      <w:r>
        <w:tab/>
        <w:t>GIST summary of efficacy endpoints (ITT</w:t>
      </w:r>
      <w:r>
        <w:rPr>
          <w:spacing w:val="-6"/>
        </w:rPr>
        <w:t xml:space="preserve"> </w:t>
      </w:r>
      <w:r>
        <w:t>population)</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1556"/>
        <w:gridCol w:w="1563"/>
        <w:gridCol w:w="1907"/>
        <w:gridCol w:w="914"/>
        <w:gridCol w:w="1552"/>
      </w:tblGrid>
      <w:tr w:rsidR="00457196">
        <w:trPr>
          <w:trHeight w:val="254"/>
        </w:trPr>
        <w:tc>
          <w:tcPr>
            <w:tcW w:w="1577" w:type="dxa"/>
          </w:tcPr>
          <w:p w:rsidR="00457196" w:rsidRDefault="00457196" w:rsidP="00092A0A">
            <w:pPr>
              <w:pStyle w:val="TableParagraph"/>
              <w:ind w:right="20"/>
              <w:rPr>
                <w:sz w:val="18"/>
              </w:rPr>
            </w:pPr>
          </w:p>
        </w:tc>
        <w:tc>
          <w:tcPr>
            <w:tcW w:w="5940" w:type="dxa"/>
            <w:gridSpan w:val="4"/>
          </w:tcPr>
          <w:p w:rsidR="00457196" w:rsidRDefault="00346252" w:rsidP="00092A0A">
            <w:pPr>
              <w:pStyle w:val="TableParagraph"/>
              <w:spacing w:before="1" w:line="233" w:lineRule="exact"/>
              <w:ind w:left="1826" w:right="20"/>
            </w:pPr>
            <w:r>
              <w:rPr>
                <w:b/>
              </w:rPr>
              <w:t>Double-blind treatment</w:t>
            </w:r>
            <w:r>
              <w:rPr>
                <w:vertAlign w:val="superscript"/>
              </w:rPr>
              <w:t>a</w:t>
            </w:r>
          </w:p>
        </w:tc>
        <w:tc>
          <w:tcPr>
            <w:tcW w:w="1552" w:type="dxa"/>
          </w:tcPr>
          <w:p w:rsidR="00457196" w:rsidRDefault="00457196" w:rsidP="00092A0A">
            <w:pPr>
              <w:pStyle w:val="TableParagraph"/>
              <w:ind w:right="20"/>
              <w:rPr>
                <w:sz w:val="18"/>
              </w:rPr>
            </w:pPr>
          </w:p>
        </w:tc>
      </w:tr>
      <w:tr w:rsidR="00457196">
        <w:trPr>
          <w:trHeight w:val="254"/>
        </w:trPr>
        <w:tc>
          <w:tcPr>
            <w:tcW w:w="1577" w:type="dxa"/>
          </w:tcPr>
          <w:p w:rsidR="00457196" w:rsidRDefault="00457196" w:rsidP="00092A0A">
            <w:pPr>
              <w:pStyle w:val="TableParagraph"/>
              <w:ind w:right="20"/>
              <w:rPr>
                <w:sz w:val="18"/>
              </w:rPr>
            </w:pPr>
          </w:p>
        </w:tc>
        <w:tc>
          <w:tcPr>
            <w:tcW w:w="3119" w:type="dxa"/>
            <w:gridSpan w:val="2"/>
          </w:tcPr>
          <w:p w:rsidR="00457196" w:rsidRDefault="00346252" w:rsidP="00092A0A">
            <w:pPr>
              <w:pStyle w:val="TableParagraph"/>
              <w:spacing w:line="234" w:lineRule="exact"/>
              <w:ind w:left="727" w:right="20"/>
              <w:rPr>
                <w:b/>
              </w:rPr>
            </w:pPr>
            <w:r>
              <w:rPr>
                <w:b/>
              </w:rPr>
              <w:t>Median (95% CI)</w:t>
            </w:r>
          </w:p>
        </w:tc>
        <w:tc>
          <w:tcPr>
            <w:tcW w:w="2821" w:type="dxa"/>
            <w:gridSpan w:val="2"/>
          </w:tcPr>
          <w:p w:rsidR="00457196" w:rsidRDefault="00346252" w:rsidP="00092A0A">
            <w:pPr>
              <w:pStyle w:val="TableParagraph"/>
              <w:spacing w:line="234" w:lineRule="exact"/>
              <w:ind w:left="798" w:right="20"/>
              <w:rPr>
                <w:b/>
              </w:rPr>
            </w:pPr>
            <w:r>
              <w:rPr>
                <w:b/>
              </w:rPr>
              <w:t>Hazard ratio</w:t>
            </w:r>
          </w:p>
        </w:tc>
        <w:tc>
          <w:tcPr>
            <w:tcW w:w="1552" w:type="dxa"/>
            <w:vMerge w:val="restart"/>
          </w:tcPr>
          <w:p w:rsidR="00457196" w:rsidRDefault="00346252" w:rsidP="00092A0A">
            <w:pPr>
              <w:pStyle w:val="TableParagraph"/>
              <w:ind w:left="286" w:right="20"/>
              <w:jc w:val="center"/>
              <w:rPr>
                <w:b/>
              </w:rPr>
            </w:pPr>
            <w:r>
              <w:rPr>
                <w:b/>
              </w:rPr>
              <w:t xml:space="preserve">Placebo </w:t>
            </w:r>
            <w:r>
              <w:rPr>
                <w:b/>
                <w:spacing w:val="-1"/>
              </w:rPr>
              <w:t>cross-over</w:t>
            </w:r>
          </w:p>
          <w:p w:rsidR="00457196" w:rsidRDefault="00346252" w:rsidP="00092A0A">
            <w:pPr>
              <w:pStyle w:val="TableParagraph"/>
              <w:spacing w:before="2" w:line="252" w:lineRule="exact"/>
              <w:ind w:left="267" w:right="20" w:hanging="3"/>
              <w:jc w:val="center"/>
              <w:rPr>
                <w:b/>
              </w:rPr>
            </w:pPr>
            <w:r>
              <w:rPr>
                <w:b/>
              </w:rPr>
              <w:t xml:space="preserve">group </w:t>
            </w:r>
            <w:r>
              <w:rPr>
                <w:b/>
                <w:spacing w:val="-1"/>
              </w:rPr>
              <w:t>treatment</w:t>
            </w:r>
            <w:r>
              <w:rPr>
                <w:b/>
                <w:spacing w:val="-1"/>
                <w:vertAlign w:val="superscript"/>
              </w:rPr>
              <w:t>b</w:t>
            </w:r>
          </w:p>
        </w:tc>
      </w:tr>
      <w:tr w:rsidR="00457196">
        <w:trPr>
          <w:trHeight w:val="748"/>
        </w:trPr>
        <w:tc>
          <w:tcPr>
            <w:tcW w:w="1577" w:type="dxa"/>
          </w:tcPr>
          <w:p w:rsidR="00457196" w:rsidRDefault="00346252" w:rsidP="00092A0A">
            <w:pPr>
              <w:pStyle w:val="TableParagraph"/>
              <w:spacing w:line="251" w:lineRule="exact"/>
              <w:ind w:left="107" w:right="20"/>
              <w:rPr>
                <w:b/>
              </w:rPr>
            </w:pPr>
            <w:r>
              <w:rPr>
                <w:b/>
              </w:rPr>
              <w:t>Endpoint</w:t>
            </w:r>
          </w:p>
        </w:tc>
        <w:tc>
          <w:tcPr>
            <w:tcW w:w="1556" w:type="dxa"/>
          </w:tcPr>
          <w:p w:rsidR="00457196" w:rsidRDefault="00457196" w:rsidP="00092A0A">
            <w:pPr>
              <w:pStyle w:val="TableParagraph"/>
              <w:ind w:right="20"/>
              <w:rPr>
                <w:b/>
                <w:sz w:val="24"/>
              </w:rPr>
            </w:pPr>
          </w:p>
          <w:p w:rsidR="00457196" w:rsidRDefault="00457196" w:rsidP="00092A0A">
            <w:pPr>
              <w:pStyle w:val="TableParagraph"/>
              <w:spacing w:before="9"/>
              <w:ind w:right="20"/>
              <w:rPr>
                <w:b/>
                <w:sz w:val="18"/>
              </w:rPr>
            </w:pPr>
          </w:p>
          <w:p w:rsidR="00457196" w:rsidRDefault="00DF353E" w:rsidP="00092A0A">
            <w:pPr>
              <w:pStyle w:val="TableParagraph"/>
              <w:spacing w:before="1" w:line="236" w:lineRule="exact"/>
              <w:ind w:left="23" w:right="20"/>
              <w:jc w:val="center"/>
              <w:rPr>
                <w:b/>
              </w:rPr>
            </w:pPr>
            <w:r>
              <w:rPr>
                <w:b/>
              </w:rPr>
              <w:t xml:space="preserve">Sunitinib </w:t>
            </w:r>
          </w:p>
        </w:tc>
        <w:tc>
          <w:tcPr>
            <w:tcW w:w="1563" w:type="dxa"/>
          </w:tcPr>
          <w:p w:rsidR="00457196" w:rsidRDefault="00457196" w:rsidP="00092A0A">
            <w:pPr>
              <w:pStyle w:val="TableParagraph"/>
              <w:ind w:right="20"/>
              <w:rPr>
                <w:b/>
                <w:sz w:val="24"/>
              </w:rPr>
            </w:pPr>
          </w:p>
          <w:p w:rsidR="00457196" w:rsidRDefault="00457196" w:rsidP="00092A0A">
            <w:pPr>
              <w:pStyle w:val="TableParagraph"/>
              <w:spacing w:before="9"/>
              <w:ind w:right="20"/>
              <w:rPr>
                <w:b/>
                <w:sz w:val="18"/>
              </w:rPr>
            </w:pPr>
          </w:p>
          <w:p w:rsidR="00457196" w:rsidRDefault="00346252" w:rsidP="00092A0A">
            <w:pPr>
              <w:pStyle w:val="TableParagraph"/>
              <w:spacing w:before="1" w:line="236" w:lineRule="exact"/>
              <w:ind w:left="25" w:right="20"/>
              <w:jc w:val="center"/>
              <w:rPr>
                <w:b/>
              </w:rPr>
            </w:pPr>
            <w:r>
              <w:rPr>
                <w:b/>
              </w:rPr>
              <w:t>Placebo</w:t>
            </w:r>
          </w:p>
        </w:tc>
        <w:tc>
          <w:tcPr>
            <w:tcW w:w="1907" w:type="dxa"/>
          </w:tcPr>
          <w:p w:rsidR="00457196" w:rsidRDefault="00457196" w:rsidP="00092A0A">
            <w:pPr>
              <w:pStyle w:val="TableParagraph"/>
              <w:ind w:right="20"/>
              <w:rPr>
                <w:b/>
                <w:sz w:val="24"/>
              </w:rPr>
            </w:pPr>
          </w:p>
          <w:p w:rsidR="00457196" w:rsidRDefault="00457196" w:rsidP="00092A0A">
            <w:pPr>
              <w:pStyle w:val="TableParagraph"/>
              <w:spacing w:before="9"/>
              <w:ind w:right="20"/>
              <w:rPr>
                <w:b/>
                <w:sz w:val="18"/>
              </w:rPr>
            </w:pPr>
          </w:p>
          <w:p w:rsidR="00457196" w:rsidRDefault="00346252" w:rsidP="00092A0A">
            <w:pPr>
              <w:pStyle w:val="TableParagraph"/>
              <w:spacing w:before="1" w:line="236" w:lineRule="exact"/>
              <w:ind w:left="96" w:right="20"/>
              <w:jc w:val="center"/>
              <w:rPr>
                <w:b/>
              </w:rPr>
            </w:pPr>
            <w:r>
              <w:rPr>
                <w:b/>
              </w:rPr>
              <w:t>(95% CI)</w:t>
            </w:r>
          </w:p>
        </w:tc>
        <w:tc>
          <w:tcPr>
            <w:tcW w:w="914" w:type="dxa"/>
          </w:tcPr>
          <w:p w:rsidR="00457196" w:rsidRDefault="00457196" w:rsidP="00092A0A">
            <w:pPr>
              <w:pStyle w:val="TableParagraph"/>
              <w:ind w:right="20"/>
              <w:rPr>
                <w:b/>
                <w:sz w:val="24"/>
              </w:rPr>
            </w:pPr>
          </w:p>
          <w:p w:rsidR="00457196" w:rsidRDefault="00457196" w:rsidP="00092A0A">
            <w:pPr>
              <w:pStyle w:val="TableParagraph"/>
              <w:spacing w:before="9"/>
              <w:ind w:right="20"/>
              <w:rPr>
                <w:b/>
                <w:sz w:val="18"/>
              </w:rPr>
            </w:pPr>
          </w:p>
          <w:p w:rsidR="00457196" w:rsidRDefault="00346252" w:rsidP="00092A0A">
            <w:pPr>
              <w:pStyle w:val="TableParagraph"/>
              <w:spacing w:before="1" w:line="236" w:lineRule="exact"/>
              <w:ind w:left="83" w:right="20"/>
              <w:jc w:val="center"/>
              <w:rPr>
                <w:b/>
              </w:rPr>
            </w:pPr>
            <w:r>
              <w:rPr>
                <w:b/>
              </w:rPr>
              <w:t>p-value</w:t>
            </w:r>
          </w:p>
        </w:tc>
        <w:tc>
          <w:tcPr>
            <w:tcW w:w="1552" w:type="dxa"/>
            <w:vMerge/>
            <w:tcBorders>
              <w:top w:val="nil"/>
            </w:tcBorders>
          </w:tcPr>
          <w:p w:rsidR="00457196" w:rsidRDefault="00457196" w:rsidP="00092A0A">
            <w:pPr>
              <w:ind w:right="20"/>
              <w:rPr>
                <w:sz w:val="2"/>
                <w:szCs w:val="2"/>
              </w:rPr>
            </w:pPr>
          </w:p>
        </w:tc>
      </w:tr>
      <w:tr w:rsidR="00457196">
        <w:trPr>
          <w:trHeight w:val="251"/>
        </w:trPr>
        <w:tc>
          <w:tcPr>
            <w:tcW w:w="1577" w:type="dxa"/>
          </w:tcPr>
          <w:p w:rsidR="00457196" w:rsidRDefault="00346252" w:rsidP="00092A0A">
            <w:pPr>
              <w:pStyle w:val="TableParagraph"/>
              <w:spacing w:line="232" w:lineRule="exact"/>
              <w:ind w:left="107" w:right="20"/>
              <w:rPr>
                <w:b/>
              </w:rPr>
            </w:pPr>
            <w:r>
              <w:rPr>
                <w:b/>
              </w:rPr>
              <w:t>Primary</w:t>
            </w:r>
          </w:p>
        </w:tc>
        <w:tc>
          <w:tcPr>
            <w:tcW w:w="7492" w:type="dxa"/>
            <w:gridSpan w:val="5"/>
          </w:tcPr>
          <w:p w:rsidR="00457196" w:rsidRDefault="00457196" w:rsidP="00092A0A">
            <w:pPr>
              <w:pStyle w:val="TableParagraph"/>
              <w:ind w:right="20"/>
              <w:rPr>
                <w:sz w:val="18"/>
              </w:rPr>
            </w:pPr>
          </w:p>
        </w:tc>
      </w:tr>
      <w:tr w:rsidR="00457196">
        <w:trPr>
          <w:trHeight w:val="253"/>
        </w:trPr>
        <w:tc>
          <w:tcPr>
            <w:tcW w:w="1577" w:type="dxa"/>
          </w:tcPr>
          <w:p w:rsidR="00457196" w:rsidRDefault="00346252" w:rsidP="00092A0A">
            <w:pPr>
              <w:pStyle w:val="TableParagraph"/>
              <w:spacing w:before="1" w:line="233" w:lineRule="exact"/>
              <w:ind w:right="20"/>
              <w:jc w:val="right"/>
            </w:pPr>
            <w:r>
              <w:t>TTP (weeks)</w:t>
            </w:r>
          </w:p>
        </w:tc>
        <w:tc>
          <w:tcPr>
            <w:tcW w:w="7492" w:type="dxa"/>
            <w:gridSpan w:val="5"/>
          </w:tcPr>
          <w:p w:rsidR="00457196" w:rsidRDefault="00457196" w:rsidP="00092A0A">
            <w:pPr>
              <w:pStyle w:val="TableParagraph"/>
              <w:ind w:right="20"/>
              <w:rPr>
                <w:sz w:val="18"/>
              </w:rPr>
            </w:pPr>
          </w:p>
        </w:tc>
      </w:tr>
      <w:tr w:rsidR="00457196">
        <w:trPr>
          <w:trHeight w:val="254"/>
        </w:trPr>
        <w:tc>
          <w:tcPr>
            <w:tcW w:w="1577" w:type="dxa"/>
          </w:tcPr>
          <w:p w:rsidR="00457196" w:rsidRDefault="00346252" w:rsidP="00092A0A">
            <w:pPr>
              <w:pStyle w:val="TableParagraph"/>
              <w:spacing w:line="234" w:lineRule="exact"/>
              <w:ind w:left="395" w:right="20"/>
            </w:pPr>
            <w:r>
              <w:t>Interim</w:t>
            </w:r>
          </w:p>
        </w:tc>
        <w:tc>
          <w:tcPr>
            <w:tcW w:w="1556" w:type="dxa"/>
          </w:tcPr>
          <w:p w:rsidR="00457196" w:rsidRDefault="00346252" w:rsidP="00092A0A">
            <w:pPr>
              <w:pStyle w:val="TableParagraph"/>
              <w:spacing w:line="234" w:lineRule="exact"/>
              <w:ind w:left="23" w:right="20"/>
              <w:jc w:val="center"/>
            </w:pPr>
            <w:r>
              <w:t>27.3 (16.0, 32.1)</w:t>
            </w:r>
          </w:p>
        </w:tc>
        <w:tc>
          <w:tcPr>
            <w:tcW w:w="1563" w:type="dxa"/>
          </w:tcPr>
          <w:p w:rsidR="00457196" w:rsidRDefault="00346252" w:rsidP="00092A0A">
            <w:pPr>
              <w:pStyle w:val="TableParagraph"/>
              <w:spacing w:line="234" w:lineRule="exact"/>
              <w:ind w:left="27" w:right="20"/>
              <w:jc w:val="center"/>
            </w:pPr>
            <w:r>
              <w:t>6.4 (4.4, 10.0)</w:t>
            </w:r>
          </w:p>
        </w:tc>
        <w:tc>
          <w:tcPr>
            <w:tcW w:w="1907" w:type="dxa"/>
          </w:tcPr>
          <w:p w:rsidR="00457196" w:rsidRDefault="00346252" w:rsidP="00092A0A">
            <w:pPr>
              <w:pStyle w:val="TableParagraph"/>
              <w:spacing w:line="234" w:lineRule="exact"/>
              <w:ind w:left="96" w:right="20"/>
              <w:jc w:val="center"/>
            </w:pPr>
            <w:r>
              <w:t>0.329 (0.233, 0.466)</w:t>
            </w:r>
          </w:p>
        </w:tc>
        <w:tc>
          <w:tcPr>
            <w:tcW w:w="914" w:type="dxa"/>
          </w:tcPr>
          <w:p w:rsidR="00457196" w:rsidRDefault="00346252" w:rsidP="00092A0A">
            <w:pPr>
              <w:pStyle w:val="TableParagraph"/>
              <w:spacing w:line="234" w:lineRule="exact"/>
              <w:ind w:left="82" w:right="20"/>
              <w:jc w:val="center"/>
            </w:pPr>
            <w:r>
              <w:t>&lt; 0.001</w:t>
            </w:r>
          </w:p>
        </w:tc>
        <w:tc>
          <w:tcPr>
            <w:tcW w:w="1552" w:type="dxa"/>
          </w:tcPr>
          <w:p w:rsidR="00457196" w:rsidRDefault="00346252" w:rsidP="00092A0A">
            <w:pPr>
              <w:pStyle w:val="TableParagraph"/>
              <w:spacing w:line="234" w:lineRule="exact"/>
              <w:ind w:right="20"/>
              <w:jc w:val="center"/>
            </w:pPr>
            <w:r>
              <w:t>-</w:t>
            </w:r>
          </w:p>
        </w:tc>
      </w:tr>
      <w:tr w:rsidR="00457196">
        <w:trPr>
          <w:trHeight w:val="506"/>
        </w:trPr>
        <w:tc>
          <w:tcPr>
            <w:tcW w:w="1577" w:type="dxa"/>
          </w:tcPr>
          <w:p w:rsidR="00457196" w:rsidRDefault="00346252" w:rsidP="00092A0A">
            <w:pPr>
              <w:pStyle w:val="TableParagraph"/>
              <w:spacing w:line="252" w:lineRule="exact"/>
              <w:ind w:left="395" w:right="20"/>
            </w:pPr>
            <w:r>
              <w:t>Final</w:t>
            </w:r>
          </w:p>
        </w:tc>
        <w:tc>
          <w:tcPr>
            <w:tcW w:w="1556" w:type="dxa"/>
          </w:tcPr>
          <w:p w:rsidR="00457196" w:rsidRDefault="00346252" w:rsidP="00092A0A">
            <w:pPr>
              <w:pStyle w:val="TableParagraph"/>
              <w:spacing w:line="252" w:lineRule="exact"/>
              <w:ind w:left="23" w:right="20"/>
              <w:jc w:val="center"/>
            </w:pPr>
            <w:r>
              <w:t>26.6 (16.0, 32.1)</w:t>
            </w:r>
          </w:p>
        </w:tc>
        <w:tc>
          <w:tcPr>
            <w:tcW w:w="1563" w:type="dxa"/>
          </w:tcPr>
          <w:p w:rsidR="00457196" w:rsidRDefault="00346252" w:rsidP="00092A0A">
            <w:pPr>
              <w:pStyle w:val="TableParagraph"/>
              <w:spacing w:line="252" w:lineRule="exact"/>
              <w:ind w:left="27" w:right="20"/>
              <w:jc w:val="center"/>
            </w:pPr>
            <w:r>
              <w:t>6.4 (4.4, 10.0)</w:t>
            </w:r>
          </w:p>
        </w:tc>
        <w:tc>
          <w:tcPr>
            <w:tcW w:w="1907" w:type="dxa"/>
          </w:tcPr>
          <w:p w:rsidR="00457196" w:rsidRDefault="00346252" w:rsidP="00092A0A">
            <w:pPr>
              <w:pStyle w:val="TableParagraph"/>
              <w:spacing w:line="252" w:lineRule="exact"/>
              <w:ind w:left="96" w:right="20"/>
              <w:jc w:val="center"/>
            </w:pPr>
            <w:r>
              <w:t>0.339 (0.244, 0.472)</w:t>
            </w:r>
          </w:p>
        </w:tc>
        <w:tc>
          <w:tcPr>
            <w:tcW w:w="914" w:type="dxa"/>
          </w:tcPr>
          <w:p w:rsidR="00457196" w:rsidRDefault="00346252" w:rsidP="00092A0A">
            <w:pPr>
              <w:pStyle w:val="TableParagraph"/>
              <w:spacing w:line="252" w:lineRule="exact"/>
              <w:ind w:left="82" w:right="20"/>
              <w:jc w:val="center"/>
            </w:pPr>
            <w:r>
              <w:t>&lt; 0.001</w:t>
            </w:r>
          </w:p>
        </w:tc>
        <w:tc>
          <w:tcPr>
            <w:tcW w:w="1552" w:type="dxa"/>
          </w:tcPr>
          <w:p w:rsidR="00457196" w:rsidRDefault="00346252" w:rsidP="00092A0A">
            <w:pPr>
              <w:pStyle w:val="TableParagraph"/>
              <w:spacing w:line="251" w:lineRule="exact"/>
              <w:ind w:left="285" w:right="20"/>
              <w:jc w:val="center"/>
            </w:pPr>
            <w:r>
              <w:t>10.4 (4.3,</w:t>
            </w:r>
          </w:p>
          <w:p w:rsidR="00457196" w:rsidRDefault="00346252" w:rsidP="00092A0A">
            <w:pPr>
              <w:pStyle w:val="TableParagraph"/>
              <w:spacing w:line="235" w:lineRule="exact"/>
              <w:ind w:left="286" w:right="20"/>
              <w:jc w:val="center"/>
            </w:pPr>
            <w:r>
              <w:t>22.0)</w:t>
            </w:r>
          </w:p>
        </w:tc>
      </w:tr>
      <w:tr w:rsidR="00457196">
        <w:trPr>
          <w:trHeight w:val="251"/>
        </w:trPr>
        <w:tc>
          <w:tcPr>
            <w:tcW w:w="1577" w:type="dxa"/>
          </w:tcPr>
          <w:p w:rsidR="00457196" w:rsidRDefault="00346252" w:rsidP="00092A0A">
            <w:pPr>
              <w:pStyle w:val="TableParagraph"/>
              <w:spacing w:line="232" w:lineRule="exact"/>
              <w:ind w:left="107" w:right="20"/>
              <w:rPr>
                <w:b/>
              </w:rPr>
            </w:pPr>
            <w:r>
              <w:rPr>
                <w:b/>
              </w:rPr>
              <w:t>Secondary</w:t>
            </w:r>
          </w:p>
        </w:tc>
        <w:tc>
          <w:tcPr>
            <w:tcW w:w="7492" w:type="dxa"/>
            <w:gridSpan w:val="5"/>
          </w:tcPr>
          <w:p w:rsidR="00457196" w:rsidRDefault="00457196" w:rsidP="00092A0A">
            <w:pPr>
              <w:pStyle w:val="TableParagraph"/>
              <w:ind w:right="20"/>
              <w:rPr>
                <w:sz w:val="18"/>
              </w:rPr>
            </w:pPr>
          </w:p>
        </w:tc>
      </w:tr>
      <w:tr w:rsidR="00457196">
        <w:trPr>
          <w:trHeight w:val="253"/>
        </w:trPr>
        <w:tc>
          <w:tcPr>
            <w:tcW w:w="1577" w:type="dxa"/>
          </w:tcPr>
          <w:p w:rsidR="00457196" w:rsidRDefault="00346252" w:rsidP="00092A0A">
            <w:pPr>
              <w:pStyle w:val="TableParagraph"/>
              <w:spacing w:line="234" w:lineRule="exact"/>
              <w:ind w:right="20"/>
              <w:jc w:val="right"/>
            </w:pPr>
            <w:r>
              <w:t>PFS (weeks)</w:t>
            </w:r>
            <w:r>
              <w:rPr>
                <w:vertAlign w:val="superscript"/>
              </w:rPr>
              <w:t>c</w:t>
            </w:r>
          </w:p>
        </w:tc>
        <w:tc>
          <w:tcPr>
            <w:tcW w:w="7492" w:type="dxa"/>
            <w:gridSpan w:val="5"/>
          </w:tcPr>
          <w:p w:rsidR="00457196" w:rsidRDefault="00457196" w:rsidP="00092A0A">
            <w:pPr>
              <w:pStyle w:val="TableParagraph"/>
              <w:ind w:right="20"/>
              <w:rPr>
                <w:sz w:val="18"/>
              </w:rPr>
            </w:pPr>
          </w:p>
        </w:tc>
      </w:tr>
      <w:tr w:rsidR="00457196">
        <w:trPr>
          <w:trHeight w:val="251"/>
        </w:trPr>
        <w:tc>
          <w:tcPr>
            <w:tcW w:w="1577" w:type="dxa"/>
          </w:tcPr>
          <w:p w:rsidR="00457196" w:rsidRDefault="00346252" w:rsidP="00092A0A">
            <w:pPr>
              <w:pStyle w:val="TableParagraph"/>
              <w:spacing w:line="232" w:lineRule="exact"/>
              <w:ind w:left="395" w:right="20"/>
            </w:pPr>
            <w:r>
              <w:t>Interim</w:t>
            </w:r>
          </w:p>
        </w:tc>
        <w:tc>
          <w:tcPr>
            <w:tcW w:w="1556" w:type="dxa"/>
          </w:tcPr>
          <w:p w:rsidR="00457196" w:rsidRDefault="00346252" w:rsidP="00092A0A">
            <w:pPr>
              <w:pStyle w:val="TableParagraph"/>
              <w:spacing w:line="232" w:lineRule="exact"/>
              <w:ind w:left="23" w:right="20"/>
              <w:jc w:val="center"/>
            </w:pPr>
            <w:r>
              <w:t>24.1 (11.1, 28.3)</w:t>
            </w:r>
          </w:p>
        </w:tc>
        <w:tc>
          <w:tcPr>
            <w:tcW w:w="1563" w:type="dxa"/>
          </w:tcPr>
          <w:p w:rsidR="00457196" w:rsidRDefault="00346252" w:rsidP="00092A0A">
            <w:pPr>
              <w:pStyle w:val="TableParagraph"/>
              <w:spacing w:line="232" w:lineRule="exact"/>
              <w:ind w:left="25" w:right="20"/>
              <w:jc w:val="center"/>
            </w:pPr>
            <w:r>
              <w:t>6.0 (4.4, 9.9)</w:t>
            </w:r>
          </w:p>
        </w:tc>
        <w:tc>
          <w:tcPr>
            <w:tcW w:w="1907" w:type="dxa"/>
          </w:tcPr>
          <w:p w:rsidR="00457196" w:rsidRDefault="00346252" w:rsidP="00092A0A">
            <w:pPr>
              <w:pStyle w:val="TableParagraph"/>
              <w:spacing w:line="232" w:lineRule="exact"/>
              <w:ind w:left="91" w:right="20"/>
              <w:jc w:val="center"/>
            </w:pPr>
            <w:r>
              <w:t>0.333 (0.238, 0.467)</w:t>
            </w:r>
          </w:p>
        </w:tc>
        <w:tc>
          <w:tcPr>
            <w:tcW w:w="914" w:type="dxa"/>
          </w:tcPr>
          <w:p w:rsidR="00457196" w:rsidRDefault="00346252" w:rsidP="00092A0A">
            <w:pPr>
              <w:pStyle w:val="TableParagraph"/>
              <w:spacing w:line="232" w:lineRule="exact"/>
              <w:ind w:left="82" w:right="20"/>
              <w:jc w:val="center"/>
            </w:pPr>
            <w:r>
              <w:t>&lt; 0.001</w:t>
            </w:r>
          </w:p>
        </w:tc>
        <w:tc>
          <w:tcPr>
            <w:tcW w:w="1552" w:type="dxa"/>
          </w:tcPr>
          <w:p w:rsidR="00457196" w:rsidRDefault="00346252" w:rsidP="00092A0A">
            <w:pPr>
              <w:pStyle w:val="TableParagraph"/>
              <w:spacing w:line="232" w:lineRule="exact"/>
              <w:ind w:right="20"/>
              <w:jc w:val="center"/>
            </w:pPr>
            <w:r>
              <w:t>-</w:t>
            </w:r>
          </w:p>
        </w:tc>
      </w:tr>
      <w:tr w:rsidR="00457196">
        <w:trPr>
          <w:trHeight w:val="254"/>
        </w:trPr>
        <w:tc>
          <w:tcPr>
            <w:tcW w:w="1577" w:type="dxa"/>
          </w:tcPr>
          <w:p w:rsidR="00457196" w:rsidRDefault="00346252" w:rsidP="00092A0A">
            <w:pPr>
              <w:pStyle w:val="TableParagraph"/>
              <w:spacing w:line="234" w:lineRule="exact"/>
              <w:ind w:left="391" w:right="20"/>
            </w:pPr>
            <w:r>
              <w:t>Final</w:t>
            </w:r>
          </w:p>
        </w:tc>
        <w:tc>
          <w:tcPr>
            <w:tcW w:w="1556" w:type="dxa"/>
          </w:tcPr>
          <w:p w:rsidR="00457196" w:rsidRDefault="00346252" w:rsidP="00092A0A">
            <w:pPr>
              <w:pStyle w:val="TableParagraph"/>
              <w:spacing w:line="234" w:lineRule="exact"/>
              <w:ind w:left="23" w:right="20"/>
              <w:jc w:val="center"/>
            </w:pPr>
            <w:r>
              <w:t>22.9 (10.9, 28.0)</w:t>
            </w:r>
          </w:p>
        </w:tc>
        <w:tc>
          <w:tcPr>
            <w:tcW w:w="1563" w:type="dxa"/>
          </w:tcPr>
          <w:p w:rsidR="00457196" w:rsidRDefault="00346252" w:rsidP="00092A0A">
            <w:pPr>
              <w:pStyle w:val="TableParagraph"/>
              <w:spacing w:line="234" w:lineRule="exact"/>
              <w:ind w:left="25" w:right="20"/>
              <w:jc w:val="center"/>
            </w:pPr>
            <w:r>
              <w:t>6.0 (4.4, 9.7)</w:t>
            </w:r>
          </w:p>
        </w:tc>
        <w:tc>
          <w:tcPr>
            <w:tcW w:w="1907" w:type="dxa"/>
          </w:tcPr>
          <w:p w:rsidR="00457196" w:rsidRDefault="00346252" w:rsidP="00092A0A">
            <w:pPr>
              <w:pStyle w:val="TableParagraph"/>
              <w:spacing w:line="234" w:lineRule="exact"/>
              <w:ind w:left="96" w:right="20"/>
              <w:jc w:val="center"/>
            </w:pPr>
            <w:r>
              <w:t>0.347 (0.253, 0.475)</w:t>
            </w:r>
          </w:p>
        </w:tc>
        <w:tc>
          <w:tcPr>
            <w:tcW w:w="914" w:type="dxa"/>
          </w:tcPr>
          <w:p w:rsidR="00457196" w:rsidRDefault="00346252" w:rsidP="00092A0A">
            <w:pPr>
              <w:pStyle w:val="TableParagraph"/>
              <w:spacing w:line="234" w:lineRule="exact"/>
              <w:ind w:left="82" w:right="20"/>
              <w:jc w:val="center"/>
            </w:pPr>
            <w:r>
              <w:t>&lt; 0.001</w:t>
            </w:r>
          </w:p>
        </w:tc>
        <w:tc>
          <w:tcPr>
            <w:tcW w:w="1552" w:type="dxa"/>
          </w:tcPr>
          <w:p w:rsidR="00457196" w:rsidRDefault="00346252" w:rsidP="00092A0A">
            <w:pPr>
              <w:pStyle w:val="TableParagraph"/>
              <w:spacing w:line="234" w:lineRule="exact"/>
              <w:ind w:right="20"/>
              <w:jc w:val="center"/>
            </w:pPr>
            <w:r>
              <w:t>-</w:t>
            </w:r>
          </w:p>
        </w:tc>
      </w:tr>
      <w:tr w:rsidR="00457196">
        <w:trPr>
          <w:trHeight w:val="251"/>
        </w:trPr>
        <w:tc>
          <w:tcPr>
            <w:tcW w:w="1577" w:type="dxa"/>
          </w:tcPr>
          <w:p w:rsidR="00457196" w:rsidRDefault="00346252" w:rsidP="00092A0A">
            <w:pPr>
              <w:pStyle w:val="TableParagraph"/>
              <w:spacing w:line="232" w:lineRule="exact"/>
              <w:ind w:left="249" w:right="20"/>
            </w:pPr>
            <w:r>
              <w:t>ORR (%)</w:t>
            </w:r>
            <w:r>
              <w:rPr>
                <w:vertAlign w:val="superscript"/>
              </w:rPr>
              <w:t>d</w:t>
            </w:r>
          </w:p>
        </w:tc>
        <w:tc>
          <w:tcPr>
            <w:tcW w:w="7492" w:type="dxa"/>
            <w:gridSpan w:val="5"/>
          </w:tcPr>
          <w:p w:rsidR="00457196" w:rsidRDefault="00457196" w:rsidP="00092A0A">
            <w:pPr>
              <w:pStyle w:val="TableParagraph"/>
              <w:ind w:right="20"/>
              <w:rPr>
                <w:sz w:val="18"/>
              </w:rPr>
            </w:pPr>
          </w:p>
        </w:tc>
      </w:tr>
      <w:tr w:rsidR="00457196">
        <w:trPr>
          <w:trHeight w:val="253"/>
        </w:trPr>
        <w:tc>
          <w:tcPr>
            <w:tcW w:w="1577" w:type="dxa"/>
          </w:tcPr>
          <w:p w:rsidR="00457196" w:rsidRDefault="00346252" w:rsidP="00092A0A">
            <w:pPr>
              <w:pStyle w:val="TableParagraph"/>
              <w:spacing w:before="1" w:line="233" w:lineRule="exact"/>
              <w:ind w:left="395" w:right="20"/>
            </w:pPr>
            <w:r>
              <w:t>Interim</w:t>
            </w:r>
          </w:p>
        </w:tc>
        <w:tc>
          <w:tcPr>
            <w:tcW w:w="1556" w:type="dxa"/>
          </w:tcPr>
          <w:p w:rsidR="00457196" w:rsidRDefault="00346252" w:rsidP="00092A0A">
            <w:pPr>
              <w:pStyle w:val="TableParagraph"/>
              <w:spacing w:before="1" w:line="233" w:lineRule="exact"/>
              <w:ind w:left="23" w:right="20"/>
              <w:jc w:val="center"/>
            </w:pPr>
            <w:r>
              <w:t>6.8 (3.7, 11.1)</w:t>
            </w:r>
          </w:p>
        </w:tc>
        <w:tc>
          <w:tcPr>
            <w:tcW w:w="1563" w:type="dxa"/>
          </w:tcPr>
          <w:p w:rsidR="00457196" w:rsidRDefault="00346252" w:rsidP="00092A0A">
            <w:pPr>
              <w:pStyle w:val="TableParagraph"/>
              <w:spacing w:before="1" w:line="233" w:lineRule="exact"/>
              <w:ind w:left="22" w:right="20"/>
              <w:jc w:val="center"/>
            </w:pPr>
            <w:r>
              <w:t>0 (-)</w:t>
            </w:r>
          </w:p>
        </w:tc>
        <w:tc>
          <w:tcPr>
            <w:tcW w:w="1907" w:type="dxa"/>
          </w:tcPr>
          <w:p w:rsidR="00457196" w:rsidRDefault="00346252" w:rsidP="00092A0A">
            <w:pPr>
              <w:pStyle w:val="TableParagraph"/>
              <w:spacing w:before="1" w:line="233" w:lineRule="exact"/>
              <w:ind w:left="93" w:right="20"/>
              <w:jc w:val="center"/>
            </w:pPr>
            <w:r>
              <w:t>NA</w:t>
            </w:r>
          </w:p>
        </w:tc>
        <w:tc>
          <w:tcPr>
            <w:tcW w:w="914" w:type="dxa"/>
          </w:tcPr>
          <w:p w:rsidR="00457196" w:rsidRDefault="00346252" w:rsidP="00092A0A">
            <w:pPr>
              <w:pStyle w:val="TableParagraph"/>
              <w:spacing w:before="1" w:line="233" w:lineRule="exact"/>
              <w:ind w:left="83" w:right="20"/>
              <w:jc w:val="center"/>
            </w:pPr>
            <w:r>
              <w:t>0.006</w:t>
            </w:r>
          </w:p>
        </w:tc>
        <w:tc>
          <w:tcPr>
            <w:tcW w:w="1552" w:type="dxa"/>
          </w:tcPr>
          <w:p w:rsidR="00457196" w:rsidRDefault="00346252" w:rsidP="00092A0A">
            <w:pPr>
              <w:pStyle w:val="TableParagraph"/>
              <w:spacing w:before="1" w:line="233" w:lineRule="exact"/>
              <w:ind w:right="20"/>
              <w:jc w:val="center"/>
            </w:pPr>
            <w:r>
              <w:t>-</w:t>
            </w:r>
          </w:p>
        </w:tc>
      </w:tr>
      <w:tr w:rsidR="00457196">
        <w:trPr>
          <w:trHeight w:val="506"/>
        </w:trPr>
        <w:tc>
          <w:tcPr>
            <w:tcW w:w="1577" w:type="dxa"/>
          </w:tcPr>
          <w:p w:rsidR="00457196" w:rsidRDefault="00346252" w:rsidP="00092A0A">
            <w:pPr>
              <w:pStyle w:val="TableParagraph"/>
              <w:spacing w:line="251" w:lineRule="exact"/>
              <w:ind w:left="395" w:right="20"/>
            </w:pPr>
            <w:r>
              <w:t>Final</w:t>
            </w:r>
          </w:p>
        </w:tc>
        <w:tc>
          <w:tcPr>
            <w:tcW w:w="1556" w:type="dxa"/>
          </w:tcPr>
          <w:p w:rsidR="00457196" w:rsidRDefault="00346252" w:rsidP="00092A0A">
            <w:pPr>
              <w:pStyle w:val="TableParagraph"/>
              <w:spacing w:line="251" w:lineRule="exact"/>
              <w:ind w:left="23" w:right="20"/>
              <w:jc w:val="center"/>
            </w:pPr>
            <w:r>
              <w:t>6.6 (3.8, 10.5)</w:t>
            </w:r>
          </w:p>
        </w:tc>
        <w:tc>
          <w:tcPr>
            <w:tcW w:w="1563" w:type="dxa"/>
          </w:tcPr>
          <w:p w:rsidR="00457196" w:rsidRDefault="00346252" w:rsidP="00092A0A">
            <w:pPr>
              <w:pStyle w:val="TableParagraph"/>
              <w:spacing w:line="251" w:lineRule="exact"/>
              <w:ind w:left="22" w:right="20"/>
              <w:jc w:val="center"/>
            </w:pPr>
            <w:r>
              <w:t>0 (-)</w:t>
            </w:r>
          </w:p>
        </w:tc>
        <w:tc>
          <w:tcPr>
            <w:tcW w:w="1907" w:type="dxa"/>
          </w:tcPr>
          <w:p w:rsidR="00457196" w:rsidRDefault="00346252" w:rsidP="00092A0A">
            <w:pPr>
              <w:pStyle w:val="TableParagraph"/>
              <w:spacing w:line="251" w:lineRule="exact"/>
              <w:ind w:left="93" w:right="20"/>
              <w:jc w:val="center"/>
            </w:pPr>
            <w:r>
              <w:t>NA</w:t>
            </w:r>
          </w:p>
        </w:tc>
        <w:tc>
          <w:tcPr>
            <w:tcW w:w="914" w:type="dxa"/>
          </w:tcPr>
          <w:p w:rsidR="00457196" w:rsidRDefault="00346252" w:rsidP="00092A0A">
            <w:pPr>
              <w:pStyle w:val="TableParagraph"/>
              <w:spacing w:line="251" w:lineRule="exact"/>
              <w:ind w:left="83" w:right="20"/>
              <w:jc w:val="center"/>
            </w:pPr>
            <w:r>
              <w:t>0.004</w:t>
            </w:r>
          </w:p>
        </w:tc>
        <w:tc>
          <w:tcPr>
            <w:tcW w:w="1552" w:type="dxa"/>
          </w:tcPr>
          <w:p w:rsidR="00457196" w:rsidRDefault="00346252" w:rsidP="00092A0A">
            <w:pPr>
              <w:pStyle w:val="TableParagraph"/>
              <w:spacing w:line="251" w:lineRule="exact"/>
              <w:ind w:left="285" w:right="20"/>
              <w:jc w:val="center"/>
            </w:pPr>
            <w:r>
              <w:t>10.1 (5.0,</w:t>
            </w:r>
          </w:p>
          <w:p w:rsidR="00457196" w:rsidRDefault="00346252" w:rsidP="00092A0A">
            <w:pPr>
              <w:pStyle w:val="TableParagraph"/>
              <w:spacing w:before="1" w:line="233" w:lineRule="exact"/>
              <w:ind w:left="286" w:right="20"/>
              <w:jc w:val="center"/>
            </w:pPr>
            <w:r>
              <w:t>17.8)</w:t>
            </w:r>
          </w:p>
        </w:tc>
      </w:tr>
      <w:tr w:rsidR="00457196">
        <w:trPr>
          <w:trHeight w:val="253"/>
        </w:trPr>
        <w:tc>
          <w:tcPr>
            <w:tcW w:w="1577" w:type="dxa"/>
          </w:tcPr>
          <w:p w:rsidR="00457196" w:rsidRDefault="00346252" w:rsidP="00092A0A">
            <w:pPr>
              <w:pStyle w:val="TableParagraph"/>
              <w:spacing w:line="234" w:lineRule="exact"/>
              <w:ind w:right="20"/>
              <w:jc w:val="right"/>
            </w:pPr>
            <w:r>
              <w:t>OS (weeks)</w:t>
            </w:r>
            <w:r>
              <w:rPr>
                <w:vertAlign w:val="superscript"/>
              </w:rPr>
              <w:t>e</w:t>
            </w:r>
          </w:p>
        </w:tc>
        <w:tc>
          <w:tcPr>
            <w:tcW w:w="7492" w:type="dxa"/>
            <w:gridSpan w:val="5"/>
          </w:tcPr>
          <w:p w:rsidR="00457196" w:rsidRDefault="00457196" w:rsidP="00092A0A">
            <w:pPr>
              <w:pStyle w:val="TableParagraph"/>
              <w:ind w:right="20"/>
              <w:rPr>
                <w:sz w:val="18"/>
              </w:rPr>
            </w:pPr>
          </w:p>
        </w:tc>
      </w:tr>
      <w:tr w:rsidR="00457196">
        <w:trPr>
          <w:trHeight w:val="251"/>
        </w:trPr>
        <w:tc>
          <w:tcPr>
            <w:tcW w:w="1577" w:type="dxa"/>
          </w:tcPr>
          <w:p w:rsidR="00457196" w:rsidRDefault="00346252" w:rsidP="00092A0A">
            <w:pPr>
              <w:pStyle w:val="TableParagraph"/>
              <w:spacing w:line="232" w:lineRule="exact"/>
              <w:ind w:left="395" w:right="20"/>
            </w:pPr>
            <w:r>
              <w:t>Interim</w:t>
            </w:r>
          </w:p>
        </w:tc>
        <w:tc>
          <w:tcPr>
            <w:tcW w:w="1556" w:type="dxa"/>
          </w:tcPr>
          <w:p w:rsidR="00457196" w:rsidRDefault="00346252" w:rsidP="00092A0A">
            <w:pPr>
              <w:pStyle w:val="TableParagraph"/>
              <w:spacing w:line="232" w:lineRule="exact"/>
              <w:ind w:left="6" w:right="20"/>
              <w:jc w:val="center"/>
            </w:pPr>
            <w:r>
              <w:t>-</w:t>
            </w:r>
          </w:p>
        </w:tc>
        <w:tc>
          <w:tcPr>
            <w:tcW w:w="1563" w:type="dxa"/>
          </w:tcPr>
          <w:p w:rsidR="00457196" w:rsidRDefault="00346252" w:rsidP="00092A0A">
            <w:pPr>
              <w:pStyle w:val="TableParagraph"/>
              <w:spacing w:line="232" w:lineRule="exact"/>
              <w:ind w:left="7" w:right="20"/>
              <w:jc w:val="center"/>
            </w:pPr>
            <w:r>
              <w:t>-</w:t>
            </w:r>
          </w:p>
        </w:tc>
        <w:tc>
          <w:tcPr>
            <w:tcW w:w="1907" w:type="dxa"/>
          </w:tcPr>
          <w:p w:rsidR="00457196" w:rsidRDefault="00346252" w:rsidP="00092A0A">
            <w:pPr>
              <w:pStyle w:val="TableParagraph"/>
              <w:spacing w:line="232" w:lineRule="exact"/>
              <w:ind w:left="96" w:right="20"/>
              <w:jc w:val="center"/>
            </w:pPr>
            <w:r>
              <w:t>0.491 (0.290, 0.831)</w:t>
            </w:r>
          </w:p>
        </w:tc>
        <w:tc>
          <w:tcPr>
            <w:tcW w:w="914" w:type="dxa"/>
          </w:tcPr>
          <w:p w:rsidR="00457196" w:rsidRDefault="00346252" w:rsidP="00092A0A">
            <w:pPr>
              <w:pStyle w:val="TableParagraph"/>
              <w:spacing w:line="232" w:lineRule="exact"/>
              <w:ind w:left="83" w:right="20"/>
              <w:jc w:val="center"/>
            </w:pPr>
            <w:r>
              <w:t>0.007</w:t>
            </w:r>
          </w:p>
        </w:tc>
        <w:tc>
          <w:tcPr>
            <w:tcW w:w="1552" w:type="dxa"/>
          </w:tcPr>
          <w:p w:rsidR="00457196" w:rsidRDefault="00346252" w:rsidP="00092A0A">
            <w:pPr>
              <w:pStyle w:val="TableParagraph"/>
              <w:spacing w:line="232" w:lineRule="exact"/>
              <w:ind w:right="20"/>
              <w:jc w:val="center"/>
            </w:pPr>
            <w:r>
              <w:t>-</w:t>
            </w:r>
          </w:p>
        </w:tc>
      </w:tr>
      <w:tr w:rsidR="00457196">
        <w:trPr>
          <w:trHeight w:val="254"/>
        </w:trPr>
        <w:tc>
          <w:tcPr>
            <w:tcW w:w="1577" w:type="dxa"/>
          </w:tcPr>
          <w:p w:rsidR="00457196" w:rsidRDefault="00346252" w:rsidP="00092A0A">
            <w:pPr>
              <w:pStyle w:val="TableParagraph"/>
              <w:spacing w:line="235" w:lineRule="exact"/>
              <w:ind w:left="395" w:right="20"/>
            </w:pPr>
            <w:r>
              <w:t>Final</w:t>
            </w:r>
          </w:p>
        </w:tc>
        <w:tc>
          <w:tcPr>
            <w:tcW w:w="1556" w:type="dxa"/>
          </w:tcPr>
          <w:p w:rsidR="00457196" w:rsidRDefault="00346252" w:rsidP="00092A0A">
            <w:pPr>
              <w:pStyle w:val="TableParagraph"/>
              <w:spacing w:line="235" w:lineRule="exact"/>
              <w:ind w:left="23" w:right="20"/>
              <w:jc w:val="center"/>
            </w:pPr>
            <w:r>
              <w:t>72.7 (61.3, 83.0)</w:t>
            </w:r>
          </w:p>
        </w:tc>
        <w:tc>
          <w:tcPr>
            <w:tcW w:w="1563" w:type="dxa"/>
          </w:tcPr>
          <w:p w:rsidR="00457196" w:rsidRDefault="00346252" w:rsidP="00092A0A">
            <w:pPr>
              <w:pStyle w:val="TableParagraph"/>
              <w:spacing w:line="235" w:lineRule="exact"/>
              <w:ind w:left="27" w:right="20"/>
              <w:jc w:val="center"/>
            </w:pPr>
            <w:r>
              <w:t>64.9 (45.7, 96.0)</w:t>
            </w:r>
          </w:p>
        </w:tc>
        <w:tc>
          <w:tcPr>
            <w:tcW w:w="1907" w:type="dxa"/>
          </w:tcPr>
          <w:p w:rsidR="00457196" w:rsidRDefault="00346252" w:rsidP="00092A0A">
            <w:pPr>
              <w:pStyle w:val="TableParagraph"/>
              <w:spacing w:line="235" w:lineRule="exact"/>
              <w:ind w:left="96" w:right="20"/>
              <w:jc w:val="center"/>
            </w:pPr>
            <w:r>
              <w:t>0.876 (0.679, 1.129)</w:t>
            </w:r>
          </w:p>
        </w:tc>
        <w:tc>
          <w:tcPr>
            <w:tcW w:w="914" w:type="dxa"/>
          </w:tcPr>
          <w:p w:rsidR="00457196" w:rsidRDefault="00346252" w:rsidP="00092A0A">
            <w:pPr>
              <w:pStyle w:val="TableParagraph"/>
              <w:spacing w:line="235" w:lineRule="exact"/>
              <w:ind w:left="83" w:right="20"/>
              <w:jc w:val="center"/>
            </w:pPr>
            <w:r>
              <w:t>0.306</w:t>
            </w:r>
          </w:p>
        </w:tc>
        <w:tc>
          <w:tcPr>
            <w:tcW w:w="1552" w:type="dxa"/>
          </w:tcPr>
          <w:p w:rsidR="00457196" w:rsidRDefault="00346252" w:rsidP="00092A0A">
            <w:pPr>
              <w:pStyle w:val="TableParagraph"/>
              <w:spacing w:line="235" w:lineRule="exact"/>
              <w:ind w:right="20"/>
              <w:jc w:val="center"/>
            </w:pPr>
            <w:r>
              <w:t>-</w:t>
            </w:r>
          </w:p>
        </w:tc>
      </w:tr>
    </w:tbl>
    <w:p w:rsidR="00457196" w:rsidRDefault="00346252" w:rsidP="00092A0A">
      <w:pPr>
        <w:ind w:left="351" w:right="20"/>
        <w:rPr>
          <w:sz w:val="20"/>
        </w:rPr>
      </w:pPr>
      <w:r>
        <w:rPr>
          <w:sz w:val="20"/>
        </w:rPr>
        <w:t>Abbreviations: CI=confidence interval; ITT=intent-to-treat; NA=not applicable; ORR=objective response rate; OS=overall survival; PFS=progression-free survival; TTP=time-to-tumour progression.</w:t>
      </w:r>
    </w:p>
    <w:p w:rsidR="00457196" w:rsidRDefault="00346252" w:rsidP="00092A0A">
      <w:pPr>
        <w:tabs>
          <w:tab w:val="left" w:pos="711"/>
        </w:tabs>
        <w:ind w:left="711" w:right="20" w:hanging="360"/>
        <w:rPr>
          <w:sz w:val="20"/>
        </w:rPr>
      </w:pPr>
      <w:r>
        <w:rPr>
          <w:sz w:val="20"/>
          <w:vertAlign w:val="superscript"/>
        </w:rPr>
        <w:t>a</w:t>
      </w:r>
      <w:r>
        <w:rPr>
          <w:sz w:val="20"/>
        </w:rPr>
        <w:tab/>
        <w:t>Results of double-blind treatment are from the ITT population and using central</w:t>
      </w:r>
      <w:r>
        <w:rPr>
          <w:spacing w:val="-34"/>
          <w:sz w:val="20"/>
        </w:rPr>
        <w:t xml:space="preserve"> </w:t>
      </w:r>
      <w:r>
        <w:rPr>
          <w:sz w:val="20"/>
        </w:rPr>
        <w:t>radiologist measurement, as</w:t>
      </w:r>
      <w:r>
        <w:rPr>
          <w:spacing w:val="-2"/>
          <w:sz w:val="20"/>
        </w:rPr>
        <w:t xml:space="preserve"> </w:t>
      </w:r>
      <w:r>
        <w:rPr>
          <w:sz w:val="20"/>
        </w:rPr>
        <w:t>appropriate.</w:t>
      </w:r>
    </w:p>
    <w:p w:rsidR="00457196" w:rsidRDefault="00346252" w:rsidP="00092A0A">
      <w:pPr>
        <w:tabs>
          <w:tab w:val="left" w:pos="711"/>
        </w:tabs>
        <w:ind w:left="711" w:right="20" w:hanging="360"/>
        <w:rPr>
          <w:sz w:val="20"/>
        </w:rPr>
      </w:pPr>
      <w:r>
        <w:rPr>
          <w:sz w:val="20"/>
          <w:vertAlign w:val="superscript"/>
        </w:rPr>
        <w:t>b</w:t>
      </w:r>
      <w:r>
        <w:rPr>
          <w:sz w:val="20"/>
        </w:rPr>
        <w:tab/>
        <w:t xml:space="preserve">Efficacy results for the 99 subjects </w:t>
      </w:r>
      <w:r>
        <w:rPr>
          <w:spacing w:val="-3"/>
          <w:sz w:val="20"/>
        </w:rPr>
        <w:t xml:space="preserve">who </w:t>
      </w:r>
      <w:r>
        <w:rPr>
          <w:sz w:val="20"/>
        </w:rPr>
        <w:t xml:space="preserve">crossed over from placebo to </w:t>
      </w:r>
      <w:r w:rsidR="00DF353E">
        <w:rPr>
          <w:sz w:val="20"/>
        </w:rPr>
        <w:t>sunitinib</w:t>
      </w:r>
      <w:r w:rsidR="006537F0">
        <w:rPr>
          <w:sz w:val="20"/>
        </w:rPr>
        <w:t xml:space="preserve"> </w:t>
      </w:r>
      <w:r>
        <w:rPr>
          <w:sz w:val="20"/>
        </w:rPr>
        <w:t>after unblinding. Baseline was reset at cross-over and efficacy analyses were based on investigators</w:t>
      </w:r>
      <w:r>
        <w:rPr>
          <w:spacing w:val="-11"/>
          <w:sz w:val="20"/>
        </w:rPr>
        <w:t xml:space="preserve"> </w:t>
      </w:r>
      <w:r>
        <w:rPr>
          <w:sz w:val="20"/>
        </w:rPr>
        <w:t>assessment.</w:t>
      </w:r>
    </w:p>
    <w:p w:rsidR="00457196" w:rsidRDefault="00346252" w:rsidP="00092A0A">
      <w:pPr>
        <w:tabs>
          <w:tab w:val="left" w:pos="711"/>
        </w:tabs>
        <w:spacing w:line="229" w:lineRule="exact"/>
        <w:ind w:left="351" w:right="20"/>
        <w:rPr>
          <w:sz w:val="20"/>
        </w:rPr>
      </w:pPr>
      <w:r>
        <w:rPr>
          <w:sz w:val="20"/>
          <w:vertAlign w:val="superscript"/>
        </w:rPr>
        <w:t>c</w:t>
      </w:r>
      <w:r>
        <w:rPr>
          <w:sz w:val="20"/>
        </w:rPr>
        <w:tab/>
        <w:t>The interim PFS numbers have been updated based on a recalculation of the original</w:t>
      </w:r>
      <w:r>
        <w:rPr>
          <w:spacing w:val="-15"/>
          <w:sz w:val="20"/>
        </w:rPr>
        <w:t xml:space="preserve"> </w:t>
      </w:r>
      <w:r>
        <w:rPr>
          <w:spacing w:val="2"/>
          <w:sz w:val="20"/>
        </w:rPr>
        <w:t>data.</w:t>
      </w:r>
    </w:p>
    <w:p w:rsidR="00457196" w:rsidRDefault="00346252" w:rsidP="00092A0A">
      <w:pPr>
        <w:tabs>
          <w:tab w:val="left" w:pos="711"/>
        </w:tabs>
        <w:spacing w:line="229" w:lineRule="exact"/>
        <w:ind w:left="351" w:right="20"/>
        <w:rPr>
          <w:sz w:val="20"/>
        </w:rPr>
      </w:pPr>
      <w:r>
        <w:rPr>
          <w:sz w:val="20"/>
          <w:vertAlign w:val="superscript"/>
        </w:rPr>
        <w:t>d</w:t>
      </w:r>
      <w:r>
        <w:rPr>
          <w:sz w:val="20"/>
        </w:rPr>
        <w:tab/>
        <w:t>Results for ORR are given as percent of subjects with confirmed response with the 95%</w:t>
      </w:r>
      <w:r>
        <w:rPr>
          <w:spacing w:val="-9"/>
          <w:sz w:val="20"/>
        </w:rPr>
        <w:t xml:space="preserve"> </w:t>
      </w:r>
      <w:r>
        <w:rPr>
          <w:sz w:val="20"/>
        </w:rPr>
        <w:t>CI.</w:t>
      </w:r>
    </w:p>
    <w:p w:rsidR="00457196" w:rsidRDefault="00346252" w:rsidP="00092A0A">
      <w:pPr>
        <w:tabs>
          <w:tab w:val="left" w:pos="711"/>
        </w:tabs>
        <w:spacing w:before="1"/>
        <w:ind w:left="351" w:right="20"/>
        <w:rPr>
          <w:sz w:val="20"/>
        </w:rPr>
      </w:pPr>
      <w:r>
        <w:rPr>
          <w:sz w:val="20"/>
          <w:vertAlign w:val="superscript"/>
        </w:rPr>
        <w:t>e</w:t>
      </w:r>
      <w:r>
        <w:rPr>
          <w:sz w:val="20"/>
        </w:rPr>
        <w:tab/>
        <w:t>Median not achieved because the data were not yet</w:t>
      </w:r>
      <w:r>
        <w:rPr>
          <w:spacing w:val="9"/>
          <w:sz w:val="20"/>
        </w:rPr>
        <w:t xml:space="preserve"> </w:t>
      </w:r>
      <w:r>
        <w:rPr>
          <w:sz w:val="20"/>
        </w:rPr>
        <w:t>mature.</w:t>
      </w:r>
    </w:p>
    <w:p w:rsidR="00457196" w:rsidRDefault="00457196" w:rsidP="00092A0A">
      <w:pPr>
        <w:pStyle w:val="BodyText"/>
        <w:spacing w:before="11"/>
        <w:ind w:right="20"/>
        <w:rPr>
          <w:sz w:val="21"/>
        </w:rPr>
      </w:pPr>
    </w:p>
    <w:p w:rsidR="00457196" w:rsidRDefault="00346252" w:rsidP="00092A0A">
      <w:pPr>
        <w:pStyle w:val="BodyText"/>
        <w:ind w:left="238" w:right="20"/>
        <w:jc w:val="both"/>
      </w:pPr>
      <w:r>
        <w:t>Median OS in the ITT population was 72.7 weeks and 64.9 weeks (HR: 0.876; 95% CI: 0.679, 1.129; p=0.306), in the sunitinib and placebo arms, respectively. In this analysis, the placebo arm included those patients randomised to placebo who subsequently received open-label sunitinib treatment.</w:t>
      </w:r>
    </w:p>
    <w:p w:rsidR="00457196" w:rsidRDefault="00457196" w:rsidP="00092A0A">
      <w:pPr>
        <w:pStyle w:val="BodyText"/>
        <w:spacing w:before="10"/>
        <w:ind w:right="20"/>
        <w:jc w:val="both"/>
        <w:rPr>
          <w:sz w:val="21"/>
        </w:rPr>
      </w:pPr>
    </w:p>
    <w:p w:rsidR="00457196" w:rsidRDefault="00346252" w:rsidP="00092A0A">
      <w:pPr>
        <w:spacing w:before="1"/>
        <w:ind w:left="238" w:right="20"/>
        <w:jc w:val="both"/>
        <w:rPr>
          <w:i/>
        </w:rPr>
      </w:pPr>
      <w:r>
        <w:rPr>
          <w:i/>
        </w:rPr>
        <w:t>Treatment-naïve metastatic renal cell carcinoma</w:t>
      </w:r>
    </w:p>
    <w:p w:rsidR="00457196" w:rsidRDefault="00346252" w:rsidP="00092A0A">
      <w:pPr>
        <w:pStyle w:val="BodyText"/>
        <w:spacing w:before="1"/>
        <w:ind w:left="238" w:right="20"/>
        <w:jc w:val="both"/>
      </w:pPr>
      <w:r>
        <w:t>A Phase 3, randomised, multi-centre, international study evaluating the efficacy and safety of sunitinib compared with IFN-</w:t>
      </w:r>
      <w:r>
        <w:rPr>
          <w:rFonts w:ascii="Symbol" w:hAnsi="Symbol"/>
        </w:rPr>
        <w:t></w:t>
      </w:r>
      <w:r>
        <w:t xml:space="preserve"> in treatment-naïve MRCC patients was conducted. Seven hundred and fifty patients were randomised 1:1 to the treatment arms; they received treatment with either sunitinib in repeated 6-week cycles, consisting of 4 weeks of 50 mg daily oral administration followed by 2 weeks</w:t>
      </w:r>
      <w:r w:rsidR="00C241F3">
        <w:t xml:space="preserve"> </w:t>
      </w:r>
      <w:r>
        <w:t>of rest (Schedule 4/2), or IFN-α, administered as a subcutaneous injection of 3 million units (MU) the first week, 6 MU the second week, and 9 MU the third week and thereafter, on 3 nonconsecutive days each week.</w:t>
      </w:r>
    </w:p>
    <w:p w:rsidR="00457196" w:rsidRDefault="00457196" w:rsidP="00092A0A">
      <w:pPr>
        <w:pStyle w:val="BodyText"/>
        <w:spacing w:before="1"/>
        <w:ind w:right="20"/>
        <w:jc w:val="both"/>
      </w:pPr>
    </w:p>
    <w:p w:rsidR="00457196" w:rsidRDefault="00346252" w:rsidP="00DC32D3">
      <w:pPr>
        <w:pStyle w:val="BodyText"/>
        <w:spacing w:before="1"/>
        <w:ind w:left="238" w:right="20"/>
        <w:jc w:val="both"/>
      </w:pPr>
      <w:r>
        <w:t>The median duration of treatment was 11.1 months (range: 0.4-46.1) for sunitinib treatment and</w:t>
      </w:r>
      <w:r w:rsidR="00DC32D3">
        <w:t xml:space="preserve"> </w:t>
      </w:r>
      <w:r>
        <w:t xml:space="preserve">4.1 months (range: 0.1-45.6) for IFN-α treatment. Treatment-related serious adverse events (TRSAEs) were reported in 23.7% of patients receiving sunitinib and in 6.9% of patients receiving IFN-α. However, the discontinuation rates due to adverse events were 20% for sunitinib and 23% for IFN-α. Dose interruptions occurred in 202 patients (54%) on sunitinib and 141 patients (39%) on IFN-α. Dose reductions occurred in 194 patients (52%) on sunitinib and 98 patients (27%) on IFN-α. Patients were </w:t>
      </w:r>
      <w:r w:rsidR="00A3101A">
        <w:t>t</w:t>
      </w:r>
      <w:r>
        <w:t>reated until disease progression or withdrawal from the study. The primary efficacy endpoint was PFS. A planned interim analysis showed a statistically significant advantage for sunitinib over IFN-α, in this study, the median PFS for the sunitinib-treated group was 47.3 weeks, compared with</w:t>
      </w:r>
      <w:r w:rsidR="00DC32D3">
        <w:t xml:space="preserve"> </w:t>
      </w:r>
      <w:r>
        <w:t>22.0 weeks for the IFN-α-treated group; the HR was 0.415 (95% CI: 0.320, 0.539; p-value &lt; 0.001). Other endpoints included ORR, OS, and safety. Core radiology assessment was discontinued after the primary endpoint had been met. At the final analysis, the ORR as determined by the investigator’s assessment was 46% (95% CI: 41%, 51%) for the sunitinib arm and 12.0% (95% CI: 9%, 16%) for the IFN-α arm (p&lt;0.001).</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Sunitinib treatment was associated with longer survival compared to IFN-α. The median OS was</w:t>
      </w:r>
      <w:r w:rsidR="00DC32D3">
        <w:t xml:space="preserve"> </w:t>
      </w:r>
      <w:r>
        <w:t>114.6 weeks for the sunitinib arm (95% CI: 100.1, 142.9) and 94.9 weeks for the IFN-α arm</w:t>
      </w:r>
      <w:r w:rsidR="00DC32D3">
        <w:t xml:space="preserve"> </w:t>
      </w:r>
      <w:r>
        <w:t>(95% CI: 77.7, 117.0) with a hazard ratio of 0.821 (95% CI: 0.673, 1.001; p=0.0510 by unstratified log-rank).</w:t>
      </w:r>
    </w:p>
    <w:p w:rsidR="00457196" w:rsidRDefault="00457196" w:rsidP="00092A0A">
      <w:pPr>
        <w:pStyle w:val="BodyText"/>
        <w:spacing w:before="10"/>
        <w:ind w:right="20"/>
        <w:jc w:val="both"/>
        <w:rPr>
          <w:sz w:val="21"/>
        </w:rPr>
      </w:pPr>
    </w:p>
    <w:p w:rsidR="00457196" w:rsidRDefault="00346252" w:rsidP="00DC32D3">
      <w:pPr>
        <w:pStyle w:val="BodyText"/>
        <w:ind w:left="238" w:right="20"/>
        <w:jc w:val="both"/>
      </w:pPr>
      <w:r>
        <w:t>The overall PFS and OS, observed in the ITT population, as determined by the core radiology laboratory assessment, are summarised in Table 3.</w:t>
      </w:r>
    </w:p>
    <w:p w:rsidR="00DC32D3" w:rsidRDefault="00DC32D3" w:rsidP="00092A0A">
      <w:pPr>
        <w:pStyle w:val="BodyText"/>
        <w:spacing w:before="2"/>
        <w:ind w:right="20"/>
      </w:pPr>
    </w:p>
    <w:p w:rsidR="00457196" w:rsidRDefault="00346252" w:rsidP="00092A0A">
      <w:pPr>
        <w:pStyle w:val="Heading1"/>
        <w:tabs>
          <w:tab w:val="left" w:pos="1229"/>
        </w:tabs>
        <w:spacing w:before="1"/>
        <w:ind w:left="238" w:right="20"/>
      </w:pPr>
      <w:r>
        <w:t>Table</w:t>
      </w:r>
      <w:r>
        <w:rPr>
          <w:spacing w:val="1"/>
        </w:rPr>
        <w:t xml:space="preserve"> </w:t>
      </w:r>
      <w:r>
        <w:t>3.</w:t>
      </w:r>
      <w:r>
        <w:tab/>
        <w:t>Treatment-naïve mRCC summary of efficacy endpoints (ITT</w:t>
      </w:r>
      <w:r>
        <w:rPr>
          <w:spacing w:val="-12"/>
        </w:rPr>
        <w:t xml:space="preserve"> </w:t>
      </w:r>
      <w:r>
        <w:t>population)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2527"/>
        <w:gridCol w:w="2530"/>
      </w:tblGrid>
      <w:tr w:rsidR="00457196">
        <w:trPr>
          <w:trHeight w:val="522"/>
        </w:trPr>
        <w:tc>
          <w:tcPr>
            <w:tcW w:w="4258" w:type="dxa"/>
          </w:tcPr>
          <w:p w:rsidR="00457196" w:rsidRDefault="00457196" w:rsidP="00092A0A">
            <w:pPr>
              <w:pStyle w:val="TableParagraph"/>
              <w:spacing w:before="2"/>
              <w:ind w:right="20"/>
              <w:rPr>
                <w:b/>
                <w:sz w:val="23"/>
              </w:rPr>
            </w:pPr>
          </w:p>
          <w:p w:rsidR="00457196" w:rsidRDefault="00346252" w:rsidP="00092A0A">
            <w:pPr>
              <w:pStyle w:val="TableParagraph"/>
              <w:spacing w:line="236" w:lineRule="exact"/>
              <w:ind w:left="107" w:right="20"/>
              <w:rPr>
                <w:b/>
              </w:rPr>
            </w:pPr>
            <w:r>
              <w:rPr>
                <w:b/>
              </w:rPr>
              <w:t>Summary of progression-free survival</w:t>
            </w:r>
          </w:p>
        </w:tc>
        <w:tc>
          <w:tcPr>
            <w:tcW w:w="2527" w:type="dxa"/>
          </w:tcPr>
          <w:p w:rsidR="00DF353E" w:rsidRDefault="00346252" w:rsidP="00092A0A">
            <w:pPr>
              <w:pStyle w:val="TableParagraph"/>
              <w:spacing w:before="2" w:line="252" w:lineRule="exact"/>
              <w:ind w:left="830" w:right="20"/>
              <w:rPr>
                <w:b/>
              </w:rPr>
            </w:pPr>
            <w:r>
              <w:rPr>
                <w:b/>
              </w:rPr>
              <w:t xml:space="preserve">Sunitinib </w:t>
            </w:r>
          </w:p>
          <w:p w:rsidR="00457196" w:rsidRDefault="00346252" w:rsidP="00092A0A">
            <w:pPr>
              <w:pStyle w:val="TableParagraph"/>
              <w:spacing w:before="2" w:line="252" w:lineRule="exact"/>
              <w:ind w:left="830" w:right="20"/>
              <w:rPr>
                <w:b/>
              </w:rPr>
            </w:pPr>
            <w:r>
              <w:rPr>
                <w:b/>
              </w:rPr>
              <w:t>(N = 375)</w:t>
            </w:r>
          </w:p>
        </w:tc>
        <w:tc>
          <w:tcPr>
            <w:tcW w:w="2530" w:type="dxa"/>
          </w:tcPr>
          <w:p w:rsidR="00DF353E" w:rsidRDefault="00346252" w:rsidP="00092A0A">
            <w:pPr>
              <w:pStyle w:val="TableParagraph"/>
              <w:spacing w:before="19" w:line="252" w:lineRule="exact"/>
              <w:ind w:left="831" w:right="20" w:firstLine="139"/>
              <w:rPr>
                <w:b/>
              </w:rPr>
            </w:pPr>
            <w:r>
              <w:rPr>
                <w:b/>
              </w:rPr>
              <w:t>IFN-</w:t>
            </w:r>
            <w:r>
              <w:rPr>
                <w:rFonts w:ascii="Symbol" w:hAnsi="Symbol"/>
                <w:b/>
              </w:rPr>
              <w:t></w:t>
            </w:r>
            <w:r>
              <w:rPr>
                <w:b/>
              </w:rPr>
              <w:t xml:space="preserve"> </w:t>
            </w:r>
          </w:p>
          <w:p w:rsidR="00457196" w:rsidRDefault="00346252" w:rsidP="00092A0A">
            <w:pPr>
              <w:pStyle w:val="TableParagraph"/>
              <w:spacing w:before="19" w:line="252" w:lineRule="exact"/>
              <w:ind w:left="831" w:right="20" w:firstLine="139"/>
              <w:rPr>
                <w:b/>
              </w:rPr>
            </w:pPr>
            <w:r>
              <w:rPr>
                <w:b/>
              </w:rPr>
              <w:t>(N = 375)</w:t>
            </w:r>
          </w:p>
        </w:tc>
      </w:tr>
      <w:tr w:rsidR="00457196">
        <w:trPr>
          <w:trHeight w:val="251"/>
        </w:trPr>
        <w:tc>
          <w:tcPr>
            <w:tcW w:w="4258" w:type="dxa"/>
          </w:tcPr>
          <w:p w:rsidR="00457196" w:rsidRDefault="00346252" w:rsidP="00092A0A">
            <w:pPr>
              <w:pStyle w:val="TableParagraph"/>
              <w:spacing w:line="231" w:lineRule="exact"/>
              <w:ind w:left="107" w:right="20"/>
            </w:pPr>
            <w:r>
              <w:t>Subject did not progress or die [n (%)]</w:t>
            </w:r>
          </w:p>
        </w:tc>
        <w:tc>
          <w:tcPr>
            <w:tcW w:w="2527" w:type="dxa"/>
          </w:tcPr>
          <w:p w:rsidR="00457196" w:rsidRDefault="00346252" w:rsidP="00092A0A">
            <w:pPr>
              <w:pStyle w:val="TableParagraph"/>
              <w:spacing w:line="231" w:lineRule="exact"/>
              <w:ind w:left="346" w:right="20"/>
              <w:jc w:val="center"/>
            </w:pPr>
            <w:r>
              <w:t>161 (42.9)</w:t>
            </w:r>
          </w:p>
        </w:tc>
        <w:tc>
          <w:tcPr>
            <w:tcW w:w="2530" w:type="dxa"/>
          </w:tcPr>
          <w:p w:rsidR="00457196" w:rsidRDefault="00346252" w:rsidP="00092A0A">
            <w:pPr>
              <w:pStyle w:val="TableParagraph"/>
              <w:spacing w:line="231" w:lineRule="exact"/>
              <w:ind w:left="512" w:right="20"/>
              <w:jc w:val="center"/>
            </w:pPr>
            <w:r>
              <w:t>176 (46.9)</w:t>
            </w:r>
          </w:p>
        </w:tc>
      </w:tr>
      <w:tr w:rsidR="00457196">
        <w:trPr>
          <w:trHeight w:val="506"/>
        </w:trPr>
        <w:tc>
          <w:tcPr>
            <w:tcW w:w="4258" w:type="dxa"/>
          </w:tcPr>
          <w:p w:rsidR="00457196" w:rsidRDefault="00346252" w:rsidP="00092A0A">
            <w:pPr>
              <w:pStyle w:val="TableParagraph"/>
              <w:spacing w:before="4" w:line="252" w:lineRule="exact"/>
              <w:ind w:left="107" w:right="20"/>
            </w:pPr>
            <w:r>
              <w:t>Subject observed to have progressed or died [n (%)]</w:t>
            </w:r>
          </w:p>
        </w:tc>
        <w:tc>
          <w:tcPr>
            <w:tcW w:w="2527" w:type="dxa"/>
          </w:tcPr>
          <w:p w:rsidR="00457196" w:rsidRDefault="00346252" w:rsidP="00092A0A">
            <w:pPr>
              <w:pStyle w:val="TableParagraph"/>
              <w:spacing w:before="1"/>
              <w:ind w:left="346" w:right="20"/>
              <w:jc w:val="center"/>
            </w:pPr>
            <w:r>
              <w:t>214 (57.1)</w:t>
            </w:r>
          </w:p>
        </w:tc>
        <w:tc>
          <w:tcPr>
            <w:tcW w:w="2530" w:type="dxa"/>
          </w:tcPr>
          <w:p w:rsidR="00457196" w:rsidRDefault="00346252" w:rsidP="00092A0A">
            <w:pPr>
              <w:pStyle w:val="TableParagraph"/>
              <w:spacing w:before="1"/>
              <w:ind w:left="512" w:right="20"/>
              <w:jc w:val="center"/>
            </w:pPr>
            <w:r>
              <w:t>199 (53.1)</w:t>
            </w:r>
          </w:p>
        </w:tc>
      </w:tr>
      <w:tr w:rsidR="00457196">
        <w:trPr>
          <w:trHeight w:val="251"/>
        </w:trPr>
        <w:tc>
          <w:tcPr>
            <w:tcW w:w="9315" w:type="dxa"/>
            <w:gridSpan w:val="3"/>
          </w:tcPr>
          <w:p w:rsidR="00457196" w:rsidRDefault="00346252" w:rsidP="00092A0A">
            <w:pPr>
              <w:pStyle w:val="TableParagraph"/>
              <w:spacing w:line="232" w:lineRule="exact"/>
              <w:ind w:left="107" w:right="20"/>
            </w:pPr>
            <w:r>
              <w:t>PFS (weeks)</w:t>
            </w:r>
          </w:p>
        </w:tc>
      </w:tr>
      <w:tr w:rsidR="00457196">
        <w:trPr>
          <w:trHeight w:val="251"/>
        </w:trPr>
        <w:tc>
          <w:tcPr>
            <w:tcW w:w="9315" w:type="dxa"/>
            <w:gridSpan w:val="3"/>
          </w:tcPr>
          <w:p w:rsidR="00457196" w:rsidRDefault="00346252" w:rsidP="00092A0A">
            <w:pPr>
              <w:pStyle w:val="TableParagraph"/>
              <w:spacing w:line="232" w:lineRule="exact"/>
              <w:ind w:left="107" w:right="20"/>
            </w:pPr>
            <w:r>
              <w:t>Quartile (95% CI)</w:t>
            </w:r>
          </w:p>
        </w:tc>
      </w:tr>
      <w:tr w:rsidR="00457196">
        <w:trPr>
          <w:trHeight w:val="253"/>
        </w:trPr>
        <w:tc>
          <w:tcPr>
            <w:tcW w:w="4258" w:type="dxa"/>
          </w:tcPr>
          <w:p w:rsidR="00457196" w:rsidRDefault="00346252" w:rsidP="00092A0A">
            <w:pPr>
              <w:pStyle w:val="TableParagraph"/>
              <w:spacing w:before="1" w:line="233" w:lineRule="exact"/>
              <w:ind w:left="218" w:right="20"/>
            </w:pPr>
            <w:r>
              <w:t>25%</w:t>
            </w:r>
          </w:p>
        </w:tc>
        <w:tc>
          <w:tcPr>
            <w:tcW w:w="2527" w:type="dxa"/>
          </w:tcPr>
          <w:p w:rsidR="00457196" w:rsidRDefault="00346252" w:rsidP="00092A0A">
            <w:pPr>
              <w:pStyle w:val="TableParagraph"/>
              <w:spacing w:before="1" w:line="233" w:lineRule="exact"/>
              <w:ind w:left="348" w:right="20"/>
              <w:jc w:val="center"/>
            </w:pPr>
            <w:r>
              <w:t>22.7 (18.0, 34.0)</w:t>
            </w:r>
          </w:p>
        </w:tc>
        <w:tc>
          <w:tcPr>
            <w:tcW w:w="2530" w:type="dxa"/>
          </w:tcPr>
          <w:p w:rsidR="00457196" w:rsidRDefault="00346252" w:rsidP="00092A0A">
            <w:pPr>
              <w:pStyle w:val="TableParagraph"/>
              <w:spacing w:before="1" w:line="233" w:lineRule="exact"/>
              <w:ind w:left="514" w:right="20"/>
              <w:jc w:val="center"/>
            </w:pPr>
            <w:r>
              <w:t>10.0 (7.3, 10.3)</w:t>
            </w:r>
          </w:p>
        </w:tc>
      </w:tr>
      <w:tr w:rsidR="00457196">
        <w:trPr>
          <w:trHeight w:val="253"/>
        </w:trPr>
        <w:tc>
          <w:tcPr>
            <w:tcW w:w="4258" w:type="dxa"/>
          </w:tcPr>
          <w:p w:rsidR="00457196" w:rsidRDefault="00346252" w:rsidP="00092A0A">
            <w:pPr>
              <w:pStyle w:val="TableParagraph"/>
              <w:spacing w:line="234" w:lineRule="exact"/>
              <w:ind w:left="218" w:right="20"/>
            </w:pPr>
            <w:r>
              <w:t>50%</w:t>
            </w:r>
          </w:p>
        </w:tc>
        <w:tc>
          <w:tcPr>
            <w:tcW w:w="2527" w:type="dxa"/>
          </w:tcPr>
          <w:p w:rsidR="00457196" w:rsidRDefault="00346252" w:rsidP="00092A0A">
            <w:pPr>
              <w:pStyle w:val="TableParagraph"/>
              <w:spacing w:line="234" w:lineRule="exact"/>
              <w:ind w:left="348" w:right="20"/>
              <w:jc w:val="center"/>
            </w:pPr>
            <w:r>
              <w:t>48.3 (46.4, 58.3)</w:t>
            </w:r>
          </w:p>
        </w:tc>
        <w:tc>
          <w:tcPr>
            <w:tcW w:w="2530" w:type="dxa"/>
          </w:tcPr>
          <w:p w:rsidR="00457196" w:rsidRDefault="00346252" w:rsidP="00092A0A">
            <w:pPr>
              <w:pStyle w:val="TableParagraph"/>
              <w:spacing w:line="234" w:lineRule="exact"/>
              <w:ind w:left="514" w:right="20"/>
              <w:jc w:val="center"/>
            </w:pPr>
            <w:r>
              <w:t>22.1 (17.1, 24.0)</w:t>
            </w:r>
          </w:p>
        </w:tc>
      </w:tr>
      <w:tr w:rsidR="00457196">
        <w:trPr>
          <w:trHeight w:val="252"/>
        </w:trPr>
        <w:tc>
          <w:tcPr>
            <w:tcW w:w="4258" w:type="dxa"/>
          </w:tcPr>
          <w:p w:rsidR="00457196" w:rsidRDefault="00346252" w:rsidP="00092A0A">
            <w:pPr>
              <w:pStyle w:val="TableParagraph"/>
              <w:spacing w:line="232" w:lineRule="exact"/>
              <w:ind w:left="218" w:right="20"/>
            </w:pPr>
            <w:r>
              <w:t>75%</w:t>
            </w:r>
          </w:p>
        </w:tc>
        <w:tc>
          <w:tcPr>
            <w:tcW w:w="2527" w:type="dxa"/>
          </w:tcPr>
          <w:p w:rsidR="00457196" w:rsidRDefault="00346252" w:rsidP="00092A0A">
            <w:pPr>
              <w:pStyle w:val="TableParagraph"/>
              <w:spacing w:line="232" w:lineRule="exact"/>
              <w:ind w:left="348" w:right="20"/>
              <w:jc w:val="center"/>
            </w:pPr>
            <w:r>
              <w:t>84.3 (72.9, 95.1)</w:t>
            </w:r>
          </w:p>
        </w:tc>
        <w:tc>
          <w:tcPr>
            <w:tcW w:w="2530" w:type="dxa"/>
          </w:tcPr>
          <w:p w:rsidR="00457196" w:rsidRDefault="00346252" w:rsidP="00092A0A">
            <w:pPr>
              <w:pStyle w:val="TableParagraph"/>
              <w:spacing w:line="232" w:lineRule="exact"/>
              <w:ind w:left="514" w:right="20"/>
              <w:jc w:val="center"/>
            </w:pPr>
            <w:r>
              <w:t>58.1 (45.6, 82.1)</w:t>
            </w:r>
          </w:p>
        </w:tc>
      </w:tr>
      <w:tr w:rsidR="00457196">
        <w:trPr>
          <w:trHeight w:val="253"/>
        </w:trPr>
        <w:tc>
          <w:tcPr>
            <w:tcW w:w="9315" w:type="dxa"/>
            <w:gridSpan w:val="3"/>
          </w:tcPr>
          <w:p w:rsidR="00457196" w:rsidRDefault="00346252" w:rsidP="00092A0A">
            <w:pPr>
              <w:pStyle w:val="TableParagraph"/>
              <w:spacing w:line="234" w:lineRule="exact"/>
              <w:ind w:left="107" w:right="20"/>
            </w:pPr>
            <w:r>
              <w:t>Unstratified analysis</w:t>
            </w:r>
          </w:p>
        </w:tc>
      </w:tr>
      <w:tr w:rsidR="00457196">
        <w:trPr>
          <w:trHeight w:val="268"/>
        </w:trPr>
        <w:tc>
          <w:tcPr>
            <w:tcW w:w="4258" w:type="dxa"/>
          </w:tcPr>
          <w:p w:rsidR="00457196" w:rsidRDefault="00346252" w:rsidP="00092A0A">
            <w:pPr>
              <w:pStyle w:val="TableParagraph"/>
              <w:spacing w:line="248" w:lineRule="exact"/>
              <w:ind w:left="107" w:right="20"/>
            </w:pPr>
            <w:r>
              <w:t>Hazard ratio (sunitinib versus IFN-</w:t>
            </w:r>
            <w:r>
              <w:rPr>
                <w:rFonts w:ascii="Symbol" w:hAnsi="Symbol"/>
              </w:rPr>
              <w:t></w:t>
            </w:r>
            <w:r>
              <w:t>)</w:t>
            </w:r>
          </w:p>
        </w:tc>
        <w:tc>
          <w:tcPr>
            <w:tcW w:w="5057" w:type="dxa"/>
            <w:gridSpan w:val="2"/>
          </w:tcPr>
          <w:p w:rsidR="00457196" w:rsidRDefault="00346252" w:rsidP="00DC32D3">
            <w:pPr>
              <w:pStyle w:val="TableParagraph"/>
              <w:spacing w:line="248" w:lineRule="exact"/>
              <w:ind w:right="20"/>
              <w:jc w:val="center"/>
            </w:pPr>
            <w:r>
              <w:t>0.5268</w:t>
            </w:r>
          </w:p>
        </w:tc>
      </w:tr>
      <w:tr w:rsidR="00457196">
        <w:trPr>
          <w:trHeight w:val="253"/>
        </w:trPr>
        <w:tc>
          <w:tcPr>
            <w:tcW w:w="4258" w:type="dxa"/>
          </w:tcPr>
          <w:p w:rsidR="00457196" w:rsidRDefault="00346252" w:rsidP="00092A0A">
            <w:pPr>
              <w:pStyle w:val="TableParagraph"/>
              <w:spacing w:line="234" w:lineRule="exact"/>
              <w:ind w:left="107" w:right="20"/>
            </w:pPr>
            <w:r>
              <w:t>95% CI for hazard ratio</w:t>
            </w:r>
          </w:p>
        </w:tc>
        <w:tc>
          <w:tcPr>
            <w:tcW w:w="5057" w:type="dxa"/>
            <w:gridSpan w:val="2"/>
          </w:tcPr>
          <w:p w:rsidR="00457196" w:rsidRDefault="00346252" w:rsidP="00DC32D3">
            <w:pPr>
              <w:pStyle w:val="TableParagraph"/>
              <w:spacing w:line="234" w:lineRule="exact"/>
              <w:ind w:right="20"/>
              <w:jc w:val="center"/>
            </w:pPr>
            <w:r>
              <w:t>(0.4316, 0.6430)</w:t>
            </w:r>
          </w:p>
        </w:tc>
      </w:tr>
      <w:tr w:rsidR="00457196">
        <w:trPr>
          <w:trHeight w:val="254"/>
        </w:trPr>
        <w:tc>
          <w:tcPr>
            <w:tcW w:w="4258" w:type="dxa"/>
          </w:tcPr>
          <w:p w:rsidR="00457196" w:rsidRDefault="00346252" w:rsidP="00092A0A">
            <w:pPr>
              <w:pStyle w:val="TableParagraph"/>
              <w:spacing w:line="234" w:lineRule="exact"/>
              <w:ind w:left="107" w:right="20"/>
            </w:pPr>
            <w:r>
              <w:t>p-value</w:t>
            </w:r>
            <w:r>
              <w:rPr>
                <w:vertAlign w:val="superscript"/>
              </w:rPr>
              <w:t>a</w:t>
            </w:r>
          </w:p>
        </w:tc>
        <w:tc>
          <w:tcPr>
            <w:tcW w:w="5057" w:type="dxa"/>
            <w:gridSpan w:val="2"/>
          </w:tcPr>
          <w:p w:rsidR="00457196" w:rsidRDefault="00346252" w:rsidP="00DC32D3">
            <w:pPr>
              <w:pStyle w:val="TableParagraph"/>
              <w:spacing w:line="234" w:lineRule="exact"/>
              <w:ind w:right="20"/>
              <w:jc w:val="center"/>
            </w:pPr>
            <w:r>
              <w:t>&lt; 0.0001</w:t>
            </w:r>
          </w:p>
        </w:tc>
      </w:tr>
    </w:tbl>
    <w:p w:rsidR="00457196" w:rsidRDefault="00457196" w:rsidP="00092A0A">
      <w:pPr>
        <w:spacing w:line="234" w:lineRule="exact"/>
        <w:ind w:right="20"/>
        <w:jc w:val="center"/>
        <w:sectPr w:rsidR="00457196" w:rsidSect="00504092">
          <w:footerReference w:type="default" r:id="rId7"/>
          <w:pgSz w:w="11910" w:h="16850"/>
          <w:pgMar w:top="2552" w:right="1134" w:bottom="1134" w:left="1418" w:header="0" w:footer="634" w:gutter="0"/>
          <w:cols w:space="720"/>
          <w:docGrid w:linePitch="299"/>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2527"/>
        <w:gridCol w:w="2530"/>
      </w:tblGrid>
      <w:tr w:rsidR="00457196">
        <w:trPr>
          <w:trHeight w:val="523"/>
        </w:trPr>
        <w:tc>
          <w:tcPr>
            <w:tcW w:w="4258" w:type="dxa"/>
          </w:tcPr>
          <w:p w:rsidR="00457196" w:rsidRDefault="00457196" w:rsidP="00092A0A">
            <w:pPr>
              <w:pStyle w:val="TableParagraph"/>
              <w:spacing w:before="9"/>
              <w:ind w:right="20"/>
              <w:rPr>
                <w:b/>
              </w:rPr>
            </w:pPr>
          </w:p>
          <w:p w:rsidR="00457196" w:rsidRDefault="00346252" w:rsidP="00092A0A">
            <w:pPr>
              <w:pStyle w:val="TableParagraph"/>
              <w:spacing w:line="241" w:lineRule="exact"/>
              <w:ind w:left="107" w:right="20"/>
              <w:rPr>
                <w:b/>
              </w:rPr>
            </w:pPr>
            <w:r>
              <w:rPr>
                <w:b/>
              </w:rPr>
              <w:t>Summary of progression-free survival</w:t>
            </w:r>
          </w:p>
        </w:tc>
        <w:tc>
          <w:tcPr>
            <w:tcW w:w="2527" w:type="dxa"/>
          </w:tcPr>
          <w:p w:rsidR="00DF353E" w:rsidRDefault="00346252" w:rsidP="00092A0A">
            <w:pPr>
              <w:pStyle w:val="TableParagraph"/>
              <w:ind w:left="830" w:right="20"/>
              <w:rPr>
                <w:b/>
              </w:rPr>
            </w:pPr>
            <w:r>
              <w:rPr>
                <w:b/>
              </w:rPr>
              <w:t xml:space="preserve">Sunitinib </w:t>
            </w:r>
          </w:p>
          <w:p w:rsidR="00457196" w:rsidRDefault="00346252" w:rsidP="00092A0A">
            <w:pPr>
              <w:pStyle w:val="TableParagraph"/>
              <w:ind w:left="830" w:right="20"/>
              <w:rPr>
                <w:b/>
              </w:rPr>
            </w:pPr>
            <w:r>
              <w:rPr>
                <w:b/>
              </w:rPr>
              <w:t>(N = 375)</w:t>
            </w:r>
          </w:p>
        </w:tc>
        <w:tc>
          <w:tcPr>
            <w:tcW w:w="2530" w:type="dxa"/>
          </w:tcPr>
          <w:p w:rsidR="00DF353E" w:rsidRDefault="00346252" w:rsidP="00092A0A">
            <w:pPr>
              <w:pStyle w:val="TableParagraph"/>
              <w:spacing w:before="13" w:line="252" w:lineRule="exact"/>
              <w:ind w:left="831" w:right="20" w:firstLine="139"/>
              <w:rPr>
                <w:b/>
              </w:rPr>
            </w:pPr>
            <w:r>
              <w:rPr>
                <w:b/>
              </w:rPr>
              <w:t>IFN-</w:t>
            </w:r>
            <w:r>
              <w:rPr>
                <w:rFonts w:ascii="Symbol" w:hAnsi="Symbol"/>
                <w:b/>
              </w:rPr>
              <w:t></w:t>
            </w:r>
            <w:r>
              <w:rPr>
                <w:b/>
              </w:rPr>
              <w:t xml:space="preserve"> </w:t>
            </w:r>
          </w:p>
          <w:p w:rsidR="00457196" w:rsidRDefault="00346252" w:rsidP="00092A0A">
            <w:pPr>
              <w:pStyle w:val="TableParagraph"/>
              <w:spacing w:before="13" w:line="252" w:lineRule="exact"/>
              <w:ind w:left="831" w:right="20" w:firstLine="139"/>
              <w:rPr>
                <w:b/>
              </w:rPr>
            </w:pPr>
            <w:r>
              <w:rPr>
                <w:b/>
              </w:rPr>
              <w:t>(N = 375)</w:t>
            </w:r>
          </w:p>
        </w:tc>
      </w:tr>
      <w:tr w:rsidR="00457196">
        <w:trPr>
          <w:trHeight w:val="254"/>
        </w:trPr>
        <w:tc>
          <w:tcPr>
            <w:tcW w:w="9315" w:type="dxa"/>
            <w:gridSpan w:val="3"/>
          </w:tcPr>
          <w:p w:rsidR="00457196" w:rsidRDefault="00346252" w:rsidP="00092A0A">
            <w:pPr>
              <w:pStyle w:val="TableParagraph"/>
              <w:spacing w:line="234" w:lineRule="exact"/>
              <w:ind w:left="107" w:right="20"/>
              <w:rPr>
                <w:b/>
              </w:rPr>
            </w:pPr>
            <w:r>
              <w:rPr>
                <w:b/>
              </w:rPr>
              <w:t>Summary of overall survival</w:t>
            </w:r>
          </w:p>
        </w:tc>
      </w:tr>
      <w:tr w:rsidR="00457196">
        <w:trPr>
          <w:trHeight w:val="253"/>
        </w:trPr>
        <w:tc>
          <w:tcPr>
            <w:tcW w:w="4258" w:type="dxa"/>
          </w:tcPr>
          <w:p w:rsidR="00457196" w:rsidRDefault="00346252" w:rsidP="00092A0A">
            <w:pPr>
              <w:pStyle w:val="TableParagraph"/>
              <w:spacing w:line="234" w:lineRule="exact"/>
              <w:ind w:left="107" w:right="20"/>
            </w:pPr>
            <w:r>
              <w:t>Subject not known to have died [n (%)]</w:t>
            </w:r>
          </w:p>
        </w:tc>
        <w:tc>
          <w:tcPr>
            <w:tcW w:w="2527" w:type="dxa"/>
          </w:tcPr>
          <w:p w:rsidR="00457196" w:rsidRDefault="00346252" w:rsidP="00092A0A">
            <w:pPr>
              <w:pStyle w:val="TableParagraph"/>
              <w:spacing w:line="234" w:lineRule="exact"/>
              <w:ind w:left="346" w:right="20"/>
              <w:jc w:val="center"/>
            </w:pPr>
            <w:r>
              <w:t>185 (49.3)</w:t>
            </w:r>
          </w:p>
        </w:tc>
        <w:tc>
          <w:tcPr>
            <w:tcW w:w="2530" w:type="dxa"/>
          </w:tcPr>
          <w:p w:rsidR="00457196" w:rsidRDefault="00346252" w:rsidP="00092A0A">
            <w:pPr>
              <w:pStyle w:val="TableParagraph"/>
              <w:spacing w:line="234" w:lineRule="exact"/>
              <w:ind w:left="807" w:right="20"/>
            </w:pPr>
            <w:r>
              <w:t>175 (46.7)</w:t>
            </w:r>
          </w:p>
        </w:tc>
      </w:tr>
      <w:tr w:rsidR="00457196">
        <w:trPr>
          <w:trHeight w:val="251"/>
        </w:trPr>
        <w:tc>
          <w:tcPr>
            <w:tcW w:w="4258" w:type="dxa"/>
          </w:tcPr>
          <w:p w:rsidR="00457196" w:rsidRDefault="00346252" w:rsidP="00092A0A">
            <w:pPr>
              <w:pStyle w:val="TableParagraph"/>
              <w:spacing w:line="232" w:lineRule="exact"/>
              <w:ind w:left="107" w:right="20"/>
            </w:pPr>
            <w:r>
              <w:t>Subject observed to have died [n (%)]</w:t>
            </w:r>
          </w:p>
        </w:tc>
        <w:tc>
          <w:tcPr>
            <w:tcW w:w="2527" w:type="dxa"/>
          </w:tcPr>
          <w:p w:rsidR="00457196" w:rsidRDefault="00346252" w:rsidP="00092A0A">
            <w:pPr>
              <w:pStyle w:val="TableParagraph"/>
              <w:spacing w:line="232" w:lineRule="exact"/>
              <w:ind w:left="346" w:right="20"/>
              <w:jc w:val="center"/>
            </w:pPr>
            <w:r>
              <w:t>190 (50.7)</w:t>
            </w:r>
          </w:p>
        </w:tc>
        <w:tc>
          <w:tcPr>
            <w:tcW w:w="2530" w:type="dxa"/>
          </w:tcPr>
          <w:p w:rsidR="00457196" w:rsidRDefault="00346252" w:rsidP="00092A0A">
            <w:pPr>
              <w:pStyle w:val="TableParagraph"/>
              <w:spacing w:line="232" w:lineRule="exact"/>
              <w:ind w:left="807" w:right="20"/>
            </w:pPr>
            <w:r>
              <w:t>200 (53.3)</w:t>
            </w:r>
          </w:p>
        </w:tc>
      </w:tr>
      <w:tr w:rsidR="00457196">
        <w:trPr>
          <w:trHeight w:val="253"/>
        </w:trPr>
        <w:tc>
          <w:tcPr>
            <w:tcW w:w="9315" w:type="dxa"/>
            <w:gridSpan w:val="3"/>
          </w:tcPr>
          <w:p w:rsidR="00457196" w:rsidRDefault="00346252" w:rsidP="00092A0A">
            <w:pPr>
              <w:pStyle w:val="TableParagraph"/>
              <w:spacing w:line="234" w:lineRule="exact"/>
              <w:ind w:left="107" w:right="20"/>
            </w:pPr>
            <w:r>
              <w:t>OS (weeks)</w:t>
            </w:r>
          </w:p>
        </w:tc>
      </w:tr>
      <w:tr w:rsidR="00457196">
        <w:trPr>
          <w:trHeight w:val="251"/>
        </w:trPr>
        <w:tc>
          <w:tcPr>
            <w:tcW w:w="9315" w:type="dxa"/>
            <w:gridSpan w:val="3"/>
          </w:tcPr>
          <w:p w:rsidR="00457196" w:rsidRDefault="00346252" w:rsidP="00092A0A">
            <w:pPr>
              <w:pStyle w:val="TableParagraph"/>
              <w:spacing w:line="232" w:lineRule="exact"/>
              <w:ind w:left="107" w:right="20"/>
            </w:pPr>
            <w:r>
              <w:t>Quartile (95% CI)</w:t>
            </w:r>
          </w:p>
        </w:tc>
      </w:tr>
      <w:tr w:rsidR="00457196">
        <w:trPr>
          <w:trHeight w:val="254"/>
        </w:trPr>
        <w:tc>
          <w:tcPr>
            <w:tcW w:w="4258" w:type="dxa"/>
          </w:tcPr>
          <w:p w:rsidR="00457196" w:rsidRDefault="00346252" w:rsidP="00092A0A">
            <w:pPr>
              <w:pStyle w:val="TableParagraph"/>
              <w:spacing w:line="234" w:lineRule="exact"/>
              <w:ind w:left="273" w:right="20"/>
            </w:pPr>
            <w:r>
              <w:t>25%</w:t>
            </w:r>
          </w:p>
        </w:tc>
        <w:tc>
          <w:tcPr>
            <w:tcW w:w="2527" w:type="dxa"/>
          </w:tcPr>
          <w:p w:rsidR="00457196" w:rsidRDefault="00346252" w:rsidP="00092A0A">
            <w:pPr>
              <w:pStyle w:val="TableParagraph"/>
              <w:spacing w:line="234" w:lineRule="exact"/>
              <w:ind w:left="348" w:right="20"/>
              <w:jc w:val="center"/>
            </w:pPr>
            <w:r>
              <w:t>56.6 (48.7, 68.4)</w:t>
            </w:r>
          </w:p>
        </w:tc>
        <w:tc>
          <w:tcPr>
            <w:tcW w:w="2530" w:type="dxa"/>
          </w:tcPr>
          <w:p w:rsidR="00457196" w:rsidRDefault="00346252" w:rsidP="00DC32D3">
            <w:pPr>
              <w:pStyle w:val="TableParagraph"/>
              <w:spacing w:line="234" w:lineRule="exact"/>
              <w:ind w:right="20"/>
              <w:jc w:val="center"/>
            </w:pPr>
            <w:r>
              <w:t>41.7 (32.6, 51.6)</w:t>
            </w:r>
          </w:p>
        </w:tc>
      </w:tr>
      <w:tr w:rsidR="00457196">
        <w:trPr>
          <w:trHeight w:val="251"/>
        </w:trPr>
        <w:tc>
          <w:tcPr>
            <w:tcW w:w="4258" w:type="dxa"/>
          </w:tcPr>
          <w:p w:rsidR="00457196" w:rsidRDefault="00346252" w:rsidP="00092A0A">
            <w:pPr>
              <w:pStyle w:val="TableParagraph"/>
              <w:spacing w:line="232" w:lineRule="exact"/>
              <w:ind w:left="273" w:right="20"/>
            </w:pPr>
            <w:r>
              <w:t>50%</w:t>
            </w:r>
          </w:p>
        </w:tc>
        <w:tc>
          <w:tcPr>
            <w:tcW w:w="2527" w:type="dxa"/>
          </w:tcPr>
          <w:p w:rsidR="00457196" w:rsidRDefault="00346252" w:rsidP="00092A0A">
            <w:pPr>
              <w:pStyle w:val="TableParagraph"/>
              <w:spacing w:line="232" w:lineRule="exact"/>
              <w:ind w:left="348" w:right="20"/>
              <w:jc w:val="center"/>
            </w:pPr>
            <w:r>
              <w:t>114.6 (100.1, 142.9)</w:t>
            </w:r>
          </w:p>
        </w:tc>
        <w:tc>
          <w:tcPr>
            <w:tcW w:w="2530" w:type="dxa"/>
          </w:tcPr>
          <w:p w:rsidR="00457196" w:rsidRDefault="00346252" w:rsidP="00DC32D3">
            <w:pPr>
              <w:pStyle w:val="TableParagraph"/>
              <w:spacing w:line="232" w:lineRule="exact"/>
              <w:ind w:right="20"/>
              <w:jc w:val="center"/>
            </w:pPr>
            <w:r>
              <w:t>94.9 (77.7, 117.0)</w:t>
            </w:r>
          </w:p>
        </w:tc>
      </w:tr>
      <w:tr w:rsidR="00457196">
        <w:trPr>
          <w:trHeight w:val="254"/>
        </w:trPr>
        <w:tc>
          <w:tcPr>
            <w:tcW w:w="4258" w:type="dxa"/>
          </w:tcPr>
          <w:p w:rsidR="00457196" w:rsidRDefault="00346252" w:rsidP="00092A0A">
            <w:pPr>
              <w:pStyle w:val="TableParagraph"/>
              <w:spacing w:line="234" w:lineRule="exact"/>
              <w:ind w:left="273" w:right="20"/>
            </w:pPr>
            <w:r>
              <w:t>75%</w:t>
            </w:r>
          </w:p>
        </w:tc>
        <w:tc>
          <w:tcPr>
            <w:tcW w:w="2527" w:type="dxa"/>
          </w:tcPr>
          <w:p w:rsidR="00457196" w:rsidRDefault="00346252" w:rsidP="00092A0A">
            <w:pPr>
              <w:pStyle w:val="TableParagraph"/>
              <w:spacing w:line="234" w:lineRule="exact"/>
              <w:ind w:left="345" w:right="20"/>
              <w:jc w:val="center"/>
            </w:pPr>
            <w:r>
              <w:t>NA (NA, NA)</w:t>
            </w:r>
          </w:p>
        </w:tc>
        <w:tc>
          <w:tcPr>
            <w:tcW w:w="2530" w:type="dxa"/>
          </w:tcPr>
          <w:p w:rsidR="00457196" w:rsidRDefault="00346252" w:rsidP="00DC32D3">
            <w:pPr>
              <w:pStyle w:val="TableParagraph"/>
              <w:spacing w:line="234" w:lineRule="exact"/>
              <w:ind w:left="634" w:right="20"/>
            </w:pPr>
            <w:r>
              <w:t>NA (NA, NA)</w:t>
            </w:r>
          </w:p>
        </w:tc>
      </w:tr>
      <w:tr w:rsidR="00457196">
        <w:trPr>
          <w:trHeight w:val="253"/>
        </w:trPr>
        <w:tc>
          <w:tcPr>
            <w:tcW w:w="9315" w:type="dxa"/>
            <w:gridSpan w:val="3"/>
          </w:tcPr>
          <w:p w:rsidR="00457196" w:rsidRDefault="00346252" w:rsidP="00092A0A">
            <w:pPr>
              <w:pStyle w:val="TableParagraph"/>
              <w:spacing w:line="234" w:lineRule="exact"/>
              <w:ind w:left="107" w:right="20"/>
            </w:pPr>
            <w:r>
              <w:t>Unstratified analysis</w:t>
            </w:r>
          </w:p>
        </w:tc>
      </w:tr>
      <w:tr w:rsidR="00457196">
        <w:trPr>
          <w:trHeight w:val="268"/>
        </w:trPr>
        <w:tc>
          <w:tcPr>
            <w:tcW w:w="4258" w:type="dxa"/>
          </w:tcPr>
          <w:p w:rsidR="00457196" w:rsidRDefault="00346252" w:rsidP="00092A0A">
            <w:pPr>
              <w:pStyle w:val="TableParagraph"/>
              <w:spacing w:line="248" w:lineRule="exact"/>
              <w:ind w:left="107" w:right="20"/>
            </w:pPr>
            <w:r>
              <w:t>Hazard ratio (sunitinib versus IFN-</w:t>
            </w:r>
            <w:r>
              <w:rPr>
                <w:rFonts w:ascii="Symbol" w:hAnsi="Symbol"/>
              </w:rPr>
              <w:t></w:t>
            </w:r>
            <w:r>
              <w:t>)</w:t>
            </w:r>
          </w:p>
        </w:tc>
        <w:tc>
          <w:tcPr>
            <w:tcW w:w="5057" w:type="dxa"/>
            <w:gridSpan w:val="2"/>
          </w:tcPr>
          <w:p w:rsidR="00457196" w:rsidRDefault="00346252" w:rsidP="00DC32D3">
            <w:pPr>
              <w:pStyle w:val="TableParagraph"/>
              <w:spacing w:line="243" w:lineRule="exact"/>
              <w:ind w:right="20"/>
              <w:jc w:val="center"/>
            </w:pPr>
            <w:r>
              <w:t>0.8209</w:t>
            </w:r>
          </w:p>
        </w:tc>
      </w:tr>
      <w:tr w:rsidR="00457196">
        <w:trPr>
          <w:trHeight w:val="254"/>
        </w:trPr>
        <w:tc>
          <w:tcPr>
            <w:tcW w:w="4258" w:type="dxa"/>
          </w:tcPr>
          <w:p w:rsidR="00457196" w:rsidRDefault="00346252" w:rsidP="00092A0A">
            <w:pPr>
              <w:pStyle w:val="TableParagraph"/>
              <w:spacing w:line="235" w:lineRule="exact"/>
              <w:ind w:left="107" w:right="20"/>
            </w:pPr>
            <w:r>
              <w:t>95% CI for hazard ratio</w:t>
            </w:r>
          </w:p>
        </w:tc>
        <w:tc>
          <w:tcPr>
            <w:tcW w:w="5057" w:type="dxa"/>
            <w:gridSpan w:val="2"/>
          </w:tcPr>
          <w:p w:rsidR="00457196" w:rsidRDefault="00346252" w:rsidP="00DC32D3">
            <w:pPr>
              <w:pStyle w:val="TableParagraph"/>
              <w:spacing w:line="235" w:lineRule="exact"/>
              <w:ind w:right="20"/>
              <w:jc w:val="center"/>
            </w:pPr>
            <w:r>
              <w:t>(0.6730, 1.0013)</w:t>
            </w:r>
          </w:p>
        </w:tc>
      </w:tr>
      <w:tr w:rsidR="00457196">
        <w:trPr>
          <w:trHeight w:val="251"/>
        </w:trPr>
        <w:tc>
          <w:tcPr>
            <w:tcW w:w="4258" w:type="dxa"/>
          </w:tcPr>
          <w:p w:rsidR="00457196" w:rsidRDefault="00346252" w:rsidP="00092A0A">
            <w:pPr>
              <w:pStyle w:val="TableParagraph"/>
              <w:spacing w:line="232" w:lineRule="exact"/>
              <w:ind w:left="107" w:right="20"/>
            </w:pPr>
            <w:r>
              <w:t>p-value</w:t>
            </w:r>
            <w:r>
              <w:rPr>
                <w:vertAlign w:val="superscript"/>
              </w:rPr>
              <w:t>a</w:t>
            </w:r>
          </w:p>
        </w:tc>
        <w:tc>
          <w:tcPr>
            <w:tcW w:w="5057" w:type="dxa"/>
            <w:gridSpan w:val="2"/>
          </w:tcPr>
          <w:p w:rsidR="00457196" w:rsidRDefault="00346252" w:rsidP="00DC32D3">
            <w:pPr>
              <w:pStyle w:val="TableParagraph"/>
              <w:spacing w:line="232" w:lineRule="exact"/>
              <w:ind w:right="20"/>
              <w:jc w:val="center"/>
            </w:pPr>
            <w:r>
              <w:t>0.0510</w:t>
            </w:r>
          </w:p>
        </w:tc>
      </w:tr>
    </w:tbl>
    <w:p w:rsidR="00457196" w:rsidRDefault="00346252" w:rsidP="00092A0A">
      <w:pPr>
        <w:ind w:left="224" w:right="20"/>
        <w:rPr>
          <w:sz w:val="20"/>
        </w:rPr>
      </w:pPr>
      <w:r>
        <w:rPr>
          <w:sz w:val="20"/>
        </w:rPr>
        <w:t>Abbreviations: CI=confidence interval; INF-α=interferon-alfa; ITT=intent-to-treat; N=number of patients; NA=not applicable; OS=overall survival; PFS=progression-free survival.</w:t>
      </w:r>
    </w:p>
    <w:p w:rsidR="00457196" w:rsidRDefault="00346252" w:rsidP="00092A0A">
      <w:pPr>
        <w:tabs>
          <w:tab w:val="left" w:pos="512"/>
        </w:tabs>
        <w:ind w:left="224" w:right="20"/>
        <w:rPr>
          <w:sz w:val="20"/>
        </w:rPr>
      </w:pPr>
      <w:r>
        <w:rPr>
          <w:sz w:val="20"/>
          <w:vertAlign w:val="superscript"/>
        </w:rPr>
        <w:t>a</w:t>
      </w:r>
      <w:r>
        <w:rPr>
          <w:sz w:val="20"/>
        </w:rPr>
        <w:tab/>
        <w:t>From a 2-sided log-rank</w:t>
      </w:r>
      <w:r>
        <w:rPr>
          <w:spacing w:val="-5"/>
          <w:sz w:val="20"/>
        </w:rPr>
        <w:t xml:space="preserve"> </w:t>
      </w:r>
      <w:r>
        <w:rPr>
          <w:sz w:val="20"/>
        </w:rPr>
        <w:t>test.</w:t>
      </w:r>
    </w:p>
    <w:p w:rsidR="00457196" w:rsidRDefault="00457196" w:rsidP="00092A0A">
      <w:pPr>
        <w:pStyle w:val="BodyText"/>
        <w:spacing w:before="8"/>
        <w:ind w:right="20"/>
        <w:rPr>
          <w:sz w:val="19"/>
        </w:rPr>
      </w:pPr>
    </w:p>
    <w:p w:rsidR="00457196" w:rsidRDefault="00346252" w:rsidP="00092A0A">
      <w:pPr>
        <w:ind w:left="238" w:right="20"/>
        <w:jc w:val="both"/>
        <w:rPr>
          <w:i/>
        </w:rPr>
      </w:pPr>
      <w:r>
        <w:rPr>
          <w:i/>
        </w:rPr>
        <w:t>Cytokine-refractory metastatic renal cell carcinoma</w:t>
      </w:r>
    </w:p>
    <w:p w:rsidR="00457196" w:rsidRDefault="00346252" w:rsidP="00092A0A">
      <w:pPr>
        <w:pStyle w:val="BodyText"/>
        <w:spacing w:before="2"/>
        <w:ind w:left="238" w:right="20"/>
        <w:jc w:val="both"/>
      </w:pPr>
      <w:r>
        <w:t>A Phase 2 study of sunitinib was conducted in patients who were refractory to prior cytokine therapy with interleukin-2 or IFN-</w:t>
      </w:r>
      <w:r>
        <w:rPr>
          <w:rFonts w:ascii="Symbol" w:hAnsi="Symbol"/>
        </w:rPr>
        <w:t></w:t>
      </w:r>
      <w:r>
        <w:t>. Sixty-three patients received a starting dose of 50 mg sunitinib orally, once daily for 4 consecutive weeks followed by a 2-week rest period, to comprise a complete cycle of 6 weeks (Schedule 4/2). The primary efficacy endpoint was ORR, based on Response Evaluation Criteria in Solid Tumours (RECIST).</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In this study the objective response rate was 36.5% (95% CI: 24.7%, 49.6%) and the median TTP was 37.7 weeks (95% CI: 24.0, 46.4).</w:t>
      </w:r>
    </w:p>
    <w:p w:rsidR="00457196" w:rsidRDefault="00457196" w:rsidP="00092A0A">
      <w:pPr>
        <w:pStyle w:val="BodyText"/>
        <w:spacing w:before="1"/>
        <w:ind w:right="20"/>
        <w:jc w:val="both"/>
      </w:pPr>
    </w:p>
    <w:p w:rsidR="00457196" w:rsidRDefault="00346252" w:rsidP="00092A0A">
      <w:pPr>
        <w:pStyle w:val="BodyText"/>
        <w:spacing w:before="1"/>
        <w:ind w:left="238" w:right="20"/>
        <w:jc w:val="both"/>
        <w:rPr>
          <w:i/>
        </w:rPr>
      </w:pPr>
      <w:r>
        <w:t>A confirmatory</w:t>
      </w:r>
      <w:r>
        <w:rPr>
          <w:i/>
        </w:rPr>
        <w:t xml:space="preserve">, </w:t>
      </w:r>
      <w:r>
        <w:t>open-label</w:t>
      </w:r>
      <w:r>
        <w:rPr>
          <w:i/>
        </w:rPr>
        <w:t xml:space="preserve">, </w:t>
      </w:r>
      <w:r>
        <w:t>single-arm, multi-centre study evaluating the efficacy and safety of sunitinib was conducted in patients with MRCC who were refractory to prior cytokine therapy</w:t>
      </w:r>
      <w:r>
        <w:rPr>
          <w:i/>
        </w:rPr>
        <w:t xml:space="preserve">. </w:t>
      </w:r>
      <w:r>
        <w:t>One hundred and 6 patients received at least one 50 mg dose of sunitinib on Schedule 4/2</w:t>
      </w:r>
      <w:r>
        <w:rPr>
          <w:i/>
        </w:rPr>
        <w:t>.</w:t>
      </w:r>
    </w:p>
    <w:p w:rsidR="00457196" w:rsidRDefault="00457196" w:rsidP="00092A0A">
      <w:pPr>
        <w:pStyle w:val="BodyText"/>
        <w:spacing w:before="9"/>
        <w:ind w:right="20"/>
        <w:jc w:val="both"/>
        <w:rPr>
          <w:i/>
          <w:sz w:val="21"/>
        </w:rPr>
      </w:pPr>
    </w:p>
    <w:p w:rsidR="00457196" w:rsidRDefault="00346252" w:rsidP="00092A0A">
      <w:pPr>
        <w:pStyle w:val="BodyText"/>
        <w:spacing w:before="1"/>
        <w:ind w:left="238" w:right="20"/>
        <w:jc w:val="both"/>
      </w:pPr>
      <w:r>
        <w:t>The primary efficacy endpoint of this study was ORR. Secondary endpoints included TTP, duration of response (DR) and OS.</w:t>
      </w:r>
    </w:p>
    <w:p w:rsidR="00457196" w:rsidRDefault="00457196" w:rsidP="00092A0A">
      <w:pPr>
        <w:pStyle w:val="BodyText"/>
        <w:spacing w:before="10"/>
        <w:ind w:right="20"/>
        <w:jc w:val="both"/>
        <w:rPr>
          <w:sz w:val="21"/>
        </w:rPr>
      </w:pPr>
    </w:p>
    <w:p w:rsidR="00457196" w:rsidRDefault="00346252" w:rsidP="00092A0A">
      <w:pPr>
        <w:pStyle w:val="BodyText"/>
        <w:spacing w:before="1"/>
        <w:ind w:left="238" w:right="20"/>
        <w:jc w:val="both"/>
      </w:pPr>
      <w:r>
        <w:t>In this study the ORR was 35.8% (95% CI: 26.8%, 47.5 %). The median DR and OS had not yet been reached.</w:t>
      </w:r>
    </w:p>
    <w:p w:rsidR="00457196" w:rsidRDefault="00457196" w:rsidP="00092A0A">
      <w:pPr>
        <w:pStyle w:val="BodyText"/>
        <w:spacing w:before="2"/>
        <w:ind w:right="20"/>
        <w:jc w:val="both"/>
      </w:pPr>
    </w:p>
    <w:p w:rsidR="00457196" w:rsidRDefault="00346252" w:rsidP="00092A0A">
      <w:pPr>
        <w:spacing w:line="252" w:lineRule="exact"/>
        <w:ind w:left="238" w:right="20"/>
        <w:jc w:val="both"/>
        <w:rPr>
          <w:i/>
        </w:rPr>
      </w:pPr>
      <w:r>
        <w:rPr>
          <w:i/>
        </w:rPr>
        <w:t>Pancreatic neuroendocrine tumours</w:t>
      </w:r>
    </w:p>
    <w:p w:rsidR="00457196" w:rsidRDefault="00346252" w:rsidP="00092A0A">
      <w:pPr>
        <w:pStyle w:val="BodyText"/>
        <w:ind w:left="238" w:right="20"/>
        <w:jc w:val="both"/>
      </w:pPr>
      <w:r>
        <w:t>A supportive Phase 2, open-label, multi-centre study evaluated the efficacy and safety of single-agent sunitinib 50 mg daily on Schedule 4/2 in patients with unresectable pNET. In a pancreatic islet cell tumour cohort of 66 patients, the primary endpoint of response rate was 17%.</w:t>
      </w:r>
    </w:p>
    <w:p w:rsidR="00457196" w:rsidRDefault="00457196" w:rsidP="00092A0A">
      <w:pPr>
        <w:pStyle w:val="BodyText"/>
        <w:ind w:right="20"/>
        <w:jc w:val="both"/>
      </w:pPr>
    </w:p>
    <w:p w:rsidR="00457196" w:rsidRDefault="00346252" w:rsidP="00092A0A">
      <w:pPr>
        <w:pStyle w:val="BodyText"/>
        <w:ind w:left="238" w:right="20"/>
        <w:jc w:val="both"/>
      </w:pPr>
      <w:r>
        <w:t>A pivotal Phase 3, multi-centre, international, randomised, double-blind, placebo-controlled study of single-agent sunitinib was conducted in patients with unresectable pNET.</w:t>
      </w:r>
    </w:p>
    <w:p w:rsidR="00457196" w:rsidRDefault="00457196" w:rsidP="00092A0A">
      <w:pPr>
        <w:pStyle w:val="BodyText"/>
        <w:ind w:right="20"/>
        <w:jc w:val="both"/>
      </w:pPr>
    </w:p>
    <w:p w:rsidR="00457196" w:rsidRDefault="00346252" w:rsidP="00092A0A">
      <w:pPr>
        <w:pStyle w:val="BodyText"/>
        <w:ind w:left="238" w:right="20"/>
        <w:jc w:val="both"/>
      </w:pPr>
      <w:r>
        <w:t>Patients were required to have documented progression, based on RECIST, within the prior 12 months and were randomised (1:1) to receive either 37.5 mg sunitinib once daily without a scheduled rest period (N = 86) or placebo (N = 85).</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The primary objective was to compare PFS in patients receiving sunitinib versus patients receiving placebo. Other endpoints included OS, ORR, PROs, and safety.</w:t>
      </w:r>
    </w:p>
    <w:p w:rsidR="00457196" w:rsidRDefault="00457196" w:rsidP="00092A0A">
      <w:pPr>
        <w:pStyle w:val="BodyText"/>
        <w:spacing w:before="2"/>
        <w:ind w:right="20"/>
        <w:jc w:val="both"/>
      </w:pPr>
    </w:p>
    <w:p w:rsidR="00457196" w:rsidRDefault="00346252" w:rsidP="00092A0A">
      <w:pPr>
        <w:pStyle w:val="BodyText"/>
        <w:ind w:left="238" w:right="20"/>
        <w:jc w:val="both"/>
      </w:pPr>
      <w:r>
        <w:t>Demographics were comparable between the sunitinib and placebo groups. Additionally, 49% of sunitinib patients had nonfunctioning tumours versus 52% of placebo patients and 92% of patients in both arms had liver metastases.</w:t>
      </w:r>
    </w:p>
    <w:p w:rsidR="00457196" w:rsidRDefault="00457196" w:rsidP="00092A0A">
      <w:pPr>
        <w:ind w:right="20"/>
        <w:jc w:val="both"/>
        <w:sectPr w:rsidR="00457196">
          <w:pgSz w:w="11910" w:h="16850"/>
          <w:pgMar w:top="1140" w:right="1080" w:bottom="900" w:left="1180" w:header="0" w:footer="634" w:gutter="0"/>
          <w:cols w:space="720"/>
        </w:sectPr>
      </w:pPr>
    </w:p>
    <w:p w:rsidR="00457196" w:rsidRDefault="00346252" w:rsidP="00092A0A">
      <w:pPr>
        <w:pStyle w:val="BodyText"/>
        <w:spacing w:before="70"/>
        <w:ind w:left="238" w:right="20"/>
        <w:jc w:val="both"/>
      </w:pPr>
      <w:r>
        <w:t>Use of somatostatin analogues was allowed in the study.</w:t>
      </w:r>
    </w:p>
    <w:p w:rsidR="00457196" w:rsidRDefault="00457196" w:rsidP="00092A0A">
      <w:pPr>
        <w:pStyle w:val="BodyText"/>
        <w:spacing w:before="1"/>
        <w:ind w:right="20"/>
        <w:jc w:val="both"/>
      </w:pPr>
    </w:p>
    <w:p w:rsidR="00457196" w:rsidRDefault="00346252" w:rsidP="00092A0A">
      <w:pPr>
        <w:pStyle w:val="BodyText"/>
        <w:ind w:left="238" w:right="20"/>
        <w:jc w:val="both"/>
      </w:pPr>
      <w:r>
        <w:t>A total of 66% of sunitinib patients received prior systemic therapy compared with 72% of placebo patients. In addition, 24% of sunitinib patients had received somatostatin analogues compared with 22% of placebo patients.</w:t>
      </w:r>
    </w:p>
    <w:p w:rsidR="00457196" w:rsidRDefault="00457196" w:rsidP="00092A0A">
      <w:pPr>
        <w:pStyle w:val="BodyText"/>
        <w:spacing w:before="1"/>
        <w:ind w:right="20"/>
        <w:jc w:val="both"/>
      </w:pPr>
    </w:p>
    <w:p w:rsidR="00457196" w:rsidRDefault="00346252" w:rsidP="00092A0A">
      <w:pPr>
        <w:pStyle w:val="BodyText"/>
        <w:ind w:left="238" w:right="20"/>
        <w:jc w:val="both"/>
      </w:pPr>
      <w:r>
        <w:t>A clinically significant advantage in investigator-assessed PFS for sunitinib over placebo was observed. The median PFS was 11.4 months for the sunitinib arm compared to 5.5 months for the placebo arm [hazard ratio: 0.418 (95% CI: 0.263, 0.662), p-value=0.0001]; similar results were observed when derived tumour response assessments based upon application of RECIST to investigator tumour measurements were used to determine disease progression, as shown in Table 4. A hazard ratio favouring sunitinib was observed in all subgroups of baseline characteristics evaluated, including an analysis by number of prior systemic therapies. A total of 29 patients in the sunitinib arm and 24 in the placebo arm had received no prior systemic treatment; among these patients, the hazard ratio for PFS was 0.365 (95% CI: 0.156, 0.857), p=0.0156. Similarly, among 57 patients in the sunitinib arm (including 28 with 1 prior systemic therapy and 29 with 2 or more prior</w:t>
      </w:r>
      <w:r>
        <w:rPr>
          <w:spacing w:val="-22"/>
        </w:rPr>
        <w:t xml:space="preserve"> </w:t>
      </w:r>
      <w:r>
        <w:t>systemic</w:t>
      </w:r>
      <w:r w:rsidR="00A3101A">
        <w:t xml:space="preserve"> </w:t>
      </w:r>
      <w:r>
        <w:t>therapies) and 61 patients in the placebo arm (including 25 with 1 prior systemic therapy and 36 with 2 or more prior systemic therapies), the hazard ratio for PFS was 0.456 (95% CI: 0.264, 0.787), p=0.0036.</w:t>
      </w:r>
    </w:p>
    <w:p w:rsidR="00457196" w:rsidRDefault="00457196" w:rsidP="00092A0A">
      <w:pPr>
        <w:pStyle w:val="BodyText"/>
        <w:spacing w:before="1"/>
        <w:ind w:right="20"/>
        <w:jc w:val="both"/>
      </w:pPr>
    </w:p>
    <w:p w:rsidR="00457196" w:rsidRDefault="00346252" w:rsidP="00092A0A">
      <w:pPr>
        <w:pStyle w:val="BodyText"/>
        <w:ind w:left="238" w:right="20"/>
        <w:jc w:val="both"/>
      </w:pPr>
      <w:r>
        <w:t>A sensitivity analysis of PFS was conducted where progression was based upon investigator-reported tumour measurements and where all subjects censored for reasons other than study termination were treated as PFS events. This analysis provided a conservative estimate of the treatment effect of sunitinib and supported the primary analysis, demonstrating a hazard ratio of 0.507 (95% CI: 0.350, 0.733), p=0.000193. The pivotal study in pancreatic NET was terminated prematurely at the recommendation of an independent drug monitoring committee and the primary endpoint was based upon investigator assessment, both of which may have affected the estimates of the treatment effect.</w:t>
      </w:r>
    </w:p>
    <w:p w:rsidR="00457196" w:rsidRDefault="00457196" w:rsidP="00092A0A">
      <w:pPr>
        <w:pStyle w:val="BodyText"/>
        <w:ind w:right="20"/>
        <w:jc w:val="both"/>
      </w:pPr>
    </w:p>
    <w:p w:rsidR="00457196" w:rsidRDefault="00346252" w:rsidP="00092A0A">
      <w:pPr>
        <w:pStyle w:val="BodyText"/>
        <w:ind w:left="238" w:right="20"/>
        <w:jc w:val="both"/>
      </w:pPr>
      <w:r>
        <w:t>In order to rule out bias in the investigator-based assessment of PFS, a BICR of scans was performed; this review supported the investigator assessment, as shown in Table 4.</w:t>
      </w:r>
    </w:p>
    <w:p w:rsidR="00457196" w:rsidRDefault="00457196" w:rsidP="00092A0A">
      <w:pPr>
        <w:pStyle w:val="BodyText"/>
        <w:spacing w:before="11"/>
        <w:ind w:right="20"/>
        <w:rPr>
          <w:sz w:val="21"/>
        </w:rPr>
      </w:pPr>
    </w:p>
    <w:p w:rsidR="00457196" w:rsidRDefault="00346252" w:rsidP="00092A0A">
      <w:pPr>
        <w:pStyle w:val="Heading1"/>
        <w:spacing w:before="0" w:after="3"/>
        <w:ind w:left="238" w:right="20"/>
      </w:pPr>
      <w:r>
        <w:t>Table 4 - pNET efficacy results from the Phase 3 study</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7"/>
        <w:gridCol w:w="1449"/>
        <w:gridCol w:w="1447"/>
        <w:gridCol w:w="1426"/>
        <w:gridCol w:w="1423"/>
      </w:tblGrid>
      <w:tr w:rsidR="00457196">
        <w:trPr>
          <w:trHeight w:val="506"/>
        </w:trPr>
        <w:tc>
          <w:tcPr>
            <w:tcW w:w="3317" w:type="dxa"/>
          </w:tcPr>
          <w:p w:rsidR="00457196" w:rsidRDefault="00346252" w:rsidP="00092A0A">
            <w:pPr>
              <w:pStyle w:val="TableParagraph"/>
              <w:spacing w:line="251" w:lineRule="exact"/>
              <w:ind w:left="57" w:right="20"/>
              <w:rPr>
                <w:b/>
              </w:rPr>
            </w:pPr>
            <w:r>
              <w:rPr>
                <w:b/>
              </w:rPr>
              <w:t>Efficacy parameter</w:t>
            </w:r>
          </w:p>
        </w:tc>
        <w:tc>
          <w:tcPr>
            <w:tcW w:w="1449" w:type="dxa"/>
          </w:tcPr>
          <w:p w:rsidR="00DF353E" w:rsidRDefault="00DF353E" w:rsidP="00092A0A">
            <w:pPr>
              <w:pStyle w:val="TableParagraph"/>
              <w:spacing w:before="2" w:line="252" w:lineRule="exact"/>
              <w:ind w:left="340" w:right="20" w:firstLine="74"/>
              <w:rPr>
                <w:b/>
              </w:rPr>
            </w:pPr>
            <w:r>
              <w:rPr>
                <w:b/>
              </w:rPr>
              <w:t>Sunitinib</w:t>
            </w:r>
          </w:p>
          <w:p w:rsidR="00DF353E" w:rsidRDefault="00346252" w:rsidP="00092A0A">
            <w:pPr>
              <w:pStyle w:val="TableParagraph"/>
              <w:spacing w:before="2" w:line="252" w:lineRule="exact"/>
              <w:ind w:left="340" w:right="20" w:firstLine="74"/>
              <w:rPr>
                <w:b/>
              </w:rPr>
            </w:pPr>
            <w:r>
              <w:rPr>
                <w:b/>
              </w:rPr>
              <w:t xml:space="preserve"> </w:t>
            </w:r>
          </w:p>
          <w:p w:rsidR="00457196" w:rsidRDefault="00346252" w:rsidP="00092A0A">
            <w:pPr>
              <w:pStyle w:val="TableParagraph"/>
              <w:spacing w:before="2" w:line="252" w:lineRule="exact"/>
              <w:ind w:left="340" w:right="20" w:firstLine="74"/>
              <w:rPr>
                <w:b/>
              </w:rPr>
            </w:pPr>
            <w:r>
              <w:rPr>
                <w:b/>
              </w:rPr>
              <w:t>(N = 86)</w:t>
            </w:r>
          </w:p>
        </w:tc>
        <w:tc>
          <w:tcPr>
            <w:tcW w:w="1447" w:type="dxa"/>
          </w:tcPr>
          <w:p w:rsidR="00DF353E" w:rsidRDefault="00346252" w:rsidP="00092A0A">
            <w:pPr>
              <w:pStyle w:val="TableParagraph"/>
              <w:spacing w:before="2" w:line="252" w:lineRule="exact"/>
              <w:ind w:left="344" w:right="20" w:firstLine="14"/>
              <w:rPr>
                <w:b/>
              </w:rPr>
            </w:pPr>
            <w:r>
              <w:rPr>
                <w:b/>
              </w:rPr>
              <w:t xml:space="preserve">Placebo </w:t>
            </w:r>
          </w:p>
          <w:p w:rsidR="00457196" w:rsidRDefault="00346252" w:rsidP="00092A0A">
            <w:pPr>
              <w:pStyle w:val="TableParagraph"/>
              <w:spacing w:before="2" w:line="252" w:lineRule="exact"/>
              <w:ind w:left="344" w:right="20" w:firstLine="14"/>
              <w:rPr>
                <w:b/>
              </w:rPr>
            </w:pPr>
            <w:r>
              <w:rPr>
                <w:b/>
              </w:rPr>
              <w:t>(N = 85)</w:t>
            </w:r>
          </w:p>
        </w:tc>
        <w:tc>
          <w:tcPr>
            <w:tcW w:w="1426" w:type="dxa"/>
          </w:tcPr>
          <w:p w:rsidR="00457196" w:rsidRDefault="00346252" w:rsidP="00092A0A">
            <w:pPr>
              <w:pStyle w:val="TableParagraph"/>
              <w:spacing w:before="2" w:line="252" w:lineRule="exact"/>
              <w:ind w:left="270" w:right="20" w:hanging="195"/>
              <w:rPr>
                <w:b/>
              </w:rPr>
            </w:pPr>
            <w:r>
              <w:rPr>
                <w:b/>
              </w:rPr>
              <w:t>Hazard Ratio (95% CI)</w:t>
            </w:r>
          </w:p>
        </w:tc>
        <w:tc>
          <w:tcPr>
            <w:tcW w:w="1423" w:type="dxa"/>
          </w:tcPr>
          <w:p w:rsidR="00457196" w:rsidRDefault="00346252" w:rsidP="00092A0A">
            <w:pPr>
              <w:pStyle w:val="TableParagraph"/>
              <w:spacing w:line="251" w:lineRule="exact"/>
              <w:ind w:left="245" w:right="20"/>
              <w:jc w:val="center"/>
              <w:rPr>
                <w:b/>
              </w:rPr>
            </w:pPr>
            <w:r>
              <w:rPr>
                <w:b/>
              </w:rPr>
              <w:t>p-value</w:t>
            </w:r>
          </w:p>
        </w:tc>
      </w:tr>
      <w:tr w:rsidR="00A3101A" w:rsidTr="0020439E">
        <w:trPr>
          <w:trHeight w:val="777"/>
        </w:trPr>
        <w:tc>
          <w:tcPr>
            <w:tcW w:w="3317" w:type="dxa"/>
          </w:tcPr>
          <w:p w:rsidR="00A3101A" w:rsidRDefault="00A3101A" w:rsidP="00092A0A">
            <w:pPr>
              <w:pStyle w:val="TableParagraph"/>
              <w:spacing w:line="235" w:lineRule="exact"/>
              <w:ind w:left="57" w:right="20"/>
            </w:pPr>
            <w:r>
              <w:t>Progression-free survival [median,</w:t>
            </w:r>
          </w:p>
          <w:p w:rsidR="00A3101A" w:rsidRDefault="00A3101A" w:rsidP="00092A0A">
            <w:pPr>
              <w:pStyle w:val="TableParagraph"/>
              <w:spacing w:line="233" w:lineRule="exact"/>
              <w:ind w:left="57" w:right="20"/>
            </w:pPr>
            <w:r>
              <w:t>months (95% CI)] by Investigator</w:t>
            </w:r>
          </w:p>
          <w:p w:rsidR="00A3101A" w:rsidRDefault="00A3101A" w:rsidP="00092A0A">
            <w:pPr>
              <w:pStyle w:val="TableParagraph"/>
              <w:spacing w:line="229" w:lineRule="exact"/>
              <w:ind w:left="57" w:right="20"/>
            </w:pPr>
            <w:r>
              <w:t>Assessment</w:t>
            </w:r>
          </w:p>
        </w:tc>
        <w:tc>
          <w:tcPr>
            <w:tcW w:w="1449" w:type="dxa"/>
          </w:tcPr>
          <w:p w:rsidR="00A3101A" w:rsidRDefault="00A3101A" w:rsidP="00092A0A">
            <w:pPr>
              <w:pStyle w:val="TableParagraph"/>
              <w:spacing w:line="235" w:lineRule="exact"/>
              <w:ind w:left="188" w:right="20"/>
              <w:jc w:val="center"/>
            </w:pPr>
            <w:r>
              <w:t>11.4</w:t>
            </w:r>
          </w:p>
          <w:p w:rsidR="00A3101A" w:rsidRDefault="00A3101A" w:rsidP="00092A0A">
            <w:pPr>
              <w:pStyle w:val="TableParagraph"/>
              <w:spacing w:line="233" w:lineRule="exact"/>
              <w:ind w:left="187" w:right="20"/>
              <w:jc w:val="center"/>
            </w:pPr>
            <w:r>
              <w:t>(7.4, 19.8)</w:t>
            </w:r>
          </w:p>
        </w:tc>
        <w:tc>
          <w:tcPr>
            <w:tcW w:w="1447" w:type="dxa"/>
          </w:tcPr>
          <w:p w:rsidR="00A3101A" w:rsidRDefault="00A3101A" w:rsidP="00092A0A">
            <w:pPr>
              <w:pStyle w:val="TableParagraph"/>
              <w:spacing w:line="235" w:lineRule="exact"/>
              <w:ind w:left="190" w:right="20"/>
              <w:jc w:val="center"/>
            </w:pPr>
            <w:r>
              <w:t>5.5</w:t>
            </w:r>
          </w:p>
          <w:p w:rsidR="00A3101A" w:rsidRDefault="00A3101A" w:rsidP="00092A0A">
            <w:pPr>
              <w:pStyle w:val="TableParagraph"/>
              <w:spacing w:line="233" w:lineRule="exact"/>
              <w:ind w:left="190" w:right="20"/>
              <w:jc w:val="center"/>
            </w:pPr>
            <w:r>
              <w:t>(3.6, 7.4)</w:t>
            </w:r>
          </w:p>
        </w:tc>
        <w:tc>
          <w:tcPr>
            <w:tcW w:w="1426" w:type="dxa"/>
          </w:tcPr>
          <w:p w:rsidR="00A3101A" w:rsidRDefault="00A3101A" w:rsidP="00092A0A">
            <w:pPr>
              <w:pStyle w:val="TableParagraph"/>
              <w:spacing w:line="235" w:lineRule="exact"/>
              <w:ind w:left="70" w:right="20"/>
              <w:jc w:val="center"/>
            </w:pPr>
            <w:r>
              <w:t>0.418</w:t>
            </w:r>
          </w:p>
          <w:p w:rsidR="00A3101A" w:rsidRDefault="00A3101A" w:rsidP="00092A0A">
            <w:pPr>
              <w:pStyle w:val="TableParagraph"/>
              <w:spacing w:line="233" w:lineRule="exact"/>
              <w:ind w:left="70" w:right="20"/>
              <w:jc w:val="center"/>
            </w:pPr>
            <w:r>
              <w:t>(0.263, 0.662)</w:t>
            </w:r>
          </w:p>
        </w:tc>
        <w:tc>
          <w:tcPr>
            <w:tcW w:w="1423" w:type="dxa"/>
          </w:tcPr>
          <w:p w:rsidR="00A3101A" w:rsidRDefault="00A3101A" w:rsidP="00092A0A">
            <w:pPr>
              <w:pStyle w:val="TableParagraph"/>
              <w:spacing w:line="235" w:lineRule="exact"/>
              <w:ind w:left="245" w:right="20"/>
              <w:jc w:val="center"/>
            </w:pPr>
            <w:r>
              <w:t>0.0001</w:t>
            </w:r>
            <w:r>
              <w:rPr>
                <w:vertAlign w:val="superscript"/>
              </w:rPr>
              <w:t>a</w:t>
            </w:r>
          </w:p>
        </w:tc>
      </w:tr>
      <w:tr w:rsidR="00A3101A" w:rsidTr="0020439E">
        <w:trPr>
          <w:trHeight w:val="1303"/>
        </w:trPr>
        <w:tc>
          <w:tcPr>
            <w:tcW w:w="3317" w:type="dxa"/>
          </w:tcPr>
          <w:p w:rsidR="00A3101A" w:rsidRDefault="00A3101A" w:rsidP="00092A0A">
            <w:pPr>
              <w:pStyle w:val="TableParagraph"/>
              <w:spacing w:line="236" w:lineRule="exact"/>
              <w:ind w:left="4" w:right="20"/>
            </w:pPr>
            <w:r>
              <w:t>Progression-free survival [median,</w:t>
            </w:r>
          </w:p>
          <w:p w:rsidR="00A3101A" w:rsidRDefault="00A3101A" w:rsidP="00092A0A">
            <w:pPr>
              <w:pStyle w:val="TableParagraph"/>
              <w:spacing w:line="234" w:lineRule="exact"/>
              <w:ind w:left="4" w:right="20"/>
            </w:pPr>
            <w:r>
              <w:t>months (95% CI)] by derived tumour</w:t>
            </w:r>
          </w:p>
          <w:p w:rsidR="00A3101A" w:rsidRDefault="00A3101A" w:rsidP="00092A0A">
            <w:pPr>
              <w:pStyle w:val="TableParagraph"/>
              <w:spacing w:line="233" w:lineRule="exact"/>
              <w:ind w:left="4" w:right="20"/>
            </w:pPr>
            <w:r>
              <w:t>response assessment based upon</w:t>
            </w:r>
          </w:p>
          <w:p w:rsidR="00A3101A" w:rsidRDefault="00A3101A" w:rsidP="00092A0A">
            <w:pPr>
              <w:pStyle w:val="TableParagraph"/>
              <w:spacing w:line="233" w:lineRule="exact"/>
              <w:ind w:left="4" w:right="20"/>
            </w:pPr>
            <w:r>
              <w:t>application of RECIST to</w:t>
            </w:r>
          </w:p>
          <w:p w:rsidR="00A3101A" w:rsidRDefault="00A3101A" w:rsidP="00092A0A">
            <w:pPr>
              <w:pStyle w:val="TableParagraph"/>
              <w:spacing w:line="229" w:lineRule="exact"/>
              <w:ind w:left="4" w:right="20"/>
            </w:pPr>
            <w:r>
              <w:t>investigator tumour assessments</w:t>
            </w:r>
          </w:p>
        </w:tc>
        <w:tc>
          <w:tcPr>
            <w:tcW w:w="1449" w:type="dxa"/>
          </w:tcPr>
          <w:p w:rsidR="00A3101A" w:rsidRDefault="00A3101A" w:rsidP="00092A0A">
            <w:pPr>
              <w:pStyle w:val="TableParagraph"/>
              <w:spacing w:line="236" w:lineRule="exact"/>
              <w:ind w:left="192" w:right="20"/>
              <w:jc w:val="center"/>
            </w:pPr>
            <w:r>
              <w:t>12.6</w:t>
            </w:r>
          </w:p>
          <w:p w:rsidR="00A3101A" w:rsidRDefault="00A3101A" w:rsidP="00092A0A">
            <w:pPr>
              <w:pStyle w:val="TableParagraph"/>
              <w:spacing w:line="234" w:lineRule="exact"/>
              <w:ind w:left="192" w:right="20"/>
              <w:jc w:val="center"/>
            </w:pPr>
            <w:r>
              <w:t>(7.4, 16.9)</w:t>
            </w:r>
          </w:p>
        </w:tc>
        <w:tc>
          <w:tcPr>
            <w:tcW w:w="1447" w:type="dxa"/>
          </w:tcPr>
          <w:p w:rsidR="00A3101A" w:rsidRDefault="00A3101A" w:rsidP="00092A0A">
            <w:pPr>
              <w:pStyle w:val="TableParagraph"/>
              <w:spacing w:line="236" w:lineRule="exact"/>
              <w:ind w:left="190" w:right="20"/>
              <w:jc w:val="center"/>
            </w:pPr>
            <w:r>
              <w:t>5.4</w:t>
            </w:r>
          </w:p>
          <w:p w:rsidR="00A3101A" w:rsidRDefault="00A3101A" w:rsidP="00092A0A">
            <w:pPr>
              <w:pStyle w:val="TableParagraph"/>
              <w:spacing w:line="234" w:lineRule="exact"/>
              <w:ind w:left="190" w:right="20"/>
              <w:jc w:val="center"/>
            </w:pPr>
            <w:r>
              <w:t>(3.5, 6.0)</w:t>
            </w:r>
          </w:p>
        </w:tc>
        <w:tc>
          <w:tcPr>
            <w:tcW w:w="1426" w:type="dxa"/>
          </w:tcPr>
          <w:p w:rsidR="00A3101A" w:rsidRDefault="00A3101A" w:rsidP="00092A0A">
            <w:pPr>
              <w:pStyle w:val="TableParagraph"/>
              <w:spacing w:line="236" w:lineRule="exact"/>
              <w:ind w:left="61" w:right="20"/>
              <w:jc w:val="center"/>
            </w:pPr>
            <w:r>
              <w:t>0.401</w:t>
            </w:r>
          </w:p>
          <w:p w:rsidR="00A3101A" w:rsidRDefault="00A3101A" w:rsidP="00092A0A">
            <w:pPr>
              <w:pStyle w:val="TableParagraph"/>
              <w:spacing w:line="234" w:lineRule="exact"/>
              <w:ind w:left="63" w:right="20"/>
              <w:jc w:val="center"/>
            </w:pPr>
            <w:r>
              <w:t>(0.252, 0.640)</w:t>
            </w:r>
          </w:p>
        </w:tc>
        <w:tc>
          <w:tcPr>
            <w:tcW w:w="1423" w:type="dxa"/>
          </w:tcPr>
          <w:p w:rsidR="00A3101A" w:rsidRDefault="00A3101A" w:rsidP="00092A0A">
            <w:pPr>
              <w:pStyle w:val="TableParagraph"/>
              <w:spacing w:line="236" w:lineRule="exact"/>
              <w:ind w:left="245" w:right="20"/>
              <w:jc w:val="center"/>
            </w:pPr>
            <w:r>
              <w:t>0.000066</w:t>
            </w:r>
            <w:r>
              <w:rPr>
                <w:vertAlign w:val="superscript"/>
              </w:rPr>
              <w:t>a</w:t>
            </w:r>
          </w:p>
        </w:tc>
      </w:tr>
      <w:tr w:rsidR="00A3101A" w:rsidTr="0020439E">
        <w:trPr>
          <w:trHeight w:val="1041"/>
        </w:trPr>
        <w:tc>
          <w:tcPr>
            <w:tcW w:w="3317" w:type="dxa"/>
          </w:tcPr>
          <w:p w:rsidR="00A3101A" w:rsidRDefault="00A3101A" w:rsidP="00092A0A">
            <w:pPr>
              <w:pStyle w:val="TableParagraph"/>
              <w:spacing w:line="237" w:lineRule="exact"/>
              <w:ind w:left="4" w:right="20"/>
            </w:pPr>
            <w:r>
              <w:t>Progression-free survival [median,</w:t>
            </w:r>
          </w:p>
          <w:p w:rsidR="00A3101A" w:rsidRDefault="00A3101A" w:rsidP="00092A0A">
            <w:pPr>
              <w:pStyle w:val="TableParagraph"/>
              <w:spacing w:line="233" w:lineRule="exact"/>
              <w:ind w:left="4" w:right="20"/>
            </w:pPr>
            <w:r>
              <w:t>months (95% CI)] by blinded</w:t>
            </w:r>
          </w:p>
          <w:p w:rsidR="00A3101A" w:rsidRDefault="00A3101A" w:rsidP="00092A0A">
            <w:pPr>
              <w:pStyle w:val="TableParagraph"/>
              <w:spacing w:line="233" w:lineRule="exact"/>
              <w:ind w:left="4" w:right="20"/>
            </w:pPr>
            <w:r>
              <w:t>independent central review of</w:t>
            </w:r>
          </w:p>
          <w:p w:rsidR="00A3101A" w:rsidRDefault="00A3101A" w:rsidP="00092A0A">
            <w:pPr>
              <w:pStyle w:val="TableParagraph"/>
              <w:spacing w:line="229" w:lineRule="exact"/>
              <w:ind w:left="4" w:right="20"/>
            </w:pPr>
            <w:r>
              <w:t>tumour assessments</w:t>
            </w:r>
          </w:p>
        </w:tc>
        <w:tc>
          <w:tcPr>
            <w:tcW w:w="1449" w:type="dxa"/>
          </w:tcPr>
          <w:p w:rsidR="00A3101A" w:rsidRDefault="00A3101A" w:rsidP="00092A0A">
            <w:pPr>
              <w:pStyle w:val="TableParagraph"/>
              <w:spacing w:line="237" w:lineRule="exact"/>
              <w:ind w:left="192" w:right="20"/>
              <w:jc w:val="center"/>
            </w:pPr>
            <w:r>
              <w:t>12.6</w:t>
            </w:r>
          </w:p>
          <w:p w:rsidR="00A3101A" w:rsidRDefault="00A3101A" w:rsidP="00092A0A">
            <w:pPr>
              <w:pStyle w:val="TableParagraph"/>
              <w:spacing w:line="233" w:lineRule="exact"/>
              <w:ind w:left="192" w:right="20"/>
              <w:jc w:val="center"/>
            </w:pPr>
            <w:r>
              <w:t>(11.1, 20.6)</w:t>
            </w:r>
          </w:p>
        </w:tc>
        <w:tc>
          <w:tcPr>
            <w:tcW w:w="1447" w:type="dxa"/>
          </w:tcPr>
          <w:p w:rsidR="00A3101A" w:rsidRDefault="00A3101A" w:rsidP="00092A0A">
            <w:pPr>
              <w:pStyle w:val="TableParagraph"/>
              <w:spacing w:line="237" w:lineRule="exact"/>
              <w:ind w:left="190" w:right="20"/>
              <w:jc w:val="center"/>
            </w:pPr>
            <w:r>
              <w:t>5.8</w:t>
            </w:r>
          </w:p>
          <w:p w:rsidR="00A3101A" w:rsidRDefault="00A3101A" w:rsidP="00092A0A">
            <w:pPr>
              <w:pStyle w:val="TableParagraph"/>
              <w:spacing w:line="233" w:lineRule="exact"/>
              <w:ind w:left="190" w:right="20"/>
              <w:jc w:val="center"/>
            </w:pPr>
            <w:r>
              <w:t>(3.8, 7.2)</w:t>
            </w:r>
          </w:p>
        </w:tc>
        <w:tc>
          <w:tcPr>
            <w:tcW w:w="1426" w:type="dxa"/>
          </w:tcPr>
          <w:p w:rsidR="00A3101A" w:rsidRDefault="00A3101A" w:rsidP="00092A0A">
            <w:pPr>
              <w:pStyle w:val="TableParagraph"/>
              <w:spacing w:line="237" w:lineRule="exact"/>
              <w:ind w:left="61" w:right="20"/>
              <w:jc w:val="center"/>
            </w:pPr>
            <w:r>
              <w:t>0.315</w:t>
            </w:r>
          </w:p>
          <w:p w:rsidR="00A3101A" w:rsidRDefault="00A3101A" w:rsidP="00092A0A">
            <w:pPr>
              <w:pStyle w:val="TableParagraph"/>
              <w:spacing w:line="233" w:lineRule="exact"/>
              <w:ind w:left="63" w:right="20"/>
              <w:jc w:val="center"/>
            </w:pPr>
            <w:r>
              <w:t>(0.181, 0.546)</w:t>
            </w:r>
          </w:p>
        </w:tc>
        <w:tc>
          <w:tcPr>
            <w:tcW w:w="1423" w:type="dxa"/>
          </w:tcPr>
          <w:p w:rsidR="00A3101A" w:rsidRDefault="00A3101A" w:rsidP="00092A0A">
            <w:pPr>
              <w:pStyle w:val="TableParagraph"/>
              <w:spacing w:line="237" w:lineRule="exact"/>
              <w:ind w:left="245" w:right="20"/>
              <w:jc w:val="center"/>
            </w:pPr>
            <w:r>
              <w:t>0.000015</w:t>
            </w:r>
            <w:r>
              <w:rPr>
                <w:vertAlign w:val="superscript"/>
              </w:rPr>
              <w:t>a</w:t>
            </w:r>
          </w:p>
        </w:tc>
      </w:tr>
      <w:tr w:rsidR="00A3101A" w:rsidTr="0020439E">
        <w:trPr>
          <w:trHeight w:val="515"/>
        </w:trPr>
        <w:tc>
          <w:tcPr>
            <w:tcW w:w="3317" w:type="dxa"/>
          </w:tcPr>
          <w:p w:rsidR="00A3101A" w:rsidRDefault="00A3101A" w:rsidP="00092A0A">
            <w:pPr>
              <w:pStyle w:val="TableParagraph"/>
              <w:spacing w:line="235" w:lineRule="exact"/>
              <w:ind w:left="4" w:right="20"/>
            </w:pPr>
            <w:r>
              <w:t>Overall survival [5 years follow-up]</w:t>
            </w:r>
          </w:p>
          <w:p w:rsidR="00A3101A" w:rsidRDefault="00A3101A" w:rsidP="00092A0A">
            <w:pPr>
              <w:pStyle w:val="TableParagraph"/>
              <w:spacing w:line="231" w:lineRule="exact"/>
              <w:ind w:left="4" w:right="20"/>
            </w:pPr>
            <w:r>
              <w:t>[median, months (95% CI)]</w:t>
            </w:r>
          </w:p>
        </w:tc>
        <w:tc>
          <w:tcPr>
            <w:tcW w:w="1449" w:type="dxa"/>
          </w:tcPr>
          <w:p w:rsidR="00A3101A" w:rsidRDefault="00A3101A" w:rsidP="00092A0A">
            <w:pPr>
              <w:pStyle w:val="TableParagraph"/>
              <w:spacing w:line="235" w:lineRule="exact"/>
              <w:ind w:left="192" w:right="20"/>
              <w:jc w:val="center"/>
            </w:pPr>
            <w:r>
              <w:t>38.6</w:t>
            </w:r>
          </w:p>
          <w:p w:rsidR="00A3101A" w:rsidRDefault="00A3101A" w:rsidP="00092A0A">
            <w:pPr>
              <w:pStyle w:val="TableParagraph"/>
              <w:spacing w:line="231" w:lineRule="exact"/>
              <w:ind w:left="192" w:right="20"/>
              <w:jc w:val="center"/>
            </w:pPr>
            <w:r>
              <w:t>(25.6, 56.4)</w:t>
            </w:r>
          </w:p>
        </w:tc>
        <w:tc>
          <w:tcPr>
            <w:tcW w:w="1447" w:type="dxa"/>
          </w:tcPr>
          <w:p w:rsidR="00A3101A" w:rsidRDefault="00A3101A" w:rsidP="00092A0A">
            <w:pPr>
              <w:pStyle w:val="TableParagraph"/>
              <w:spacing w:line="235" w:lineRule="exact"/>
              <w:ind w:left="190" w:right="20"/>
              <w:jc w:val="center"/>
            </w:pPr>
            <w:r>
              <w:t>29.1</w:t>
            </w:r>
          </w:p>
          <w:p w:rsidR="00A3101A" w:rsidRDefault="00A3101A" w:rsidP="00092A0A">
            <w:pPr>
              <w:pStyle w:val="TableParagraph"/>
              <w:spacing w:line="231" w:lineRule="exact"/>
              <w:ind w:left="190" w:right="20"/>
              <w:jc w:val="center"/>
            </w:pPr>
            <w:r>
              <w:t>(16.4, 36.8)</w:t>
            </w:r>
          </w:p>
        </w:tc>
        <w:tc>
          <w:tcPr>
            <w:tcW w:w="1426" w:type="dxa"/>
          </w:tcPr>
          <w:p w:rsidR="00A3101A" w:rsidRDefault="00A3101A" w:rsidP="00092A0A">
            <w:pPr>
              <w:pStyle w:val="TableParagraph"/>
              <w:spacing w:line="235" w:lineRule="exact"/>
              <w:ind w:left="61" w:right="20"/>
              <w:jc w:val="center"/>
            </w:pPr>
            <w:r>
              <w:t>0.730</w:t>
            </w:r>
          </w:p>
          <w:p w:rsidR="00A3101A" w:rsidRDefault="00A3101A" w:rsidP="00092A0A">
            <w:pPr>
              <w:pStyle w:val="TableParagraph"/>
              <w:spacing w:line="231" w:lineRule="exact"/>
              <w:ind w:left="63" w:right="20"/>
              <w:jc w:val="center"/>
            </w:pPr>
            <w:r>
              <w:t>(0.504, 1.057)</w:t>
            </w:r>
          </w:p>
        </w:tc>
        <w:tc>
          <w:tcPr>
            <w:tcW w:w="1423" w:type="dxa"/>
          </w:tcPr>
          <w:p w:rsidR="00A3101A" w:rsidRDefault="00A3101A" w:rsidP="00092A0A">
            <w:pPr>
              <w:pStyle w:val="TableParagraph"/>
              <w:spacing w:line="235" w:lineRule="exact"/>
              <w:ind w:left="245" w:right="20"/>
              <w:jc w:val="center"/>
            </w:pPr>
            <w:r>
              <w:t>0.0940</w:t>
            </w:r>
            <w:r>
              <w:rPr>
                <w:vertAlign w:val="superscript"/>
              </w:rPr>
              <w:t>a</w:t>
            </w:r>
          </w:p>
        </w:tc>
      </w:tr>
      <w:tr w:rsidR="00A3101A" w:rsidTr="0020439E">
        <w:trPr>
          <w:trHeight w:val="513"/>
        </w:trPr>
        <w:tc>
          <w:tcPr>
            <w:tcW w:w="3317" w:type="dxa"/>
          </w:tcPr>
          <w:p w:rsidR="00A3101A" w:rsidRDefault="00A3101A" w:rsidP="00092A0A">
            <w:pPr>
              <w:pStyle w:val="TableParagraph"/>
              <w:spacing w:line="235" w:lineRule="exact"/>
              <w:ind w:left="4" w:right="20"/>
            </w:pPr>
            <w:r>
              <w:t>Objective response rate</w:t>
            </w:r>
          </w:p>
          <w:p w:rsidR="00A3101A" w:rsidRDefault="00A3101A" w:rsidP="00092A0A">
            <w:pPr>
              <w:pStyle w:val="TableParagraph"/>
              <w:spacing w:line="228" w:lineRule="exact"/>
              <w:ind w:left="4" w:right="20"/>
            </w:pPr>
            <w:r>
              <w:t>[%, (95% CI)]</w:t>
            </w:r>
          </w:p>
        </w:tc>
        <w:tc>
          <w:tcPr>
            <w:tcW w:w="1449" w:type="dxa"/>
          </w:tcPr>
          <w:p w:rsidR="00A3101A" w:rsidRDefault="00A3101A" w:rsidP="00092A0A">
            <w:pPr>
              <w:pStyle w:val="TableParagraph"/>
              <w:spacing w:line="235" w:lineRule="exact"/>
              <w:ind w:left="188" w:right="20"/>
              <w:jc w:val="center"/>
            </w:pPr>
            <w:r>
              <w:t>9.3</w:t>
            </w:r>
          </w:p>
          <w:p w:rsidR="00A3101A" w:rsidRDefault="00A3101A" w:rsidP="00092A0A">
            <w:pPr>
              <w:pStyle w:val="TableParagraph"/>
              <w:spacing w:line="228" w:lineRule="exact"/>
              <w:ind w:left="192" w:right="20"/>
              <w:jc w:val="center"/>
            </w:pPr>
            <w:r>
              <w:t>(3.2, 15.4)</w:t>
            </w:r>
          </w:p>
        </w:tc>
        <w:tc>
          <w:tcPr>
            <w:tcW w:w="1447" w:type="dxa"/>
          </w:tcPr>
          <w:p w:rsidR="00A3101A" w:rsidRDefault="00A3101A" w:rsidP="00092A0A">
            <w:pPr>
              <w:pStyle w:val="TableParagraph"/>
              <w:spacing w:line="235" w:lineRule="exact"/>
              <w:ind w:left="10" w:right="20"/>
              <w:jc w:val="center"/>
            </w:pPr>
            <w:r>
              <w:t>0</w:t>
            </w:r>
          </w:p>
        </w:tc>
        <w:tc>
          <w:tcPr>
            <w:tcW w:w="1426" w:type="dxa"/>
          </w:tcPr>
          <w:p w:rsidR="00A3101A" w:rsidRDefault="00A3101A" w:rsidP="00092A0A">
            <w:pPr>
              <w:pStyle w:val="TableParagraph"/>
              <w:spacing w:line="235" w:lineRule="exact"/>
              <w:ind w:left="59" w:right="20"/>
              <w:jc w:val="center"/>
            </w:pPr>
            <w:r>
              <w:t>NA</w:t>
            </w:r>
          </w:p>
        </w:tc>
        <w:tc>
          <w:tcPr>
            <w:tcW w:w="1423" w:type="dxa"/>
          </w:tcPr>
          <w:p w:rsidR="00A3101A" w:rsidRDefault="00A3101A" w:rsidP="00092A0A">
            <w:pPr>
              <w:pStyle w:val="TableParagraph"/>
              <w:spacing w:line="235" w:lineRule="exact"/>
              <w:ind w:left="245" w:right="20"/>
              <w:jc w:val="center"/>
            </w:pPr>
            <w:r>
              <w:t>0.0066</w:t>
            </w:r>
            <w:r>
              <w:rPr>
                <w:vertAlign w:val="superscript"/>
              </w:rPr>
              <w:t>b</w:t>
            </w:r>
          </w:p>
        </w:tc>
      </w:tr>
    </w:tbl>
    <w:p w:rsidR="00457196" w:rsidRDefault="00346252" w:rsidP="00092A0A">
      <w:pPr>
        <w:ind w:left="243" w:right="20"/>
        <w:rPr>
          <w:sz w:val="20"/>
        </w:rPr>
      </w:pPr>
      <w:r>
        <w:rPr>
          <w:sz w:val="20"/>
        </w:rPr>
        <w:t>Abbreviations: CI=confidence interval; N=number of patients; NA=not applicable; pNET=pancreatic neuroendocrine tumours; RECIST=response evaluation criteria in solid tumours.</w:t>
      </w:r>
    </w:p>
    <w:p w:rsidR="00457196" w:rsidRDefault="00346252" w:rsidP="00092A0A">
      <w:pPr>
        <w:spacing w:before="1" w:line="229" w:lineRule="exact"/>
        <w:ind w:left="243" w:right="20"/>
        <w:rPr>
          <w:sz w:val="20"/>
        </w:rPr>
      </w:pPr>
      <w:r>
        <w:rPr>
          <w:sz w:val="20"/>
          <w:vertAlign w:val="superscript"/>
        </w:rPr>
        <w:t>a</w:t>
      </w:r>
      <w:r>
        <w:rPr>
          <w:sz w:val="20"/>
        </w:rPr>
        <w:t xml:space="preserve"> 2-sided unstratified log-rank test</w:t>
      </w:r>
    </w:p>
    <w:p w:rsidR="00457196" w:rsidRDefault="00346252" w:rsidP="00092A0A">
      <w:pPr>
        <w:spacing w:line="229" w:lineRule="exact"/>
        <w:ind w:left="243" w:right="20"/>
        <w:rPr>
          <w:sz w:val="20"/>
        </w:rPr>
      </w:pPr>
      <w:r>
        <w:rPr>
          <w:sz w:val="20"/>
          <w:vertAlign w:val="superscript"/>
        </w:rPr>
        <w:t>b</w:t>
      </w:r>
      <w:r>
        <w:rPr>
          <w:sz w:val="20"/>
        </w:rPr>
        <w:t xml:space="preserve"> Fisher’s Exact test</w:t>
      </w:r>
    </w:p>
    <w:p w:rsidR="00457196" w:rsidRDefault="00457196" w:rsidP="00092A0A">
      <w:pPr>
        <w:spacing w:line="229" w:lineRule="exact"/>
        <w:ind w:right="20"/>
        <w:rPr>
          <w:sz w:val="20"/>
        </w:rPr>
        <w:sectPr w:rsidR="00457196">
          <w:pgSz w:w="11910" w:h="16850"/>
          <w:pgMar w:top="1060" w:right="1080" w:bottom="900" w:left="1180" w:header="0" w:footer="634" w:gutter="0"/>
          <w:cols w:space="720"/>
        </w:sectPr>
      </w:pPr>
    </w:p>
    <w:p w:rsidR="00457196" w:rsidRDefault="00346252" w:rsidP="00092A0A">
      <w:pPr>
        <w:pStyle w:val="Heading1"/>
        <w:spacing w:before="70"/>
        <w:ind w:left="238" w:right="20"/>
      </w:pPr>
      <w:r>
        <w:t>Figure 1. Kaplan-Meier plot of PFS in the pNET Phase 3 study</w:t>
      </w:r>
    </w:p>
    <w:p w:rsidR="00457196" w:rsidRDefault="00457196" w:rsidP="00092A0A">
      <w:pPr>
        <w:pStyle w:val="BodyText"/>
        <w:ind w:right="20"/>
        <w:rPr>
          <w:b/>
          <w:sz w:val="20"/>
        </w:rPr>
      </w:pPr>
    </w:p>
    <w:p w:rsidR="00457196" w:rsidRDefault="00811500" w:rsidP="00092A0A">
      <w:pPr>
        <w:pStyle w:val="BodyText"/>
        <w:spacing w:before="6"/>
        <w:ind w:right="20"/>
        <w:rPr>
          <w:b/>
          <w:sz w:val="19"/>
        </w:rPr>
      </w:pPr>
      <w:r>
        <w:rPr>
          <w:b/>
          <w:noProof/>
          <w:sz w:val="19"/>
        </w:rPr>
        <mc:AlternateContent>
          <mc:Choice Requires="wps">
            <w:drawing>
              <wp:anchor distT="0" distB="0" distL="114300" distR="114300" simplePos="0" relativeHeight="251658240" behindDoc="0" locked="0" layoutInCell="1" allowOverlap="1" wp14:anchorId="248160A6" wp14:editId="12657609">
                <wp:simplePos x="0" y="0"/>
                <wp:positionH relativeFrom="column">
                  <wp:posOffset>1170940</wp:posOffset>
                </wp:positionH>
                <wp:positionV relativeFrom="paragraph">
                  <wp:posOffset>128270</wp:posOffset>
                </wp:positionV>
                <wp:extent cx="0" cy="2439035"/>
                <wp:effectExtent l="0" t="0" r="0" b="0"/>
                <wp:wrapNone/>
                <wp:docPr id="57"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39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69E8E" id="_x0000_t32" coordsize="21600,21600" o:spt="32" o:oned="t" path="m,l21600,21600e" filled="f">
                <v:path arrowok="t" fillok="f" o:connecttype="none"/>
                <o:lock v:ext="edit" shapetype="t"/>
              </v:shapetype>
              <v:shape id="AutoShape 286" o:spid="_x0000_s1026" type="#_x0000_t32" style="position:absolute;margin-left:92.2pt;margin-top:10.1pt;width:0;height:192.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"/>
            </w:pict>
          </mc:Fallback>
        </mc:AlternateContent>
      </w:r>
    </w:p>
    <w:p w:rsidR="00457196" w:rsidRDefault="00457196" w:rsidP="00092A0A">
      <w:pPr>
        <w:ind w:right="20"/>
        <w:rPr>
          <w:sz w:val="19"/>
        </w:rPr>
        <w:sectPr w:rsidR="00457196">
          <w:pgSz w:w="11910" w:h="16850"/>
          <w:pgMar w:top="1060" w:right="1080" w:bottom="900" w:left="1180" w:header="0" w:footer="634" w:gutter="0"/>
          <w:cols w:space="720"/>
        </w:sectPr>
      </w:pPr>
    </w:p>
    <w:p w:rsidR="00457196" w:rsidRDefault="00811500" w:rsidP="00092A0A">
      <w:pPr>
        <w:spacing w:before="94"/>
        <w:ind w:right="20"/>
        <w:jc w:val="right"/>
        <w:rPr>
          <w:rFonts w:ascii="Arial"/>
          <w:sz w:val="17"/>
        </w:rPr>
      </w:pPr>
      <w:r>
        <w:rPr>
          <w:noProof/>
        </w:rPr>
        <mc:AlternateContent>
          <mc:Choice Requires="wpg">
            <w:drawing>
              <wp:anchor distT="0" distB="0" distL="114300" distR="114300" simplePos="0" relativeHeight="15729664" behindDoc="0" locked="0" layoutInCell="1" allowOverlap="1" wp14:anchorId="596DE473" wp14:editId="67E1FDEB">
                <wp:simplePos x="0" y="0"/>
                <wp:positionH relativeFrom="page">
                  <wp:posOffset>1866265</wp:posOffset>
                </wp:positionH>
                <wp:positionV relativeFrom="paragraph">
                  <wp:posOffset>19685</wp:posOffset>
                </wp:positionV>
                <wp:extent cx="3670300" cy="2437765"/>
                <wp:effectExtent l="0" t="0" r="0" b="0"/>
                <wp:wrapNone/>
                <wp:docPr id="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0300" cy="2437765"/>
                          <a:chOff x="2789" y="31"/>
                          <a:chExt cx="5780" cy="3839"/>
                        </a:xfrm>
                      </wpg:grpSpPr>
                      <wps:wsp>
                        <wps:cNvPr id="5" name="Rectangle 284"/>
                        <wps:cNvSpPr>
                          <a:spLocks noChangeArrowheads="1"/>
                        </wps:cNvSpPr>
                        <wps:spPr bwMode="auto">
                          <a:xfrm>
                            <a:off x="2864" y="3785"/>
                            <a:ext cx="569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283"/>
                        <wps:cNvCnPr>
                          <a:cxnSpLocks noChangeShapeType="1"/>
                        </wps:cNvCnPr>
                        <wps:spPr bwMode="auto">
                          <a:xfrm>
                            <a:off x="8567"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7" name="Line 282"/>
                        <wps:cNvCnPr>
                          <a:cxnSpLocks noChangeShapeType="1"/>
                        </wps:cNvCnPr>
                        <wps:spPr bwMode="auto">
                          <a:xfrm>
                            <a:off x="2865"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8" name="Line 281"/>
                        <wps:cNvCnPr>
                          <a:cxnSpLocks noChangeShapeType="1"/>
                        </wps:cNvCnPr>
                        <wps:spPr bwMode="auto">
                          <a:xfrm>
                            <a:off x="2874"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9" name="Line 280"/>
                        <wps:cNvCnPr>
                          <a:cxnSpLocks noChangeShapeType="1"/>
                        </wps:cNvCnPr>
                        <wps:spPr bwMode="auto">
                          <a:xfrm>
                            <a:off x="3641"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10" name="Line 279"/>
                        <wps:cNvCnPr>
                          <a:cxnSpLocks noChangeShapeType="1"/>
                        </wps:cNvCnPr>
                        <wps:spPr bwMode="auto">
                          <a:xfrm>
                            <a:off x="3650"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11" name="Line 278"/>
                        <wps:cNvCnPr>
                          <a:cxnSpLocks noChangeShapeType="1"/>
                        </wps:cNvCnPr>
                        <wps:spPr bwMode="auto">
                          <a:xfrm>
                            <a:off x="4417"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12" name="Line 277"/>
                        <wps:cNvCnPr>
                          <a:cxnSpLocks noChangeShapeType="1"/>
                        </wps:cNvCnPr>
                        <wps:spPr bwMode="auto">
                          <a:xfrm>
                            <a:off x="4425" y="3802"/>
                            <a:ext cx="3" cy="0"/>
                          </a:xfrm>
                          <a:prstGeom prst="line">
                            <a:avLst/>
                          </a:prstGeom>
                          <a:noFill/>
                          <a:ln w="2655">
                            <a:solidFill>
                              <a:srgbClr val="000000"/>
                            </a:solidFill>
                            <a:round/>
                            <a:headEnd/>
                            <a:tailEnd/>
                          </a:ln>
                          <a:extLst>
                            <a:ext uri="{909E8E84-426E-40DD-AFC4-6F175D3DCCD1}">
                              <a14:hiddenFill xmlns:a14="http://schemas.microsoft.com/office/drawing/2010/main">
                                <a:noFill/>
                              </a14:hiddenFill>
                            </a:ext>
                          </a:extLst>
                        </wps:spPr>
                        <wps:bodyPr/>
                      </wps:wsp>
                      <wps:wsp>
                        <wps:cNvPr id="13" name="Line 276"/>
                        <wps:cNvCnPr>
                          <a:cxnSpLocks noChangeShapeType="1"/>
                        </wps:cNvCnPr>
                        <wps:spPr bwMode="auto">
                          <a:xfrm>
                            <a:off x="5194"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14" name="Line 275"/>
                        <wps:cNvCnPr>
                          <a:cxnSpLocks noChangeShapeType="1"/>
                        </wps:cNvCnPr>
                        <wps:spPr bwMode="auto">
                          <a:xfrm>
                            <a:off x="5202" y="3802"/>
                            <a:ext cx="2" cy="0"/>
                          </a:xfrm>
                          <a:prstGeom prst="line">
                            <a:avLst/>
                          </a:prstGeom>
                          <a:noFill/>
                          <a:ln w="2655">
                            <a:solidFill>
                              <a:srgbClr val="000000"/>
                            </a:solidFill>
                            <a:round/>
                            <a:headEnd/>
                            <a:tailEnd/>
                          </a:ln>
                          <a:extLst>
                            <a:ext uri="{909E8E84-426E-40DD-AFC4-6F175D3DCCD1}">
                              <a14:hiddenFill xmlns:a14="http://schemas.microsoft.com/office/drawing/2010/main">
                                <a:noFill/>
                              </a14:hiddenFill>
                            </a:ext>
                          </a:extLst>
                        </wps:spPr>
                        <wps:bodyPr/>
                      </wps:wsp>
                      <wps:wsp>
                        <wps:cNvPr id="15" name="Line 274"/>
                        <wps:cNvCnPr>
                          <a:cxnSpLocks noChangeShapeType="1"/>
                        </wps:cNvCnPr>
                        <wps:spPr bwMode="auto">
                          <a:xfrm>
                            <a:off x="5970"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16" name="Line 273"/>
                        <wps:cNvCnPr>
                          <a:cxnSpLocks noChangeShapeType="1"/>
                        </wps:cNvCnPr>
                        <wps:spPr bwMode="auto">
                          <a:xfrm>
                            <a:off x="5979"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17" name="Line 272"/>
                        <wps:cNvCnPr>
                          <a:cxnSpLocks noChangeShapeType="1"/>
                        </wps:cNvCnPr>
                        <wps:spPr bwMode="auto">
                          <a:xfrm>
                            <a:off x="6746"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18" name="Line 271"/>
                        <wps:cNvCnPr>
                          <a:cxnSpLocks noChangeShapeType="1"/>
                        </wps:cNvCnPr>
                        <wps:spPr bwMode="auto">
                          <a:xfrm>
                            <a:off x="6755"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19" name="Line 270"/>
                        <wps:cNvCnPr>
                          <a:cxnSpLocks noChangeShapeType="1"/>
                        </wps:cNvCnPr>
                        <wps:spPr bwMode="auto">
                          <a:xfrm>
                            <a:off x="7523"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20" name="Line 269"/>
                        <wps:cNvCnPr>
                          <a:cxnSpLocks noChangeShapeType="1"/>
                        </wps:cNvCnPr>
                        <wps:spPr bwMode="auto">
                          <a:xfrm>
                            <a:off x="7532"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21" name="Line 268"/>
                        <wps:cNvCnPr>
                          <a:cxnSpLocks noChangeShapeType="1"/>
                        </wps:cNvCnPr>
                        <wps:spPr bwMode="auto">
                          <a:xfrm>
                            <a:off x="8299" y="3870"/>
                            <a:ext cx="0" cy="0"/>
                          </a:xfrm>
                          <a:prstGeom prst="line">
                            <a:avLst/>
                          </a:prstGeom>
                          <a:noFill/>
                          <a:ln w="2833">
                            <a:solidFill>
                              <a:srgbClr val="000000"/>
                            </a:solidFill>
                            <a:round/>
                            <a:headEnd/>
                            <a:tailEnd/>
                          </a:ln>
                          <a:extLst>
                            <a:ext uri="{909E8E84-426E-40DD-AFC4-6F175D3DCCD1}">
                              <a14:hiddenFill xmlns:a14="http://schemas.microsoft.com/office/drawing/2010/main">
                                <a:noFill/>
                              </a14:hiddenFill>
                            </a:ext>
                          </a:extLst>
                        </wps:spPr>
                        <wps:bodyPr/>
                      </wps:wsp>
                      <wps:wsp>
                        <wps:cNvPr id="22" name="Line 267"/>
                        <wps:cNvCnPr>
                          <a:cxnSpLocks noChangeShapeType="1"/>
                        </wps:cNvCnPr>
                        <wps:spPr bwMode="auto">
                          <a:xfrm>
                            <a:off x="8308" y="3800"/>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66"/>
                        <wps:cNvSpPr>
                          <a:spLocks noChangeArrowheads="1"/>
                        </wps:cNvSpPr>
                        <wps:spPr bwMode="auto">
                          <a:xfrm>
                            <a:off x="2858" y="31"/>
                            <a:ext cx="13" cy="37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65"/>
                        <wps:cNvCnPr>
                          <a:cxnSpLocks noChangeShapeType="1"/>
                        </wps:cNvCnPr>
                        <wps:spPr bwMode="auto">
                          <a:xfrm>
                            <a:off x="2874" y="37"/>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25" name="Line 264"/>
                        <wps:cNvCnPr>
                          <a:cxnSpLocks noChangeShapeType="1"/>
                        </wps:cNvCnPr>
                        <wps:spPr bwMode="auto">
                          <a:xfrm>
                            <a:off x="2789" y="3655"/>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3"/>
                        <wps:cNvCnPr>
                          <a:cxnSpLocks noChangeShapeType="1"/>
                        </wps:cNvCnPr>
                        <wps:spPr bwMode="auto">
                          <a:xfrm>
                            <a:off x="2874" y="3661"/>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27" name="Line 262"/>
                        <wps:cNvCnPr>
                          <a:cxnSpLocks noChangeShapeType="1"/>
                        </wps:cNvCnPr>
                        <wps:spPr bwMode="auto">
                          <a:xfrm>
                            <a:off x="2789" y="3306"/>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61"/>
                        <wps:cNvCnPr>
                          <a:cxnSpLocks noChangeShapeType="1"/>
                        </wps:cNvCnPr>
                        <wps:spPr bwMode="auto">
                          <a:xfrm>
                            <a:off x="2874" y="3312"/>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29" name="Line 260"/>
                        <wps:cNvCnPr>
                          <a:cxnSpLocks noChangeShapeType="1"/>
                        </wps:cNvCnPr>
                        <wps:spPr bwMode="auto">
                          <a:xfrm>
                            <a:off x="2789" y="2958"/>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59"/>
                        <wps:cNvCnPr>
                          <a:cxnSpLocks noChangeShapeType="1"/>
                        </wps:cNvCnPr>
                        <wps:spPr bwMode="auto">
                          <a:xfrm>
                            <a:off x="2874" y="2964"/>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31" name="Line 258"/>
                        <wps:cNvCnPr>
                          <a:cxnSpLocks noChangeShapeType="1"/>
                        </wps:cNvCnPr>
                        <wps:spPr bwMode="auto">
                          <a:xfrm>
                            <a:off x="2789" y="2609"/>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57"/>
                        <wps:cNvCnPr>
                          <a:cxnSpLocks noChangeShapeType="1"/>
                        </wps:cNvCnPr>
                        <wps:spPr bwMode="auto">
                          <a:xfrm>
                            <a:off x="2874" y="2615"/>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33" name="Line 256"/>
                        <wps:cNvCnPr>
                          <a:cxnSpLocks noChangeShapeType="1"/>
                        </wps:cNvCnPr>
                        <wps:spPr bwMode="auto">
                          <a:xfrm>
                            <a:off x="2789" y="2260"/>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55"/>
                        <wps:cNvCnPr>
                          <a:cxnSpLocks noChangeShapeType="1"/>
                        </wps:cNvCnPr>
                        <wps:spPr bwMode="auto">
                          <a:xfrm>
                            <a:off x="2874" y="2266"/>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35" name="Line 254"/>
                        <wps:cNvCnPr>
                          <a:cxnSpLocks noChangeShapeType="1"/>
                        </wps:cNvCnPr>
                        <wps:spPr bwMode="auto">
                          <a:xfrm>
                            <a:off x="2789" y="1911"/>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53"/>
                        <wps:cNvCnPr>
                          <a:cxnSpLocks noChangeShapeType="1"/>
                        </wps:cNvCnPr>
                        <wps:spPr bwMode="auto">
                          <a:xfrm>
                            <a:off x="2874" y="1918"/>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37" name="Line 252"/>
                        <wps:cNvCnPr>
                          <a:cxnSpLocks noChangeShapeType="1"/>
                        </wps:cNvCnPr>
                        <wps:spPr bwMode="auto">
                          <a:xfrm>
                            <a:off x="2789" y="1565"/>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51"/>
                        <wps:cNvCnPr>
                          <a:cxnSpLocks noChangeShapeType="1"/>
                        </wps:cNvCnPr>
                        <wps:spPr bwMode="auto">
                          <a:xfrm>
                            <a:off x="2874" y="1571"/>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39" name="Line 250"/>
                        <wps:cNvCnPr>
                          <a:cxnSpLocks noChangeShapeType="1"/>
                        </wps:cNvCnPr>
                        <wps:spPr bwMode="auto">
                          <a:xfrm>
                            <a:off x="2789" y="1216"/>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49"/>
                        <wps:cNvCnPr>
                          <a:cxnSpLocks noChangeShapeType="1"/>
                        </wps:cNvCnPr>
                        <wps:spPr bwMode="auto">
                          <a:xfrm>
                            <a:off x="2874" y="1222"/>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41" name="Line 248"/>
                        <wps:cNvCnPr>
                          <a:cxnSpLocks noChangeShapeType="1"/>
                        </wps:cNvCnPr>
                        <wps:spPr bwMode="auto">
                          <a:xfrm>
                            <a:off x="2789" y="867"/>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47"/>
                        <wps:cNvCnPr>
                          <a:cxnSpLocks noChangeShapeType="1"/>
                        </wps:cNvCnPr>
                        <wps:spPr bwMode="auto">
                          <a:xfrm>
                            <a:off x="2874" y="873"/>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43" name="Line 246"/>
                        <wps:cNvCnPr>
                          <a:cxnSpLocks noChangeShapeType="1"/>
                        </wps:cNvCnPr>
                        <wps:spPr bwMode="auto">
                          <a:xfrm>
                            <a:off x="2789" y="518"/>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45"/>
                        <wps:cNvCnPr>
                          <a:cxnSpLocks noChangeShapeType="1"/>
                        </wps:cNvCnPr>
                        <wps:spPr bwMode="auto">
                          <a:xfrm>
                            <a:off x="2874" y="524"/>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45" name="Line 244"/>
                        <wps:cNvCnPr>
                          <a:cxnSpLocks noChangeShapeType="1"/>
                        </wps:cNvCnPr>
                        <wps:spPr bwMode="auto">
                          <a:xfrm>
                            <a:off x="2789" y="169"/>
                            <a:ext cx="76" cy="0"/>
                          </a:xfrm>
                          <a:prstGeom prst="line">
                            <a:avLst/>
                          </a:prstGeom>
                          <a:noFill/>
                          <a:ln w="28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43"/>
                        <wps:cNvCnPr>
                          <a:cxnSpLocks noChangeShapeType="1"/>
                        </wps:cNvCnPr>
                        <wps:spPr bwMode="auto">
                          <a:xfrm>
                            <a:off x="2874" y="176"/>
                            <a:ext cx="0" cy="4"/>
                          </a:xfrm>
                          <a:prstGeom prst="line">
                            <a:avLst/>
                          </a:prstGeom>
                          <a:noFill/>
                          <a:ln w="951">
                            <a:solidFill>
                              <a:srgbClr val="000000"/>
                            </a:solidFill>
                            <a:round/>
                            <a:headEnd/>
                            <a:tailEnd/>
                          </a:ln>
                          <a:extLst>
                            <a:ext uri="{909E8E84-426E-40DD-AFC4-6F175D3DCCD1}">
                              <a14:hiddenFill xmlns:a14="http://schemas.microsoft.com/office/drawing/2010/main">
                                <a:noFill/>
                              </a14:hiddenFill>
                            </a:ext>
                          </a:extLst>
                        </wps:spPr>
                        <wps:bodyPr/>
                      </wps:wsp>
                      <wps:wsp>
                        <wps:cNvPr id="47" name="Freeform 242"/>
                        <wps:cNvSpPr>
                          <a:spLocks/>
                        </wps:cNvSpPr>
                        <wps:spPr bwMode="auto">
                          <a:xfrm>
                            <a:off x="2864" y="169"/>
                            <a:ext cx="5135" cy="3486"/>
                          </a:xfrm>
                          <a:custGeom>
                            <a:avLst/>
                            <a:gdLst>
                              <a:gd name="T0" fmla="+- 0 2865 2865"/>
                              <a:gd name="T1" fmla="*/ T0 w 5135"/>
                              <a:gd name="T2" fmla="+- 0 169 169"/>
                              <a:gd name="T3" fmla="*/ 169 h 3486"/>
                              <a:gd name="T4" fmla="+- 0 3035 2865"/>
                              <a:gd name="T5" fmla="*/ T4 w 5135"/>
                              <a:gd name="T6" fmla="+- 0 169 169"/>
                              <a:gd name="T7" fmla="*/ 169 h 3486"/>
                              <a:gd name="T8" fmla="+- 0 3035 2865"/>
                              <a:gd name="T9" fmla="*/ T8 w 5135"/>
                              <a:gd name="T10" fmla="+- 0 214 169"/>
                              <a:gd name="T11" fmla="*/ 214 h 3486"/>
                              <a:gd name="T12" fmla="+- 0 3103 2865"/>
                              <a:gd name="T13" fmla="*/ T12 w 5135"/>
                              <a:gd name="T14" fmla="+- 0 214 169"/>
                              <a:gd name="T15" fmla="*/ 214 h 3486"/>
                              <a:gd name="T16" fmla="+- 0 3103 2865"/>
                              <a:gd name="T17" fmla="*/ T16 w 5135"/>
                              <a:gd name="T18" fmla="+- 0 258 169"/>
                              <a:gd name="T19" fmla="*/ 258 h 3486"/>
                              <a:gd name="T20" fmla="+- 0 3111 2865"/>
                              <a:gd name="T21" fmla="*/ T20 w 5135"/>
                              <a:gd name="T22" fmla="+- 0 258 169"/>
                              <a:gd name="T23" fmla="*/ 258 h 3486"/>
                              <a:gd name="T24" fmla="+- 0 3111 2865"/>
                              <a:gd name="T25" fmla="*/ T24 w 5135"/>
                              <a:gd name="T26" fmla="+- 0 438 169"/>
                              <a:gd name="T27" fmla="*/ 438 h 3486"/>
                              <a:gd name="T28" fmla="+- 0 3129 2865"/>
                              <a:gd name="T29" fmla="*/ T28 w 5135"/>
                              <a:gd name="T30" fmla="+- 0 438 169"/>
                              <a:gd name="T31" fmla="*/ 438 h 3486"/>
                              <a:gd name="T32" fmla="+- 0 3129 2865"/>
                              <a:gd name="T33" fmla="*/ T32 w 5135"/>
                              <a:gd name="T34" fmla="+- 0 484 169"/>
                              <a:gd name="T35" fmla="*/ 484 h 3486"/>
                              <a:gd name="T36" fmla="+- 0 3137 2865"/>
                              <a:gd name="T37" fmla="*/ T36 w 5135"/>
                              <a:gd name="T38" fmla="+- 0 484 169"/>
                              <a:gd name="T39" fmla="*/ 484 h 3486"/>
                              <a:gd name="T40" fmla="+- 0 3137 2865"/>
                              <a:gd name="T41" fmla="*/ T40 w 5135"/>
                              <a:gd name="T42" fmla="+- 0 529 169"/>
                              <a:gd name="T43" fmla="*/ 529 h 3486"/>
                              <a:gd name="T44" fmla="+- 0 3162 2865"/>
                              <a:gd name="T45" fmla="*/ T44 w 5135"/>
                              <a:gd name="T46" fmla="+- 0 529 169"/>
                              <a:gd name="T47" fmla="*/ 529 h 3486"/>
                              <a:gd name="T48" fmla="+- 0 3162 2865"/>
                              <a:gd name="T49" fmla="*/ T48 w 5135"/>
                              <a:gd name="T50" fmla="+- 0 575 169"/>
                              <a:gd name="T51" fmla="*/ 575 h 3486"/>
                              <a:gd name="T52" fmla="+- 0 3179 2865"/>
                              <a:gd name="T53" fmla="*/ T52 w 5135"/>
                              <a:gd name="T54" fmla="+- 0 575 169"/>
                              <a:gd name="T55" fmla="*/ 575 h 3486"/>
                              <a:gd name="T56" fmla="+- 0 3179 2865"/>
                              <a:gd name="T57" fmla="*/ T56 w 5135"/>
                              <a:gd name="T58" fmla="+- 0 622 169"/>
                              <a:gd name="T59" fmla="*/ 622 h 3486"/>
                              <a:gd name="T60" fmla="+- 0 3350 2865"/>
                              <a:gd name="T61" fmla="*/ T60 w 5135"/>
                              <a:gd name="T62" fmla="+- 0 622 169"/>
                              <a:gd name="T63" fmla="*/ 622 h 3486"/>
                              <a:gd name="T64" fmla="+- 0 3350 2865"/>
                              <a:gd name="T65" fmla="*/ T64 w 5135"/>
                              <a:gd name="T66" fmla="+- 0 728 169"/>
                              <a:gd name="T67" fmla="*/ 728 h 3486"/>
                              <a:gd name="T68" fmla="+- 0 3410 2865"/>
                              <a:gd name="T69" fmla="*/ T68 w 5135"/>
                              <a:gd name="T70" fmla="+- 0 728 169"/>
                              <a:gd name="T71" fmla="*/ 728 h 3486"/>
                              <a:gd name="T72" fmla="+- 0 3410 2865"/>
                              <a:gd name="T73" fmla="*/ T72 w 5135"/>
                              <a:gd name="T74" fmla="+- 0 781 169"/>
                              <a:gd name="T75" fmla="*/ 781 h 3486"/>
                              <a:gd name="T76" fmla="+- 0 3443 2865"/>
                              <a:gd name="T77" fmla="*/ T76 w 5135"/>
                              <a:gd name="T78" fmla="+- 0 781 169"/>
                              <a:gd name="T79" fmla="*/ 781 h 3486"/>
                              <a:gd name="T80" fmla="+- 0 3443 2865"/>
                              <a:gd name="T81" fmla="*/ T80 w 5135"/>
                              <a:gd name="T82" fmla="+- 0 836 169"/>
                              <a:gd name="T83" fmla="*/ 836 h 3486"/>
                              <a:gd name="T84" fmla="+- 0 3836 2865"/>
                              <a:gd name="T85" fmla="*/ T84 w 5135"/>
                              <a:gd name="T86" fmla="+- 0 836 169"/>
                              <a:gd name="T87" fmla="*/ 836 h 3486"/>
                              <a:gd name="T88" fmla="+- 0 3836 2865"/>
                              <a:gd name="T89" fmla="*/ T88 w 5135"/>
                              <a:gd name="T90" fmla="+- 0 898 169"/>
                              <a:gd name="T91" fmla="*/ 898 h 3486"/>
                              <a:gd name="T92" fmla="+- 0 3904 2865"/>
                              <a:gd name="T93" fmla="*/ T92 w 5135"/>
                              <a:gd name="T94" fmla="+- 0 898 169"/>
                              <a:gd name="T95" fmla="*/ 898 h 3486"/>
                              <a:gd name="T96" fmla="+- 0 3904 2865"/>
                              <a:gd name="T97" fmla="*/ T96 w 5135"/>
                              <a:gd name="T98" fmla="+- 0 964 169"/>
                              <a:gd name="T99" fmla="*/ 964 h 3486"/>
                              <a:gd name="T100" fmla="+- 0 3954 2865"/>
                              <a:gd name="T101" fmla="*/ T100 w 5135"/>
                              <a:gd name="T102" fmla="+- 0 964 169"/>
                              <a:gd name="T103" fmla="*/ 964 h 3486"/>
                              <a:gd name="T104" fmla="+- 0 3954 2865"/>
                              <a:gd name="T105" fmla="*/ T104 w 5135"/>
                              <a:gd name="T106" fmla="+- 0 1031 169"/>
                              <a:gd name="T107" fmla="*/ 1031 h 3486"/>
                              <a:gd name="T108" fmla="+- 0 4278 2865"/>
                              <a:gd name="T109" fmla="*/ T108 w 5135"/>
                              <a:gd name="T110" fmla="+- 0 1031 169"/>
                              <a:gd name="T111" fmla="*/ 1031 h 3486"/>
                              <a:gd name="T112" fmla="+- 0 4278 2865"/>
                              <a:gd name="T113" fmla="*/ T112 w 5135"/>
                              <a:gd name="T114" fmla="+- 0 1099 169"/>
                              <a:gd name="T115" fmla="*/ 1099 h 3486"/>
                              <a:gd name="T116" fmla="+- 0 4329 2865"/>
                              <a:gd name="T117" fmla="*/ T116 w 5135"/>
                              <a:gd name="T118" fmla="+- 0 1099 169"/>
                              <a:gd name="T119" fmla="*/ 1099 h 3486"/>
                              <a:gd name="T120" fmla="+- 0 4329 2865"/>
                              <a:gd name="T121" fmla="*/ T120 w 5135"/>
                              <a:gd name="T122" fmla="+- 0 1171 169"/>
                              <a:gd name="T123" fmla="*/ 1171 h 3486"/>
                              <a:gd name="T124" fmla="+- 0 4422 2865"/>
                              <a:gd name="T125" fmla="*/ T124 w 5135"/>
                              <a:gd name="T126" fmla="+- 0 1171 169"/>
                              <a:gd name="T127" fmla="*/ 1171 h 3486"/>
                              <a:gd name="T128" fmla="+- 0 4422 2865"/>
                              <a:gd name="T129" fmla="*/ T128 w 5135"/>
                              <a:gd name="T130" fmla="+- 0 1244 169"/>
                              <a:gd name="T131" fmla="*/ 1244 h 3486"/>
                              <a:gd name="T132" fmla="+- 0 4439 2865"/>
                              <a:gd name="T133" fmla="*/ T132 w 5135"/>
                              <a:gd name="T134" fmla="+- 0 1244 169"/>
                              <a:gd name="T135" fmla="*/ 1244 h 3486"/>
                              <a:gd name="T136" fmla="+- 0 4439 2865"/>
                              <a:gd name="T137" fmla="*/ T136 w 5135"/>
                              <a:gd name="T138" fmla="+- 0 1320 169"/>
                              <a:gd name="T139" fmla="*/ 1320 h 3486"/>
                              <a:gd name="T140" fmla="+- 0 4729 2865"/>
                              <a:gd name="T141" fmla="*/ T140 w 5135"/>
                              <a:gd name="T142" fmla="+- 0 1320 169"/>
                              <a:gd name="T143" fmla="*/ 1320 h 3486"/>
                              <a:gd name="T144" fmla="+- 0 4729 2865"/>
                              <a:gd name="T145" fmla="*/ T144 w 5135"/>
                              <a:gd name="T146" fmla="+- 0 1396 169"/>
                              <a:gd name="T147" fmla="*/ 1396 h 3486"/>
                              <a:gd name="T148" fmla="+- 0 4779 2865"/>
                              <a:gd name="T149" fmla="*/ T148 w 5135"/>
                              <a:gd name="T150" fmla="+- 0 1396 169"/>
                              <a:gd name="T151" fmla="*/ 1396 h 3486"/>
                              <a:gd name="T152" fmla="+- 0 4779 2865"/>
                              <a:gd name="T153" fmla="*/ T152 w 5135"/>
                              <a:gd name="T154" fmla="+- 0 1552 169"/>
                              <a:gd name="T155" fmla="*/ 1552 h 3486"/>
                              <a:gd name="T156" fmla="+- 0 4807 2865"/>
                              <a:gd name="T157" fmla="*/ T156 w 5135"/>
                              <a:gd name="T158" fmla="+- 0 1552 169"/>
                              <a:gd name="T159" fmla="*/ 1552 h 3486"/>
                              <a:gd name="T160" fmla="+- 0 4807 2865"/>
                              <a:gd name="T161" fmla="*/ T160 w 5135"/>
                              <a:gd name="T162" fmla="+- 0 1638 169"/>
                              <a:gd name="T163" fmla="*/ 1638 h 3486"/>
                              <a:gd name="T164" fmla="+- 0 5010 2865"/>
                              <a:gd name="T165" fmla="*/ T164 w 5135"/>
                              <a:gd name="T166" fmla="+- 0 1638 169"/>
                              <a:gd name="T167" fmla="*/ 1638 h 3486"/>
                              <a:gd name="T168" fmla="+- 0 5010 2865"/>
                              <a:gd name="T169" fmla="*/ T168 w 5135"/>
                              <a:gd name="T170" fmla="+- 0 1727 169"/>
                              <a:gd name="T171" fmla="*/ 1727 h 3486"/>
                              <a:gd name="T172" fmla="+- 0 5734 2865"/>
                              <a:gd name="T173" fmla="*/ T172 w 5135"/>
                              <a:gd name="T174" fmla="+- 0 1727 169"/>
                              <a:gd name="T175" fmla="*/ 1727 h 3486"/>
                              <a:gd name="T176" fmla="+- 0 5734 2865"/>
                              <a:gd name="T177" fmla="*/ T176 w 5135"/>
                              <a:gd name="T178" fmla="+- 0 1828 169"/>
                              <a:gd name="T179" fmla="*/ 1828 h 3486"/>
                              <a:gd name="T180" fmla="+- 0 5810 2865"/>
                              <a:gd name="T181" fmla="*/ T180 w 5135"/>
                              <a:gd name="T182" fmla="+- 0 1828 169"/>
                              <a:gd name="T183" fmla="*/ 1828 h 3486"/>
                              <a:gd name="T184" fmla="+- 0 5810 2865"/>
                              <a:gd name="T185" fmla="*/ T184 w 5135"/>
                              <a:gd name="T186" fmla="+- 0 1929 169"/>
                              <a:gd name="T187" fmla="*/ 1929 h 3486"/>
                              <a:gd name="T188" fmla="+- 0 6389 2865"/>
                              <a:gd name="T189" fmla="*/ T188 w 5135"/>
                              <a:gd name="T190" fmla="+- 0 1929 169"/>
                              <a:gd name="T191" fmla="*/ 1929 h 3486"/>
                              <a:gd name="T192" fmla="+- 0 6389 2865"/>
                              <a:gd name="T193" fmla="*/ T192 w 5135"/>
                              <a:gd name="T194" fmla="+- 0 2145 169"/>
                              <a:gd name="T195" fmla="*/ 2145 h 3486"/>
                              <a:gd name="T196" fmla="+- 0 7999 2865"/>
                              <a:gd name="T197" fmla="*/ T196 w 5135"/>
                              <a:gd name="T198" fmla="+- 0 2145 169"/>
                              <a:gd name="T199" fmla="*/ 2145 h 3486"/>
                              <a:gd name="T200" fmla="+- 0 7999 2865"/>
                              <a:gd name="T201" fmla="*/ T200 w 5135"/>
                              <a:gd name="T202" fmla="+- 0 3655 169"/>
                              <a:gd name="T203" fmla="*/ 3655 h 3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135" h="3486">
                                <a:moveTo>
                                  <a:pt x="0" y="0"/>
                                </a:moveTo>
                                <a:lnTo>
                                  <a:pt x="170" y="0"/>
                                </a:lnTo>
                                <a:lnTo>
                                  <a:pt x="170" y="45"/>
                                </a:lnTo>
                                <a:lnTo>
                                  <a:pt x="238" y="45"/>
                                </a:lnTo>
                                <a:lnTo>
                                  <a:pt x="238" y="89"/>
                                </a:lnTo>
                                <a:lnTo>
                                  <a:pt x="246" y="89"/>
                                </a:lnTo>
                                <a:lnTo>
                                  <a:pt x="246" y="269"/>
                                </a:lnTo>
                                <a:lnTo>
                                  <a:pt x="264" y="269"/>
                                </a:lnTo>
                                <a:lnTo>
                                  <a:pt x="264" y="315"/>
                                </a:lnTo>
                                <a:lnTo>
                                  <a:pt x="272" y="315"/>
                                </a:lnTo>
                                <a:lnTo>
                                  <a:pt x="272" y="360"/>
                                </a:lnTo>
                                <a:lnTo>
                                  <a:pt x="297" y="360"/>
                                </a:lnTo>
                                <a:lnTo>
                                  <a:pt x="297" y="406"/>
                                </a:lnTo>
                                <a:lnTo>
                                  <a:pt x="314" y="406"/>
                                </a:lnTo>
                                <a:lnTo>
                                  <a:pt x="314" y="453"/>
                                </a:lnTo>
                                <a:lnTo>
                                  <a:pt x="485" y="453"/>
                                </a:lnTo>
                                <a:lnTo>
                                  <a:pt x="485" y="559"/>
                                </a:lnTo>
                                <a:lnTo>
                                  <a:pt x="545" y="559"/>
                                </a:lnTo>
                                <a:lnTo>
                                  <a:pt x="545" y="612"/>
                                </a:lnTo>
                                <a:lnTo>
                                  <a:pt x="578" y="612"/>
                                </a:lnTo>
                                <a:lnTo>
                                  <a:pt x="578" y="667"/>
                                </a:lnTo>
                                <a:lnTo>
                                  <a:pt x="971" y="667"/>
                                </a:lnTo>
                                <a:lnTo>
                                  <a:pt x="971" y="729"/>
                                </a:lnTo>
                                <a:lnTo>
                                  <a:pt x="1039" y="729"/>
                                </a:lnTo>
                                <a:lnTo>
                                  <a:pt x="1039" y="795"/>
                                </a:lnTo>
                                <a:lnTo>
                                  <a:pt x="1089" y="795"/>
                                </a:lnTo>
                                <a:lnTo>
                                  <a:pt x="1089" y="862"/>
                                </a:lnTo>
                                <a:lnTo>
                                  <a:pt x="1413" y="862"/>
                                </a:lnTo>
                                <a:lnTo>
                                  <a:pt x="1413" y="930"/>
                                </a:lnTo>
                                <a:lnTo>
                                  <a:pt x="1464" y="930"/>
                                </a:lnTo>
                                <a:lnTo>
                                  <a:pt x="1464" y="1002"/>
                                </a:lnTo>
                                <a:lnTo>
                                  <a:pt x="1557" y="1002"/>
                                </a:lnTo>
                                <a:lnTo>
                                  <a:pt x="1557" y="1075"/>
                                </a:lnTo>
                                <a:lnTo>
                                  <a:pt x="1574" y="1075"/>
                                </a:lnTo>
                                <a:lnTo>
                                  <a:pt x="1574" y="1151"/>
                                </a:lnTo>
                                <a:lnTo>
                                  <a:pt x="1864" y="1151"/>
                                </a:lnTo>
                                <a:lnTo>
                                  <a:pt x="1864" y="1227"/>
                                </a:lnTo>
                                <a:lnTo>
                                  <a:pt x="1914" y="1227"/>
                                </a:lnTo>
                                <a:lnTo>
                                  <a:pt x="1914" y="1383"/>
                                </a:lnTo>
                                <a:lnTo>
                                  <a:pt x="1942" y="1383"/>
                                </a:lnTo>
                                <a:lnTo>
                                  <a:pt x="1942" y="1469"/>
                                </a:lnTo>
                                <a:lnTo>
                                  <a:pt x="2145" y="1469"/>
                                </a:lnTo>
                                <a:lnTo>
                                  <a:pt x="2145" y="1558"/>
                                </a:lnTo>
                                <a:lnTo>
                                  <a:pt x="2869" y="1558"/>
                                </a:lnTo>
                                <a:lnTo>
                                  <a:pt x="2869" y="1659"/>
                                </a:lnTo>
                                <a:lnTo>
                                  <a:pt x="2945" y="1659"/>
                                </a:lnTo>
                                <a:lnTo>
                                  <a:pt x="2945" y="1760"/>
                                </a:lnTo>
                                <a:lnTo>
                                  <a:pt x="3524" y="1760"/>
                                </a:lnTo>
                                <a:lnTo>
                                  <a:pt x="3524" y="1976"/>
                                </a:lnTo>
                                <a:lnTo>
                                  <a:pt x="5134" y="1976"/>
                                </a:lnTo>
                                <a:lnTo>
                                  <a:pt x="5134" y="3486"/>
                                </a:lnTo>
                              </a:path>
                            </a:pathLst>
                          </a:custGeom>
                          <a:noFill/>
                          <a:ln w="89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241"/>
                        <wps:cNvSpPr>
                          <a:spLocks/>
                        </wps:cNvSpPr>
                        <wps:spPr bwMode="auto">
                          <a:xfrm>
                            <a:off x="2864" y="162"/>
                            <a:ext cx="911" cy="1284"/>
                          </a:xfrm>
                          <a:custGeom>
                            <a:avLst/>
                            <a:gdLst>
                              <a:gd name="T0" fmla="+- 0 2991 2865"/>
                              <a:gd name="T1" fmla="*/ T0 w 911"/>
                              <a:gd name="T2" fmla="+- 0 176 162"/>
                              <a:gd name="T3" fmla="*/ 176 h 1284"/>
                              <a:gd name="T4" fmla="+- 0 3078 2865"/>
                              <a:gd name="T5" fmla="*/ T4 w 911"/>
                              <a:gd name="T6" fmla="+- 0 163 162"/>
                              <a:gd name="T7" fmla="*/ 163 h 1284"/>
                              <a:gd name="T8" fmla="+- 0 3072 2865"/>
                              <a:gd name="T9" fmla="*/ T8 w 911"/>
                              <a:gd name="T10" fmla="+- 0 176 162"/>
                              <a:gd name="T11" fmla="*/ 176 h 1284"/>
                              <a:gd name="T12" fmla="+- 0 3119 2865"/>
                              <a:gd name="T13" fmla="*/ T12 w 911"/>
                              <a:gd name="T14" fmla="+- 0 397 162"/>
                              <a:gd name="T15" fmla="*/ 397 h 1284"/>
                              <a:gd name="T16" fmla="+- 0 3119 2865"/>
                              <a:gd name="T17" fmla="*/ T16 w 911"/>
                              <a:gd name="T18" fmla="+- 0 397 162"/>
                              <a:gd name="T19" fmla="*/ 397 h 1284"/>
                              <a:gd name="T20" fmla="+- 0 3111 2865"/>
                              <a:gd name="T21" fmla="*/ T20 w 911"/>
                              <a:gd name="T22" fmla="+- 0 302 162"/>
                              <a:gd name="T23" fmla="*/ 302 h 1284"/>
                              <a:gd name="T24" fmla="+- 0 3100 2865"/>
                              <a:gd name="T25" fmla="*/ T24 w 911"/>
                              <a:gd name="T26" fmla="+- 0 263 162"/>
                              <a:gd name="T27" fmla="*/ 263 h 1284"/>
                              <a:gd name="T28" fmla="+- 0 3088 2865"/>
                              <a:gd name="T29" fmla="*/ T28 w 911"/>
                              <a:gd name="T30" fmla="+- 0 262 162"/>
                              <a:gd name="T31" fmla="*/ 262 h 1284"/>
                              <a:gd name="T32" fmla="+- 0 3088 2865"/>
                              <a:gd name="T33" fmla="*/ T32 w 911"/>
                              <a:gd name="T34" fmla="+- 0 309 162"/>
                              <a:gd name="T35" fmla="*/ 309 h 1284"/>
                              <a:gd name="T36" fmla="+- 0 3105 2865"/>
                              <a:gd name="T37" fmla="*/ T36 w 911"/>
                              <a:gd name="T38" fmla="+- 0 316 162"/>
                              <a:gd name="T39" fmla="*/ 316 h 1284"/>
                              <a:gd name="T40" fmla="+- 0 3155 2865"/>
                              <a:gd name="T41" fmla="*/ T40 w 911"/>
                              <a:gd name="T42" fmla="+- 0 629 162"/>
                              <a:gd name="T43" fmla="*/ 629 h 1284"/>
                              <a:gd name="T44" fmla="+- 0 3152 2865"/>
                              <a:gd name="T45" fmla="*/ T44 w 911"/>
                              <a:gd name="T46" fmla="+- 0 590 162"/>
                              <a:gd name="T47" fmla="*/ 590 h 1284"/>
                              <a:gd name="T48" fmla="+- 0 3144 2865"/>
                              <a:gd name="T49" fmla="*/ T48 w 911"/>
                              <a:gd name="T50" fmla="+- 0 542 162"/>
                              <a:gd name="T51" fmla="*/ 542 h 1284"/>
                              <a:gd name="T52" fmla="+- 0 3137 2865"/>
                              <a:gd name="T53" fmla="*/ T52 w 911"/>
                              <a:gd name="T54" fmla="+- 0 534 162"/>
                              <a:gd name="T55" fmla="*/ 534 h 1284"/>
                              <a:gd name="T56" fmla="+- 0 3130 2865"/>
                              <a:gd name="T57" fmla="*/ T56 w 911"/>
                              <a:gd name="T58" fmla="+- 0 588 162"/>
                              <a:gd name="T59" fmla="*/ 588 h 1284"/>
                              <a:gd name="T60" fmla="+- 0 3140 2865"/>
                              <a:gd name="T61" fmla="*/ T60 w 911"/>
                              <a:gd name="T62" fmla="+- 0 596 162"/>
                              <a:gd name="T63" fmla="*/ 596 h 1284"/>
                              <a:gd name="T64" fmla="+- 0 3147 2865"/>
                              <a:gd name="T65" fmla="*/ T64 w 911"/>
                              <a:gd name="T66" fmla="+- 0 643 162"/>
                              <a:gd name="T67" fmla="*/ 643 h 1284"/>
                              <a:gd name="T68" fmla="+- 0 3220 2865"/>
                              <a:gd name="T69" fmla="*/ T68 w 911"/>
                              <a:gd name="T70" fmla="+- 0 733 162"/>
                              <a:gd name="T71" fmla="*/ 733 h 1284"/>
                              <a:gd name="T72" fmla="+- 0 3205 2865"/>
                              <a:gd name="T73" fmla="*/ T72 w 911"/>
                              <a:gd name="T74" fmla="+- 0 684 162"/>
                              <a:gd name="T75" fmla="*/ 684 h 1284"/>
                              <a:gd name="T76" fmla="+- 0 3196 2865"/>
                              <a:gd name="T77" fmla="*/ T76 w 911"/>
                              <a:gd name="T78" fmla="+- 0 636 162"/>
                              <a:gd name="T79" fmla="*/ 636 h 1284"/>
                              <a:gd name="T80" fmla="+- 0 3187 2865"/>
                              <a:gd name="T81" fmla="*/ T80 w 911"/>
                              <a:gd name="T82" fmla="+- 0 629 162"/>
                              <a:gd name="T83" fmla="*/ 629 h 1284"/>
                              <a:gd name="T84" fmla="+- 0 3182 2865"/>
                              <a:gd name="T85" fmla="*/ T84 w 911"/>
                              <a:gd name="T86" fmla="+- 0 683 162"/>
                              <a:gd name="T87" fmla="*/ 683 h 1284"/>
                              <a:gd name="T88" fmla="+- 0 3190 2865"/>
                              <a:gd name="T89" fmla="*/ T88 w 911"/>
                              <a:gd name="T90" fmla="+- 0 732 162"/>
                              <a:gd name="T91" fmla="*/ 732 h 1284"/>
                              <a:gd name="T92" fmla="+- 0 3213 2865"/>
                              <a:gd name="T93" fmla="*/ T92 w 911"/>
                              <a:gd name="T94" fmla="+- 0 739 162"/>
                              <a:gd name="T95" fmla="*/ 739 h 1284"/>
                              <a:gd name="T96" fmla="+- 0 3222 2865"/>
                              <a:gd name="T97" fmla="*/ T96 w 911"/>
                              <a:gd name="T98" fmla="+- 0 733 162"/>
                              <a:gd name="T99" fmla="*/ 733 h 1284"/>
                              <a:gd name="T100" fmla="+- 0 3290 2865"/>
                              <a:gd name="T101" fmla="*/ T100 w 911"/>
                              <a:gd name="T102" fmla="+- 0 774 162"/>
                              <a:gd name="T103" fmla="*/ 774 h 1284"/>
                              <a:gd name="T104" fmla="+- 0 3208 2865"/>
                              <a:gd name="T105" fmla="*/ T104 w 911"/>
                              <a:gd name="T106" fmla="+- 0 780 162"/>
                              <a:gd name="T107" fmla="*/ 780 h 1284"/>
                              <a:gd name="T108" fmla="+- 0 3284 2865"/>
                              <a:gd name="T109" fmla="*/ T108 w 911"/>
                              <a:gd name="T110" fmla="+- 0 788 162"/>
                              <a:gd name="T111" fmla="*/ 788 h 1284"/>
                              <a:gd name="T112" fmla="+- 0 3340 2865"/>
                              <a:gd name="T113" fmla="*/ T112 w 911"/>
                              <a:gd name="T114" fmla="+- 0 880 162"/>
                              <a:gd name="T115" fmla="*/ 880 h 1284"/>
                              <a:gd name="T116" fmla="+- 0 3307 2865"/>
                              <a:gd name="T117" fmla="*/ T116 w 911"/>
                              <a:gd name="T118" fmla="+- 0 871 162"/>
                              <a:gd name="T119" fmla="*/ 871 h 1284"/>
                              <a:gd name="T120" fmla="+- 0 3292 2865"/>
                              <a:gd name="T121" fmla="*/ T120 w 911"/>
                              <a:gd name="T122" fmla="+- 0 880 162"/>
                              <a:gd name="T123" fmla="*/ 880 h 1284"/>
                              <a:gd name="T124" fmla="+- 0 3326 2865"/>
                              <a:gd name="T125" fmla="*/ T124 w 911"/>
                              <a:gd name="T126" fmla="+- 0 933 162"/>
                              <a:gd name="T127" fmla="*/ 933 h 1284"/>
                              <a:gd name="T128" fmla="+- 0 3364 2865"/>
                              <a:gd name="T129" fmla="*/ T128 w 911"/>
                              <a:gd name="T130" fmla="+- 0 982 162"/>
                              <a:gd name="T131" fmla="*/ 982 h 1284"/>
                              <a:gd name="T132" fmla="+- 0 3340 2865"/>
                              <a:gd name="T133" fmla="*/ T132 w 911"/>
                              <a:gd name="T134" fmla="+- 0 964 162"/>
                              <a:gd name="T135" fmla="*/ 964 h 1284"/>
                              <a:gd name="T136" fmla="+- 0 3333 2865"/>
                              <a:gd name="T137" fmla="*/ T136 w 911"/>
                              <a:gd name="T138" fmla="+- 0 990 162"/>
                              <a:gd name="T139" fmla="*/ 990 h 1284"/>
                              <a:gd name="T140" fmla="+- 0 3366 2865"/>
                              <a:gd name="T141" fmla="*/ T140 w 911"/>
                              <a:gd name="T142" fmla="+- 0 1066 162"/>
                              <a:gd name="T143" fmla="*/ 1066 h 1284"/>
                              <a:gd name="T144" fmla="+- 0 3375 2865"/>
                              <a:gd name="T145" fmla="*/ T144 w 911"/>
                              <a:gd name="T146" fmla="+- 0 1088 162"/>
                              <a:gd name="T147" fmla="*/ 1088 h 1284"/>
                              <a:gd name="T148" fmla="+- 0 3367 2865"/>
                              <a:gd name="T149" fmla="*/ T148 w 911"/>
                              <a:gd name="T150" fmla="+- 0 1148 162"/>
                              <a:gd name="T151" fmla="*/ 1148 h 1284"/>
                              <a:gd name="T152" fmla="+- 0 3491 2865"/>
                              <a:gd name="T153" fmla="*/ T152 w 911"/>
                              <a:gd name="T154" fmla="+- 0 1241 162"/>
                              <a:gd name="T155" fmla="*/ 1241 h 1284"/>
                              <a:gd name="T156" fmla="+- 0 3475 2865"/>
                              <a:gd name="T157" fmla="*/ T156 w 911"/>
                              <a:gd name="T158" fmla="+- 0 1193 162"/>
                              <a:gd name="T159" fmla="*/ 1193 h 1284"/>
                              <a:gd name="T160" fmla="+- 0 3461 2865"/>
                              <a:gd name="T161" fmla="*/ T160 w 911"/>
                              <a:gd name="T162" fmla="+- 0 1161 162"/>
                              <a:gd name="T163" fmla="*/ 1161 h 1284"/>
                              <a:gd name="T164" fmla="+- 0 3453 2865"/>
                              <a:gd name="T165" fmla="*/ T164 w 911"/>
                              <a:gd name="T166" fmla="+- 0 1202 162"/>
                              <a:gd name="T167" fmla="*/ 1202 h 1284"/>
                              <a:gd name="T168" fmla="+- 0 3461 2865"/>
                              <a:gd name="T169" fmla="*/ T168 w 911"/>
                              <a:gd name="T170" fmla="+- 0 1249 162"/>
                              <a:gd name="T171" fmla="*/ 1249 h 1284"/>
                              <a:gd name="T172" fmla="+- 0 3491 2865"/>
                              <a:gd name="T173" fmla="*/ T172 w 911"/>
                              <a:gd name="T174" fmla="+- 0 1241 162"/>
                              <a:gd name="T175" fmla="*/ 1241 h 1284"/>
                              <a:gd name="T176" fmla="+- 0 3639 2865"/>
                              <a:gd name="T177" fmla="*/ T176 w 911"/>
                              <a:gd name="T178" fmla="+- 0 1241 162"/>
                              <a:gd name="T179" fmla="*/ 1241 h 1284"/>
                              <a:gd name="T180" fmla="+- 0 3633 2865"/>
                              <a:gd name="T181" fmla="*/ T180 w 911"/>
                              <a:gd name="T182" fmla="+- 0 1258 162"/>
                              <a:gd name="T183" fmla="*/ 1258 h 1284"/>
                              <a:gd name="T184" fmla="+- 0 3706 2865"/>
                              <a:gd name="T185" fmla="*/ T184 w 911"/>
                              <a:gd name="T186" fmla="+- 0 1304 162"/>
                              <a:gd name="T187" fmla="*/ 1304 h 1284"/>
                              <a:gd name="T188" fmla="+- 0 3647 2865"/>
                              <a:gd name="T189" fmla="*/ T188 w 911"/>
                              <a:gd name="T190" fmla="+- 0 1296 162"/>
                              <a:gd name="T191" fmla="*/ 1296 h 1284"/>
                              <a:gd name="T192" fmla="+- 0 3632 2865"/>
                              <a:gd name="T193" fmla="*/ T192 w 911"/>
                              <a:gd name="T194" fmla="+- 0 1304 162"/>
                              <a:gd name="T195" fmla="*/ 1304 h 1284"/>
                              <a:gd name="T196" fmla="+- 0 3693 2865"/>
                              <a:gd name="T197" fmla="*/ T196 w 911"/>
                              <a:gd name="T198" fmla="+- 0 1356 162"/>
                              <a:gd name="T199" fmla="*/ 1356 h 1284"/>
                              <a:gd name="T200" fmla="+- 0 3767 2865"/>
                              <a:gd name="T201" fmla="*/ T200 w 911"/>
                              <a:gd name="T202" fmla="+- 0 1416 162"/>
                              <a:gd name="T203" fmla="*/ 1416 h 1284"/>
                              <a:gd name="T204" fmla="+- 0 3748 2865"/>
                              <a:gd name="T205" fmla="*/ T204 w 911"/>
                              <a:gd name="T206" fmla="+- 0 1361 162"/>
                              <a:gd name="T207" fmla="*/ 1361 h 1284"/>
                              <a:gd name="T208" fmla="+- 0 3726 2865"/>
                              <a:gd name="T209" fmla="*/ T208 w 911"/>
                              <a:gd name="T210" fmla="+- 0 1367 162"/>
                              <a:gd name="T211" fmla="*/ 1367 h 1284"/>
                              <a:gd name="T212" fmla="+- 0 3742 2865"/>
                              <a:gd name="T213" fmla="*/ T212 w 911"/>
                              <a:gd name="T214" fmla="+- 0 1424 162"/>
                              <a:gd name="T215" fmla="*/ 1424 h 1284"/>
                              <a:gd name="T216" fmla="+- 0 3775 2865"/>
                              <a:gd name="T217" fmla="*/ T216 w 911"/>
                              <a:gd name="T218" fmla="+- 0 1446 162"/>
                              <a:gd name="T219" fmla="*/ 1446 h 1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11" h="1284">
                                <a:moveTo>
                                  <a:pt x="126" y="0"/>
                                </a:moveTo>
                                <a:lnTo>
                                  <a:pt x="0" y="0"/>
                                </a:lnTo>
                                <a:lnTo>
                                  <a:pt x="0" y="14"/>
                                </a:lnTo>
                                <a:lnTo>
                                  <a:pt x="126" y="14"/>
                                </a:lnTo>
                                <a:lnTo>
                                  <a:pt x="126" y="0"/>
                                </a:lnTo>
                                <a:close/>
                                <a:moveTo>
                                  <a:pt x="221" y="7"/>
                                </a:moveTo>
                                <a:lnTo>
                                  <a:pt x="220" y="7"/>
                                </a:lnTo>
                                <a:lnTo>
                                  <a:pt x="213" y="1"/>
                                </a:lnTo>
                                <a:lnTo>
                                  <a:pt x="213" y="0"/>
                                </a:lnTo>
                                <a:lnTo>
                                  <a:pt x="158" y="0"/>
                                </a:lnTo>
                                <a:lnTo>
                                  <a:pt x="158" y="14"/>
                                </a:lnTo>
                                <a:lnTo>
                                  <a:pt x="207" y="14"/>
                                </a:lnTo>
                                <a:lnTo>
                                  <a:pt x="207" y="79"/>
                                </a:lnTo>
                                <a:lnTo>
                                  <a:pt x="221" y="79"/>
                                </a:lnTo>
                                <a:lnTo>
                                  <a:pt x="221" y="7"/>
                                </a:lnTo>
                                <a:close/>
                                <a:moveTo>
                                  <a:pt x="254" y="235"/>
                                </a:moveTo>
                                <a:lnTo>
                                  <a:pt x="240" y="235"/>
                                </a:lnTo>
                                <a:lnTo>
                                  <a:pt x="240" y="361"/>
                                </a:lnTo>
                                <a:lnTo>
                                  <a:pt x="254" y="361"/>
                                </a:lnTo>
                                <a:lnTo>
                                  <a:pt x="254" y="235"/>
                                </a:lnTo>
                                <a:close/>
                                <a:moveTo>
                                  <a:pt x="254" y="148"/>
                                </a:moveTo>
                                <a:lnTo>
                                  <a:pt x="252" y="148"/>
                                </a:lnTo>
                                <a:lnTo>
                                  <a:pt x="246" y="142"/>
                                </a:lnTo>
                                <a:lnTo>
                                  <a:pt x="246" y="140"/>
                                </a:lnTo>
                                <a:lnTo>
                                  <a:pt x="237" y="140"/>
                                </a:lnTo>
                                <a:lnTo>
                                  <a:pt x="237" y="101"/>
                                </a:lnTo>
                                <a:lnTo>
                                  <a:pt x="235" y="101"/>
                                </a:lnTo>
                                <a:lnTo>
                                  <a:pt x="229" y="94"/>
                                </a:lnTo>
                                <a:lnTo>
                                  <a:pt x="229" y="93"/>
                                </a:lnTo>
                                <a:lnTo>
                                  <a:pt x="223" y="93"/>
                                </a:lnTo>
                                <a:lnTo>
                                  <a:pt x="223" y="100"/>
                                </a:lnTo>
                                <a:lnTo>
                                  <a:pt x="221" y="101"/>
                                </a:lnTo>
                                <a:lnTo>
                                  <a:pt x="223" y="103"/>
                                </a:lnTo>
                                <a:lnTo>
                                  <a:pt x="223" y="107"/>
                                </a:lnTo>
                                <a:lnTo>
                                  <a:pt x="223" y="147"/>
                                </a:lnTo>
                                <a:lnTo>
                                  <a:pt x="221" y="148"/>
                                </a:lnTo>
                                <a:lnTo>
                                  <a:pt x="229" y="156"/>
                                </a:lnTo>
                                <a:lnTo>
                                  <a:pt x="230" y="154"/>
                                </a:lnTo>
                                <a:lnTo>
                                  <a:pt x="240" y="154"/>
                                </a:lnTo>
                                <a:lnTo>
                                  <a:pt x="240" y="203"/>
                                </a:lnTo>
                                <a:lnTo>
                                  <a:pt x="254" y="203"/>
                                </a:lnTo>
                                <a:lnTo>
                                  <a:pt x="254" y="148"/>
                                </a:lnTo>
                                <a:close/>
                                <a:moveTo>
                                  <a:pt x="290" y="467"/>
                                </a:moveTo>
                                <a:lnTo>
                                  <a:pt x="289" y="467"/>
                                </a:lnTo>
                                <a:lnTo>
                                  <a:pt x="289" y="428"/>
                                </a:lnTo>
                                <a:lnTo>
                                  <a:pt x="287" y="428"/>
                                </a:lnTo>
                                <a:lnTo>
                                  <a:pt x="281" y="421"/>
                                </a:lnTo>
                                <a:lnTo>
                                  <a:pt x="281" y="420"/>
                                </a:lnTo>
                                <a:lnTo>
                                  <a:pt x="279" y="420"/>
                                </a:lnTo>
                                <a:lnTo>
                                  <a:pt x="279" y="380"/>
                                </a:lnTo>
                                <a:lnTo>
                                  <a:pt x="278" y="380"/>
                                </a:lnTo>
                                <a:lnTo>
                                  <a:pt x="272" y="374"/>
                                </a:lnTo>
                                <a:lnTo>
                                  <a:pt x="272" y="372"/>
                                </a:lnTo>
                                <a:lnTo>
                                  <a:pt x="259" y="372"/>
                                </a:lnTo>
                                <a:lnTo>
                                  <a:pt x="259" y="386"/>
                                </a:lnTo>
                                <a:lnTo>
                                  <a:pt x="265" y="386"/>
                                </a:lnTo>
                                <a:lnTo>
                                  <a:pt x="265" y="426"/>
                                </a:lnTo>
                                <a:lnTo>
                                  <a:pt x="264" y="428"/>
                                </a:lnTo>
                                <a:lnTo>
                                  <a:pt x="272" y="435"/>
                                </a:lnTo>
                                <a:lnTo>
                                  <a:pt x="273" y="434"/>
                                </a:lnTo>
                                <a:lnTo>
                                  <a:pt x="275" y="434"/>
                                </a:lnTo>
                                <a:lnTo>
                                  <a:pt x="275" y="473"/>
                                </a:lnTo>
                                <a:lnTo>
                                  <a:pt x="273" y="475"/>
                                </a:lnTo>
                                <a:lnTo>
                                  <a:pt x="281" y="483"/>
                                </a:lnTo>
                                <a:lnTo>
                                  <a:pt x="282" y="481"/>
                                </a:lnTo>
                                <a:lnTo>
                                  <a:pt x="290" y="481"/>
                                </a:lnTo>
                                <a:lnTo>
                                  <a:pt x="290" y="467"/>
                                </a:lnTo>
                                <a:close/>
                                <a:moveTo>
                                  <a:pt x="357" y="571"/>
                                </a:moveTo>
                                <a:lnTo>
                                  <a:pt x="355" y="571"/>
                                </a:lnTo>
                                <a:lnTo>
                                  <a:pt x="349" y="564"/>
                                </a:lnTo>
                                <a:lnTo>
                                  <a:pt x="349" y="563"/>
                                </a:lnTo>
                                <a:lnTo>
                                  <a:pt x="340" y="563"/>
                                </a:lnTo>
                                <a:lnTo>
                                  <a:pt x="340" y="522"/>
                                </a:lnTo>
                                <a:lnTo>
                                  <a:pt x="338" y="522"/>
                                </a:lnTo>
                                <a:lnTo>
                                  <a:pt x="331" y="515"/>
                                </a:lnTo>
                                <a:lnTo>
                                  <a:pt x="331" y="514"/>
                                </a:lnTo>
                                <a:lnTo>
                                  <a:pt x="331" y="474"/>
                                </a:lnTo>
                                <a:lnTo>
                                  <a:pt x="330" y="474"/>
                                </a:lnTo>
                                <a:lnTo>
                                  <a:pt x="324" y="469"/>
                                </a:lnTo>
                                <a:lnTo>
                                  <a:pt x="324" y="467"/>
                                </a:lnTo>
                                <a:lnTo>
                                  <a:pt x="322" y="467"/>
                                </a:lnTo>
                                <a:lnTo>
                                  <a:pt x="322" y="470"/>
                                </a:lnTo>
                                <a:lnTo>
                                  <a:pt x="316" y="475"/>
                                </a:lnTo>
                                <a:lnTo>
                                  <a:pt x="317" y="476"/>
                                </a:lnTo>
                                <a:lnTo>
                                  <a:pt x="317" y="521"/>
                                </a:lnTo>
                                <a:lnTo>
                                  <a:pt x="316" y="522"/>
                                </a:lnTo>
                                <a:lnTo>
                                  <a:pt x="324" y="530"/>
                                </a:lnTo>
                                <a:lnTo>
                                  <a:pt x="325" y="528"/>
                                </a:lnTo>
                                <a:lnTo>
                                  <a:pt x="325" y="570"/>
                                </a:lnTo>
                                <a:lnTo>
                                  <a:pt x="324" y="571"/>
                                </a:lnTo>
                                <a:lnTo>
                                  <a:pt x="331" y="578"/>
                                </a:lnTo>
                                <a:lnTo>
                                  <a:pt x="333" y="577"/>
                                </a:lnTo>
                                <a:lnTo>
                                  <a:pt x="348" y="577"/>
                                </a:lnTo>
                                <a:lnTo>
                                  <a:pt x="349" y="578"/>
                                </a:lnTo>
                                <a:lnTo>
                                  <a:pt x="353" y="574"/>
                                </a:lnTo>
                                <a:lnTo>
                                  <a:pt x="357" y="574"/>
                                </a:lnTo>
                                <a:lnTo>
                                  <a:pt x="357" y="571"/>
                                </a:lnTo>
                                <a:close/>
                                <a:moveTo>
                                  <a:pt x="433" y="619"/>
                                </a:moveTo>
                                <a:lnTo>
                                  <a:pt x="431" y="619"/>
                                </a:lnTo>
                                <a:lnTo>
                                  <a:pt x="425" y="613"/>
                                </a:lnTo>
                                <a:lnTo>
                                  <a:pt x="425" y="612"/>
                                </a:lnTo>
                                <a:lnTo>
                                  <a:pt x="357" y="612"/>
                                </a:lnTo>
                                <a:lnTo>
                                  <a:pt x="357" y="605"/>
                                </a:lnTo>
                                <a:lnTo>
                                  <a:pt x="343" y="605"/>
                                </a:lnTo>
                                <a:lnTo>
                                  <a:pt x="343" y="618"/>
                                </a:lnTo>
                                <a:lnTo>
                                  <a:pt x="341" y="619"/>
                                </a:lnTo>
                                <a:lnTo>
                                  <a:pt x="349" y="628"/>
                                </a:lnTo>
                                <a:lnTo>
                                  <a:pt x="350" y="626"/>
                                </a:lnTo>
                                <a:lnTo>
                                  <a:pt x="419" y="626"/>
                                </a:lnTo>
                                <a:lnTo>
                                  <a:pt x="419" y="656"/>
                                </a:lnTo>
                                <a:lnTo>
                                  <a:pt x="433" y="656"/>
                                </a:lnTo>
                                <a:lnTo>
                                  <a:pt x="433" y="619"/>
                                </a:lnTo>
                                <a:close/>
                                <a:moveTo>
                                  <a:pt x="475" y="718"/>
                                </a:moveTo>
                                <a:lnTo>
                                  <a:pt x="474" y="718"/>
                                </a:lnTo>
                                <a:lnTo>
                                  <a:pt x="468" y="711"/>
                                </a:lnTo>
                                <a:lnTo>
                                  <a:pt x="468" y="709"/>
                                </a:lnTo>
                                <a:lnTo>
                                  <a:pt x="442" y="709"/>
                                </a:lnTo>
                                <a:lnTo>
                                  <a:pt x="442" y="678"/>
                                </a:lnTo>
                                <a:lnTo>
                                  <a:pt x="428" y="678"/>
                                </a:lnTo>
                                <a:lnTo>
                                  <a:pt x="428" y="716"/>
                                </a:lnTo>
                                <a:lnTo>
                                  <a:pt x="427" y="718"/>
                                </a:lnTo>
                                <a:lnTo>
                                  <a:pt x="434" y="726"/>
                                </a:lnTo>
                                <a:lnTo>
                                  <a:pt x="436" y="724"/>
                                </a:lnTo>
                                <a:lnTo>
                                  <a:pt x="461" y="724"/>
                                </a:lnTo>
                                <a:lnTo>
                                  <a:pt x="461" y="771"/>
                                </a:lnTo>
                                <a:lnTo>
                                  <a:pt x="475" y="771"/>
                                </a:lnTo>
                                <a:lnTo>
                                  <a:pt x="475" y="718"/>
                                </a:lnTo>
                                <a:close/>
                                <a:moveTo>
                                  <a:pt x="501" y="820"/>
                                </a:moveTo>
                                <a:lnTo>
                                  <a:pt x="499" y="820"/>
                                </a:lnTo>
                                <a:lnTo>
                                  <a:pt x="493" y="813"/>
                                </a:lnTo>
                                <a:lnTo>
                                  <a:pt x="493" y="812"/>
                                </a:lnTo>
                                <a:lnTo>
                                  <a:pt x="475" y="812"/>
                                </a:lnTo>
                                <a:lnTo>
                                  <a:pt x="475" y="802"/>
                                </a:lnTo>
                                <a:lnTo>
                                  <a:pt x="461" y="802"/>
                                </a:lnTo>
                                <a:lnTo>
                                  <a:pt x="461" y="819"/>
                                </a:lnTo>
                                <a:lnTo>
                                  <a:pt x="460" y="820"/>
                                </a:lnTo>
                                <a:lnTo>
                                  <a:pt x="468" y="828"/>
                                </a:lnTo>
                                <a:lnTo>
                                  <a:pt x="469" y="826"/>
                                </a:lnTo>
                                <a:lnTo>
                                  <a:pt x="486" y="826"/>
                                </a:lnTo>
                                <a:lnTo>
                                  <a:pt x="486" y="904"/>
                                </a:lnTo>
                                <a:lnTo>
                                  <a:pt x="501" y="904"/>
                                </a:lnTo>
                                <a:lnTo>
                                  <a:pt x="501" y="820"/>
                                </a:lnTo>
                                <a:close/>
                                <a:moveTo>
                                  <a:pt x="577" y="970"/>
                                </a:moveTo>
                                <a:lnTo>
                                  <a:pt x="510" y="970"/>
                                </a:lnTo>
                                <a:lnTo>
                                  <a:pt x="510" y="926"/>
                                </a:lnTo>
                                <a:lnTo>
                                  <a:pt x="496" y="926"/>
                                </a:lnTo>
                                <a:lnTo>
                                  <a:pt x="496" y="977"/>
                                </a:lnTo>
                                <a:lnTo>
                                  <a:pt x="495" y="978"/>
                                </a:lnTo>
                                <a:lnTo>
                                  <a:pt x="502" y="986"/>
                                </a:lnTo>
                                <a:lnTo>
                                  <a:pt x="504" y="984"/>
                                </a:lnTo>
                                <a:lnTo>
                                  <a:pt x="577" y="984"/>
                                </a:lnTo>
                                <a:lnTo>
                                  <a:pt x="577" y="970"/>
                                </a:lnTo>
                                <a:close/>
                                <a:moveTo>
                                  <a:pt x="626" y="1079"/>
                                </a:moveTo>
                                <a:lnTo>
                                  <a:pt x="612" y="1079"/>
                                </a:lnTo>
                                <a:lnTo>
                                  <a:pt x="612" y="1032"/>
                                </a:lnTo>
                                <a:lnTo>
                                  <a:pt x="610" y="1032"/>
                                </a:lnTo>
                                <a:lnTo>
                                  <a:pt x="610" y="1031"/>
                                </a:lnTo>
                                <a:lnTo>
                                  <a:pt x="603" y="1026"/>
                                </a:lnTo>
                                <a:lnTo>
                                  <a:pt x="603" y="1023"/>
                                </a:lnTo>
                                <a:lnTo>
                                  <a:pt x="596" y="1023"/>
                                </a:lnTo>
                                <a:lnTo>
                                  <a:pt x="596" y="999"/>
                                </a:lnTo>
                                <a:lnTo>
                                  <a:pt x="582" y="999"/>
                                </a:lnTo>
                                <a:lnTo>
                                  <a:pt x="582" y="1030"/>
                                </a:lnTo>
                                <a:lnTo>
                                  <a:pt x="580" y="1031"/>
                                </a:lnTo>
                                <a:lnTo>
                                  <a:pt x="588" y="1040"/>
                                </a:lnTo>
                                <a:lnTo>
                                  <a:pt x="589" y="1038"/>
                                </a:lnTo>
                                <a:lnTo>
                                  <a:pt x="597" y="1038"/>
                                </a:lnTo>
                                <a:lnTo>
                                  <a:pt x="597" y="1086"/>
                                </a:lnTo>
                                <a:lnTo>
                                  <a:pt x="596" y="1087"/>
                                </a:lnTo>
                                <a:lnTo>
                                  <a:pt x="603" y="1095"/>
                                </a:lnTo>
                                <a:lnTo>
                                  <a:pt x="605" y="1093"/>
                                </a:lnTo>
                                <a:lnTo>
                                  <a:pt x="626" y="1093"/>
                                </a:lnTo>
                                <a:lnTo>
                                  <a:pt x="626" y="1079"/>
                                </a:lnTo>
                                <a:close/>
                                <a:moveTo>
                                  <a:pt x="782" y="1087"/>
                                </a:moveTo>
                                <a:lnTo>
                                  <a:pt x="781" y="1087"/>
                                </a:lnTo>
                                <a:lnTo>
                                  <a:pt x="774" y="1081"/>
                                </a:lnTo>
                                <a:lnTo>
                                  <a:pt x="774" y="1079"/>
                                </a:lnTo>
                                <a:lnTo>
                                  <a:pt x="657" y="1079"/>
                                </a:lnTo>
                                <a:lnTo>
                                  <a:pt x="657" y="1093"/>
                                </a:lnTo>
                                <a:lnTo>
                                  <a:pt x="768" y="1093"/>
                                </a:lnTo>
                                <a:lnTo>
                                  <a:pt x="768" y="1096"/>
                                </a:lnTo>
                                <a:lnTo>
                                  <a:pt x="782" y="1096"/>
                                </a:lnTo>
                                <a:lnTo>
                                  <a:pt x="782" y="1087"/>
                                </a:lnTo>
                                <a:close/>
                                <a:moveTo>
                                  <a:pt x="843" y="1142"/>
                                </a:moveTo>
                                <a:lnTo>
                                  <a:pt x="841" y="1142"/>
                                </a:lnTo>
                                <a:lnTo>
                                  <a:pt x="834" y="1136"/>
                                </a:lnTo>
                                <a:lnTo>
                                  <a:pt x="834" y="1134"/>
                                </a:lnTo>
                                <a:lnTo>
                                  <a:pt x="782" y="1134"/>
                                </a:lnTo>
                                <a:lnTo>
                                  <a:pt x="782" y="1127"/>
                                </a:lnTo>
                                <a:lnTo>
                                  <a:pt x="768" y="1127"/>
                                </a:lnTo>
                                <a:lnTo>
                                  <a:pt x="768" y="1141"/>
                                </a:lnTo>
                                <a:lnTo>
                                  <a:pt x="767" y="1142"/>
                                </a:lnTo>
                                <a:lnTo>
                                  <a:pt x="774" y="1150"/>
                                </a:lnTo>
                                <a:lnTo>
                                  <a:pt x="775" y="1148"/>
                                </a:lnTo>
                                <a:lnTo>
                                  <a:pt x="828" y="1148"/>
                                </a:lnTo>
                                <a:lnTo>
                                  <a:pt x="828" y="1194"/>
                                </a:lnTo>
                                <a:lnTo>
                                  <a:pt x="843" y="1194"/>
                                </a:lnTo>
                                <a:lnTo>
                                  <a:pt x="843" y="1142"/>
                                </a:lnTo>
                                <a:close/>
                                <a:moveTo>
                                  <a:pt x="910" y="1254"/>
                                </a:moveTo>
                                <a:lnTo>
                                  <a:pt x="902" y="1254"/>
                                </a:lnTo>
                                <a:lnTo>
                                  <a:pt x="902" y="1247"/>
                                </a:lnTo>
                                <a:lnTo>
                                  <a:pt x="885" y="1247"/>
                                </a:lnTo>
                                <a:lnTo>
                                  <a:pt x="885" y="1199"/>
                                </a:lnTo>
                                <a:lnTo>
                                  <a:pt x="883" y="1199"/>
                                </a:lnTo>
                                <a:lnTo>
                                  <a:pt x="877" y="1192"/>
                                </a:lnTo>
                                <a:lnTo>
                                  <a:pt x="877" y="1191"/>
                                </a:lnTo>
                                <a:lnTo>
                                  <a:pt x="861" y="1191"/>
                                </a:lnTo>
                                <a:lnTo>
                                  <a:pt x="861" y="1205"/>
                                </a:lnTo>
                                <a:lnTo>
                                  <a:pt x="871" y="1205"/>
                                </a:lnTo>
                                <a:lnTo>
                                  <a:pt x="871" y="1253"/>
                                </a:lnTo>
                                <a:lnTo>
                                  <a:pt x="869" y="1254"/>
                                </a:lnTo>
                                <a:lnTo>
                                  <a:pt x="877" y="1262"/>
                                </a:lnTo>
                                <a:lnTo>
                                  <a:pt x="878" y="1261"/>
                                </a:lnTo>
                                <a:lnTo>
                                  <a:pt x="896" y="1261"/>
                                </a:lnTo>
                                <a:lnTo>
                                  <a:pt x="896" y="1284"/>
                                </a:lnTo>
                                <a:lnTo>
                                  <a:pt x="910" y="1284"/>
                                </a:lnTo>
                                <a:lnTo>
                                  <a:pt x="910" y="1254"/>
                                </a:lnTo>
                                <a:close/>
                              </a:path>
                            </a:pathLst>
                          </a:custGeom>
                          <a:solidFill>
                            <a:srgbClr val="6D6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240"/>
                        <wps:cNvSpPr>
                          <a:spLocks/>
                        </wps:cNvSpPr>
                        <wps:spPr bwMode="auto">
                          <a:xfrm>
                            <a:off x="3759" y="1409"/>
                            <a:ext cx="1621" cy="1591"/>
                          </a:xfrm>
                          <a:custGeom>
                            <a:avLst/>
                            <a:gdLst>
                              <a:gd name="T0" fmla="+- 0 3767 3760"/>
                              <a:gd name="T1" fmla="*/ T0 w 1621"/>
                              <a:gd name="T2" fmla="+- 0 1410 1410"/>
                              <a:gd name="T3" fmla="*/ 1410 h 1591"/>
                              <a:gd name="T4" fmla="+- 0 3775 3760"/>
                              <a:gd name="T5" fmla="*/ T4 w 1621"/>
                              <a:gd name="T6" fmla="+- 0 1446 1410"/>
                              <a:gd name="T7" fmla="*/ 1446 h 1591"/>
                              <a:gd name="T8" fmla="+- 0 3816 3760"/>
                              <a:gd name="T9" fmla="*/ T8 w 1621"/>
                              <a:gd name="T10" fmla="+- 0 1528 1410"/>
                              <a:gd name="T11" fmla="*/ 1528 h 1591"/>
                              <a:gd name="T12" fmla="+- 0 3801 3760"/>
                              <a:gd name="T13" fmla="*/ T12 w 1621"/>
                              <a:gd name="T14" fmla="+- 0 1472 1410"/>
                              <a:gd name="T15" fmla="*/ 1472 h 1591"/>
                              <a:gd name="T16" fmla="+- 0 3793 3760"/>
                              <a:gd name="T17" fmla="*/ T16 w 1621"/>
                              <a:gd name="T18" fmla="+- 0 1465 1410"/>
                              <a:gd name="T19" fmla="*/ 1465 h 1591"/>
                              <a:gd name="T20" fmla="+- 0 3787 3760"/>
                              <a:gd name="T21" fmla="*/ T20 w 1621"/>
                              <a:gd name="T22" fmla="+- 0 1527 1410"/>
                              <a:gd name="T23" fmla="*/ 1527 h 1591"/>
                              <a:gd name="T24" fmla="+- 0 3804 3760"/>
                              <a:gd name="T25" fmla="*/ T24 w 1621"/>
                              <a:gd name="T26" fmla="+- 0 1534 1410"/>
                              <a:gd name="T27" fmla="*/ 1534 h 1591"/>
                              <a:gd name="T28" fmla="+- 0 3877 3760"/>
                              <a:gd name="T29" fmla="*/ T28 w 1621"/>
                              <a:gd name="T30" fmla="+- 0 1651 1410"/>
                              <a:gd name="T31" fmla="*/ 1651 h 1591"/>
                              <a:gd name="T32" fmla="+- 0 3869 3760"/>
                              <a:gd name="T33" fmla="*/ T32 w 1621"/>
                              <a:gd name="T34" fmla="+- 0 1644 1410"/>
                              <a:gd name="T35" fmla="*/ 1644 h 1591"/>
                              <a:gd name="T36" fmla="+- 0 3861 3760"/>
                              <a:gd name="T37" fmla="*/ T36 w 1621"/>
                              <a:gd name="T38" fmla="+- 0 1579 1410"/>
                              <a:gd name="T39" fmla="*/ 1579 h 1591"/>
                              <a:gd name="T40" fmla="+- 0 3853 3760"/>
                              <a:gd name="T41" fmla="*/ T40 w 1621"/>
                              <a:gd name="T42" fmla="+- 0 1659 1410"/>
                              <a:gd name="T43" fmla="*/ 1659 h 1591"/>
                              <a:gd name="T44" fmla="+- 0 3877 3760"/>
                              <a:gd name="T45" fmla="*/ T44 w 1621"/>
                              <a:gd name="T46" fmla="+- 0 1651 1410"/>
                              <a:gd name="T47" fmla="*/ 1651 h 1591"/>
                              <a:gd name="T48" fmla="+- 0 3863 3760"/>
                              <a:gd name="T49" fmla="*/ T48 w 1621"/>
                              <a:gd name="T50" fmla="+- 0 1692 1410"/>
                              <a:gd name="T51" fmla="*/ 1692 h 1591"/>
                              <a:gd name="T52" fmla="+- 0 3870 3760"/>
                              <a:gd name="T53" fmla="*/ T52 w 1621"/>
                              <a:gd name="T54" fmla="+- 0 1722 1410"/>
                              <a:gd name="T55" fmla="*/ 1722 h 1591"/>
                              <a:gd name="T56" fmla="+- 0 4003 3760"/>
                              <a:gd name="T57" fmla="*/ T56 w 1621"/>
                              <a:gd name="T58" fmla="+- 0 1708 1410"/>
                              <a:gd name="T59" fmla="*/ 1708 h 1591"/>
                              <a:gd name="T60" fmla="+- 0 4277 3760"/>
                              <a:gd name="T61" fmla="*/ T60 w 1621"/>
                              <a:gd name="T62" fmla="+- 0 1716 1410"/>
                              <a:gd name="T63" fmla="*/ 1716 h 1591"/>
                              <a:gd name="T64" fmla="+- 0 4269 3760"/>
                              <a:gd name="T65" fmla="*/ T64 w 1621"/>
                              <a:gd name="T66" fmla="+- 0 1708 1410"/>
                              <a:gd name="T67" fmla="*/ 1708 h 1591"/>
                              <a:gd name="T68" fmla="+- 0 4263 3760"/>
                              <a:gd name="T69" fmla="*/ T68 w 1621"/>
                              <a:gd name="T70" fmla="+- 0 1735 1410"/>
                              <a:gd name="T71" fmla="*/ 1735 h 1591"/>
                              <a:gd name="T72" fmla="+- 0 4302 3760"/>
                              <a:gd name="T73" fmla="*/ T72 w 1621"/>
                              <a:gd name="T74" fmla="+- 0 1859 1410"/>
                              <a:gd name="T75" fmla="*/ 1859 h 1591"/>
                              <a:gd name="T76" fmla="+- 0 4286 3760"/>
                              <a:gd name="T77" fmla="*/ T76 w 1621"/>
                              <a:gd name="T78" fmla="+- 0 1787 1410"/>
                              <a:gd name="T79" fmla="*/ 1787 h 1591"/>
                              <a:gd name="T80" fmla="+- 0 4278 3760"/>
                              <a:gd name="T81" fmla="*/ T80 w 1621"/>
                              <a:gd name="T82" fmla="+- 0 1781 1410"/>
                              <a:gd name="T83" fmla="*/ 1781 h 1591"/>
                              <a:gd name="T84" fmla="+- 0 4263 3760"/>
                              <a:gd name="T85" fmla="*/ T84 w 1621"/>
                              <a:gd name="T86" fmla="+- 0 1766 1410"/>
                              <a:gd name="T87" fmla="*/ 1766 h 1591"/>
                              <a:gd name="T88" fmla="+- 0 4270 3760"/>
                              <a:gd name="T89" fmla="*/ T88 w 1621"/>
                              <a:gd name="T90" fmla="+- 0 1793 1410"/>
                              <a:gd name="T91" fmla="*/ 1793 h 1591"/>
                              <a:gd name="T92" fmla="+- 0 4286 3760"/>
                              <a:gd name="T93" fmla="*/ T92 w 1621"/>
                              <a:gd name="T94" fmla="+- 0 1866 1410"/>
                              <a:gd name="T95" fmla="*/ 1866 h 1591"/>
                              <a:gd name="T96" fmla="+- 0 4297 3760"/>
                              <a:gd name="T97" fmla="*/ T96 w 1621"/>
                              <a:gd name="T98" fmla="+- 0 1866 1410"/>
                              <a:gd name="T99" fmla="*/ 1866 h 1591"/>
                              <a:gd name="T100" fmla="+- 0 4304 3760"/>
                              <a:gd name="T101" fmla="*/ T100 w 1621"/>
                              <a:gd name="T102" fmla="+- 0 1995 1410"/>
                              <a:gd name="T103" fmla="*/ 1995 h 1591"/>
                              <a:gd name="T104" fmla="+- 0 4304 3760"/>
                              <a:gd name="T105" fmla="*/ T104 w 1621"/>
                              <a:gd name="T106" fmla="+- 0 2011 1410"/>
                              <a:gd name="T107" fmla="*/ 2011 h 1591"/>
                              <a:gd name="T108" fmla="+- 0 4387 3760"/>
                              <a:gd name="T109" fmla="*/ T108 w 1621"/>
                              <a:gd name="T110" fmla="+- 0 2074 1410"/>
                              <a:gd name="T111" fmla="*/ 2074 h 1591"/>
                              <a:gd name="T112" fmla="+- 0 4336 3760"/>
                              <a:gd name="T113" fmla="*/ T112 w 1621"/>
                              <a:gd name="T114" fmla="+- 0 2066 1410"/>
                              <a:gd name="T115" fmla="*/ 2066 h 1591"/>
                              <a:gd name="T116" fmla="+- 0 4321 3760"/>
                              <a:gd name="T117" fmla="*/ T116 w 1621"/>
                              <a:gd name="T118" fmla="+- 0 2074 1410"/>
                              <a:gd name="T119" fmla="*/ 2074 h 1591"/>
                              <a:gd name="T120" fmla="+- 0 4373 3760"/>
                              <a:gd name="T121" fmla="*/ T120 w 1621"/>
                              <a:gd name="T122" fmla="+- 0 2097 1410"/>
                              <a:gd name="T123" fmla="*/ 2097 h 1591"/>
                              <a:gd name="T124" fmla="+- 0 4428 3760"/>
                              <a:gd name="T125" fmla="*/ T124 w 1621"/>
                              <a:gd name="T126" fmla="+- 0 2149 1410"/>
                              <a:gd name="T127" fmla="*/ 2149 h 1591"/>
                              <a:gd name="T128" fmla="+- 0 4387 3760"/>
                              <a:gd name="T129" fmla="*/ T128 w 1621"/>
                              <a:gd name="T130" fmla="+- 0 2142 1410"/>
                              <a:gd name="T131" fmla="*/ 2142 h 1591"/>
                              <a:gd name="T132" fmla="+- 0 4371 3760"/>
                              <a:gd name="T133" fmla="*/ T132 w 1621"/>
                              <a:gd name="T134" fmla="+- 0 2149 1410"/>
                              <a:gd name="T135" fmla="*/ 2149 h 1591"/>
                              <a:gd name="T136" fmla="+- 0 4416 3760"/>
                              <a:gd name="T137" fmla="*/ T136 w 1621"/>
                              <a:gd name="T138" fmla="+- 0 2213 1410"/>
                              <a:gd name="T139" fmla="*/ 2213 h 1591"/>
                              <a:gd name="T140" fmla="+- 0 4441 3760"/>
                              <a:gd name="T141" fmla="*/ T140 w 1621"/>
                              <a:gd name="T142" fmla="+- 0 2218 1410"/>
                              <a:gd name="T143" fmla="*/ 2218 h 1591"/>
                              <a:gd name="T144" fmla="+- 0 4725 3760"/>
                              <a:gd name="T145" fmla="*/ T144 w 1621"/>
                              <a:gd name="T146" fmla="+- 0 2218 1410"/>
                              <a:gd name="T147" fmla="*/ 2218 h 1591"/>
                              <a:gd name="T148" fmla="+- 0 4725 3760"/>
                              <a:gd name="T149" fmla="*/ T148 w 1621"/>
                              <a:gd name="T150" fmla="+- 0 2218 1410"/>
                              <a:gd name="T151" fmla="*/ 2218 h 1591"/>
                              <a:gd name="T152" fmla="+- 0 4779 3760"/>
                              <a:gd name="T153" fmla="*/ T152 w 1621"/>
                              <a:gd name="T154" fmla="+- 0 2294 1410"/>
                              <a:gd name="T155" fmla="*/ 2294 h 1591"/>
                              <a:gd name="T156" fmla="+- 0 4762 3760"/>
                              <a:gd name="T157" fmla="*/ T156 w 1621"/>
                              <a:gd name="T158" fmla="+- 0 2229 1410"/>
                              <a:gd name="T159" fmla="*/ 2229 h 1591"/>
                              <a:gd name="T160" fmla="+- 0 4762 3760"/>
                              <a:gd name="T161" fmla="*/ T160 w 1621"/>
                              <a:gd name="T162" fmla="+- 0 2306 1410"/>
                              <a:gd name="T163" fmla="*/ 2306 h 1591"/>
                              <a:gd name="T164" fmla="+- 0 4787 3760"/>
                              <a:gd name="T165" fmla="*/ T164 w 1621"/>
                              <a:gd name="T166" fmla="+- 0 2300 1410"/>
                              <a:gd name="T167" fmla="*/ 2300 h 1591"/>
                              <a:gd name="T168" fmla="+- 0 4772 3760"/>
                              <a:gd name="T169" fmla="*/ T168 w 1621"/>
                              <a:gd name="T170" fmla="+- 0 2361 1410"/>
                              <a:gd name="T171" fmla="*/ 2361 h 1591"/>
                              <a:gd name="T172" fmla="+- 0 4816 3760"/>
                              <a:gd name="T173" fmla="*/ T172 w 1621"/>
                              <a:gd name="T174" fmla="+- 0 2457 1410"/>
                              <a:gd name="T175" fmla="*/ 2457 h 1591"/>
                              <a:gd name="T176" fmla="+- 0 4849 3760"/>
                              <a:gd name="T177" fmla="*/ T176 w 1621"/>
                              <a:gd name="T178" fmla="+- 0 2530 1410"/>
                              <a:gd name="T179" fmla="*/ 2530 h 1591"/>
                              <a:gd name="T180" fmla="+- 0 4830 3760"/>
                              <a:gd name="T181" fmla="*/ T180 w 1621"/>
                              <a:gd name="T182" fmla="+- 0 2477 1410"/>
                              <a:gd name="T183" fmla="*/ 2477 h 1591"/>
                              <a:gd name="T184" fmla="+- 0 4822 3760"/>
                              <a:gd name="T185" fmla="*/ T184 w 1621"/>
                              <a:gd name="T186" fmla="+- 0 2544 1410"/>
                              <a:gd name="T187" fmla="*/ 2544 h 1591"/>
                              <a:gd name="T188" fmla="+- 0 4857 3760"/>
                              <a:gd name="T189" fmla="*/ T188 w 1621"/>
                              <a:gd name="T190" fmla="+- 0 2576 1410"/>
                              <a:gd name="T191" fmla="*/ 2576 h 1591"/>
                              <a:gd name="T192" fmla="+- 0 4917 3760"/>
                              <a:gd name="T193" fmla="*/ T192 w 1621"/>
                              <a:gd name="T194" fmla="+- 0 2617 1410"/>
                              <a:gd name="T195" fmla="*/ 2617 h 1591"/>
                              <a:gd name="T196" fmla="+- 0 4843 3760"/>
                              <a:gd name="T197" fmla="*/ T196 w 1621"/>
                              <a:gd name="T198" fmla="+- 0 2608 1410"/>
                              <a:gd name="T199" fmla="*/ 2608 h 1591"/>
                              <a:gd name="T200" fmla="+- 0 4850 3760"/>
                              <a:gd name="T201" fmla="*/ T200 w 1621"/>
                              <a:gd name="T202" fmla="+- 0 2629 1410"/>
                              <a:gd name="T203" fmla="*/ 2629 h 1591"/>
                              <a:gd name="T204" fmla="+- 0 4925 3760"/>
                              <a:gd name="T205" fmla="*/ T204 w 1621"/>
                              <a:gd name="T206" fmla="+- 0 2623 1410"/>
                              <a:gd name="T207" fmla="*/ 2623 h 1591"/>
                              <a:gd name="T208" fmla="+- 0 4911 3760"/>
                              <a:gd name="T209" fmla="*/ T208 w 1621"/>
                              <a:gd name="T210" fmla="+- 0 2698 1410"/>
                              <a:gd name="T211" fmla="*/ 2698 h 1591"/>
                              <a:gd name="T212" fmla="+- 0 4918 3760"/>
                              <a:gd name="T213" fmla="*/ T212 w 1621"/>
                              <a:gd name="T214" fmla="+- 0 2715 1410"/>
                              <a:gd name="T215" fmla="*/ 2715 h 1591"/>
                              <a:gd name="T216" fmla="+- 0 5044 3760"/>
                              <a:gd name="T217" fmla="*/ T216 w 1621"/>
                              <a:gd name="T218" fmla="+- 0 2795 1410"/>
                              <a:gd name="T219" fmla="*/ 2795 h 1591"/>
                              <a:gd name="T220" fmla="+- 0 5044 3760"/>
                              <a:gd name="T221" fmla="*/ T220 w 1621"/>
                              <a:gd name="T222" fmla="+- 0 2811 1410"/>
                              <a:gd name="T223" fmla="*/ 2811 h 1591"/>
                              <a:gd name="T224" fmla="+- 0 5254 3760"/>
                              <a:gd name="T225" fmla="*/ T224 w 1621"/>
                              <a:gd name="T226" fmla="+- 0 2795 1410"/>
                              <a:gd name="T227" fmla="*/ 2795 h 1591"/>
                              <a:gd name="T228" fmla="+- 0 5254 3760"/>
                              <a:gd name="T229" fmla="*/ T228 w 1621"/>
                              <a:gd name="T230" fmla="+- 0 2795 1410"/>
                              <a:gd name="T231" fmla="*/ 2795 h 1591"/>
                              <a:gd name="T232" fmla="+- 0 5360 3760"/>
                              <a:gd name="T233" fmla="*/ T232 w 1621"/>
                              <a:gd name="T234" fmla="+- 0 2795 1410"/>
                              <a:gd name="T235" fmla="*/ 2795 h 1591"/>
                              <a:gd name="T236" fmla="+- 0 5354 3760"/>
                              <a:gd name="T237" fmla="*/ T236 w 1621"/>
                              <a:gd name="T238" fmla="+- 0 2855 1410"/>
                              <a:gd name="T239" fmla="*/ 2855 h 1591"/>
                              <a:gd name="T240" fmla="+- 0 5368 3760"/>
                              <a:gd name="T241" fmla="*/ T240 w 1621"/>
                              <a:gd name="T242" fmla="+- 0 2985 1410"/>
                              <a:gd name="T243" fmla="*/ 2985 h 1591"/>
                              <a:gd name="T244" fmla="+- 0 5368 3760"/>
                              <a:gd name="T245" fmla="*/ T244 w 1621"/>
                              <a:gd name="T246" fmla="+- 0 3000 1410"/>
                              <a:gd name="T247" fmla="*/ 3000 h 1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21" h="1591">
                                <a:moveTo>
                                  <a:pt x="15" y="6"/>
                                </a:moveTo>
                                <a:lnTo>
                                  <a:pt x="14" y="6"/>
                                </a:lnTo>
                                <a:lnTo>
                                  <a:pt x="7" y="0"/>
                                </a:lnTo>
                                <a:lnTo>
                                  <a:pt x="0" y="6"/>
                                </a:lnTo>
                                <a:lnTo>
                                  <a:pt x="1" y="8"/>
                                </a:lnTo>
                                <a:lnTo>
                                  <a:pt x="1" y="36"/>
                                </a:lnTo>
                                <a:lnTo>
                                  <a:pt x="15" y="36"/>
                                </a:lnTo>
                                <a:lnTo>
                                  <a:pt x="15" y="6"/>
                                </a:lnTo>
                                <a:close/>
                                <a:moveTo>
                                  <a:pt x="58" y="118"/>
                                </a:moveTo>
                                <a:lnTo>
                                  <a:pt x="56" y="118"/>
                                </a:lnTo>
                                <a:lnTo>
                                  <a:pt x="50" y="112"/>
                                </a:lnTo>
                                <a:lnTo>
                                  <a:pt x="50" y="110"/>
                                </a:lnTo>
                                <a:lnTo>
                                  <a:pt x="41" y="110"/>
                                </a:lnTo>
                                <a:lnTo>
                                  <a:pt x="41" y="62"/>
                                </a:lnTo>
                                <a:lnTo>
                                  <a:pt x="39" y="62"/>
                                </a:lnTo>
                                <a:lnTo>
                                  <a:pt x="33" y="57"/>
                                </a:lnTo>
                                <a:lnTo>
                                  <a:pt x="33" y="55"/>
                                </a:lnTo>
                                <a:lnTo>
                                  <a:pt x="12" y="55"/>
                                </a:lnTo>
                                <a:lnTo>
                                  <a:pt x="12" y="69"/>
                                </a:lnTo>
                                <a:lnTo>
                                  <a:pt x="27" y="69"/>
                                </a:lnTo>
                                <a:lnTo>
                                  <a:pt x="27" y="117"/>
                                </a:lnTo>
                                <a:lnTo>
                                  <a:pt x="25" y="118"/>
                                </a:lnTo>
                                <a:lnTo>
                                  <a:pt x="33" y="126"/>
                                </a:lnTo>
                                <a:lnTo>
                                  <a:pt x="34" y="124"/>
                                </a:lnTo>
                                <a:lnTo>
                                  <a:pt x="44" y="124"/>
                                </a:lnTo>
                                <a:lnTo>
                                  <a:pt x="44" y="151"/>
                                </a:lnTo>
                                <a:lnTo>
                                  <a:pt x="58" y="151"/>
                                </a:lnTo>
                                <a:lnTo>
                                  <a:pt x="58" y="118"/>
                                </a:lnTo>
                                <a:close/>
                                <a:moveTo>
                                  <a:pt x="117" y="241"/>
                                </a:moveTo>
                                <a:lnTo>
                                  <a:pt x="115" y="241"/>
                                </a:lnTo>
                                <a:lnTo>
                                  <a:pt x="109" y="235"/>
                                </a:lnTo>
                                <a:lnTo>
                                  <a:pt x="109" y="234"/>
                                </a:lnTo>
                                <a:lnTo>
                                  <a:pt x="109" y="176"/>
                                </a:lnTo>
                                <a:lnTo>
                                  <a:pt x="107" y="176"/>
                                </a:lnTo>
                                <a:lnTo>
                                  <a:pt x="101" y="170"/>
                                </a:lnTo>
                                <a:lnTo>
                                  <a:pt x="101" y="169"/>
                                </a:lnTo>
                                <a:lnTo>
                                  <a:pt x="56" y="169"/>
                                </a:lnTo>
                                <a:lnTo>
                                  <a:pt x="56" y="183"/>
                                </a:lnTo>
                                <a:lnTo>
                                  <a:pt x="93" y="183"/>
                                </a:lnTo>
                                <a:lnTo>
                                  <a:pt x="93" y="249"/>
                                </a:lnTo>
                                <a:lnTo>
                                  <a:pt x="103" y="249"/>
                                </a:lnTo>
                                <a:lnTo>
                                  <a:pt x="103" y="251"/>
                                </a:lnTo>
                                <a:lnTo>
                                  <a:pt x="117" y="251"/>
                                </a:lnTo>
                                <a:lnTo>
                                  <a:pt x="117" y="241"/>
                                </a:lnTo>
                                <a:close/>
                                <a:moveTo>
                                  <a:pt x="211" y="298"/>
                                </a:moveTo>
                                <a:lnTo>
                                  <a:pt x="117" y="298"/>
                                </a:lnTo>
                                <a:lnTo>
                                  <a:pt x="117" y="282"/>
                                </a:lnTo>
                                <a:lnTo>
                                  <a:pt x="103" y="282"/>
                                </a:lnTo>
                                <a:lnTo>
                                  <a:pt x="103" y="305"/>
                                </a:lnTo>
                                <a:lnTo>
                                  <a:pt x="101" y="306"/>
                                </a:lnTo>
                                <a:lnTo>
                                  <a:pt x="109" y="314"/>
                                </a:lnTo>
                                <a:lnTo>
                                  <a:pt x="110" y="312"/>
                                </a:lnTo>
                                <a:lnTo>
                                  <a:pt x="211" y="312"/>
                                </a:lnTo>
                                <a:lnTo>
                                  <a:pt x="211" y="298"/>
                                </a:lnTo>
                                <a:close/>
                                <a:moveTo>
                                  <a:pt x="369" y="298"/>
                                </a:moveTo>
                                <a:lnTo>
                                  <a:pt x="243" y="298"/>
                                </a:lnTo>
                                <a:lnTo>
                                  <a:pt x="243" y="312"/>
                                </a:lnTo>
                                <a:lnTo>
                                  <a:pt x="369" y="312"/>
                                </a:lnTo>
                                <a:lnTo>
                                  <a:pt x="369" y="298"/>
                                </a:lnTo>
                                <a:close/>
                                <a:moveTo>
                                  <a:pt x="517" y="306"/>
                                </a:moveTo>
                                <a:lnTo>
                                  <a:pt x="515" y="306"/>
                                </a:lnTo>
                                <a:lnTo>
                                  <a:pt x="509" y="300"/>
                                </a:lnTo>
                                <a:lnTo>
                                  <a:pt x="509" y="298"/>
                                </a:lnTo>
                                <a:lnTo>
                                  <a:pt x="401" y="298"/>
                                </a:lnTo>
                                <a:lnTo>
                                  <a:pt x="401" y="312"/>
                                </a:lnTo>
                                <a:lnTo>
                                  <a:pt x="503" y="312"/>
                                </a:lnTo>
                                <a:lnTo>
                                  <a:pt x="503" y="325"/>
                                </a:lnTo>
                                <a:lnTo>
                                  <a:pt x="517" y="325"/>
                                </a:lnTo>
                                <a:lnTo>
                                  <a:pt x="517" y="306"/>
                                </a:lnTo>
                                <a:close/>
                                <a:moveTo>
                                  <a:pt x="544" y="449"/>
                                </a:moveTo>
                                <a:lnTo>
                                  <a:pt x="542" y="449"/>
                                </a:lnTo>
                                <a:lnTo>
                                  <a:pt x="535" y="443"/>
                                </a:lnTo>
                                <a:lnTo>
                                  <a:pt x="535" y="442"/>
                                </a:lnTo>
                                <a:lnTo>
                                  <a:pt x="526" y="442"/>
                                </a:lnTo>
                                <a:lnTo>
                                  <a:pt x="526" y="377"/>
                                </a:lnTo>
                                <a:lnTo>
                                  <a:pt x="524" y="377"/>
                                </a:lnTo>
                                <a:lnTo>
                                  <a:pt x="518" y="371"/>
                                </a:lnTo>
                                <a:lnTo>
                                  <a:pt x="518" y="369"/>
                                </a:lnTo>
                                <a:lnTo>
                                  <a:pt x="517" y="369"/>
                                </a:lnTo>
                                <a:lnTo>
                                  <a:pt x="517" y="356"/>
                                </a:lnTo>
                                <a:lnTo>
                                  <a:pt x="503" y="356"/>
                                </a:lnTo>
                                <a:lnTo>
                                  <a:pt x="503" y="375"/>
                                </a:lnTo>
                                <a:lnTo>
                                  <a:pt x="500" y="377"/>
                                </a:lnTo>
                                <a:lnTo>
                                  <a:pt x="509" y="385"/>
                                </a:lnTo>
                                <a:lnTo>
                                  <a:pt x="510" y="383"/>
                                </a:lnTo>
                                <a:lnTo>
                                  <a:pt x="510" y="457"/>
                                </a:lnTo>
                                <a:lnTo>
                                  <a:pt x="526" y="457"/>
                                </a:lnTo>
                                <a:lnTo>
                                  <a:pt x="526" y="456"/>
                                </a:lnTo>
                                <a:lnTo>
                                  <a:pt x="530" y="456"/>
                                </a:lnTo>
                                <a:lnTo>
                                  <a:pt x="534" y="456"/>
                                </a:lnTo>
                                <a:lnTo>
                                  <a:pt x="535" y="457"/>
                                </a:lnTo>
                                <a:lnTo>
                                  <a:pt x="537" y="456"/>
                                </a:lnTo>
                                <a:lnTo>
                                  <a:pt x="544" y="456"/>
                                </a:lnTo>
                                <a:lnTo>
                                  <a:pt x="544" y="449"/>
                                </a:lnTo>
                                <a:close/>
                                <a:moveTo>
                                  <a:pt x="556" y="585"/>
                                </a:moveTo>
                                <a:lnTo>
                                  <a:pt x="544" y="585"/>
                                </a:lnTo>
                                <a:lnTo>
                                  <a:pt x="544" y="487"/>
                                </a:lnTo>
                                <a:lnTo>
                                  <a:pt x="527" y="487"/>
                                </a:lnTo>
                                <a:lnTo>
                                  <a:pt x="527" y="601"/>
                                </a:lnTo>
                                <a:lnTo>
                                  <a:pt x="544" y="601"/>
                                </a:lnTo>
                                <a:lnTo>
                                  <a:pt x="544" y="600"/>
                                </a:lnTo>
                                <a:lnTo>
                                  <a:pt x="556" y="600"/>
                                </a:lnTo>
                                <a:lnTo>
                                  <a:pt x="556" y="585"/>
                                </a:lnTo>
                                <a:close/>
                                <a:moveTo>
                                  <a:pt x="627" y="664"/>
                                </a:moveTo>
                                <a:lnTo>
                                  <a:pt x="626" y="664"/>
                                </a:lnTo>
                                <a:lnTo>
                                  <a:pt x="620" y="658"/>
                                </a:lnTo>
                                <a:lnTo>
                                  <a:pt x="620" y="656"/>
                                </a:lnTo>
                                <a:lnTo>
                                  <a:pt x="576" y="656"/>
                                </a:lnTo>
                                <a:lnTo>
                                  <a:pt x="576" y="612"/>
                                </a:lnTo>
                                <a:lnTo>
                                  <a:pt x="562" y="612"/>
                                </a:lnTo>
                                <a:lnTo>
                                  <a:pt x="562" y="663"/>
                                </a:lnTo>
                                <a:lnTo>
                                  <a:pt x="561" y="664"/>
                                </a:lnTo>
                                <a:lnTo>
                                  <a:pt x="569" y="672"/>
                                </a:lnTo>
                                <a:lnTo>
                                  <a:pt x="570" y="670"/>
                                </a:lnTo>
                                <a:lnTo>
                                  <a:pt x="613" y="670"/>
                                </a:lnTo>
                                <a:lnTo>
                                  <a:pt x="613" y="687"/>
                                </a:lnTo>
                                <a:lnTo>
                                  <a:pt x="627" y="687"/>
                                </a:lnTo>
                                <a:lnTo>
                                  <a:pt x="627" y="664"/>
                                </a:lnTo>
                                <a:close/>
                                <a:moveTo>
                                  <a:pt x="670" y="739"/>
                                </a:moveTo>
                                <a:lnTo>
                                  <a:pt x="668" y="739"/>
                                </a:lnTo>
                                <a:lnTo>
                                  <a:pt x="662" y="733"/>
                                </a:lnTo>
                                <a:lnTo>
                                  <a:pt x="662" y="732"/>
                                </a:lnTo>
                                <a:lnTo>
                                  <a:pt x="627" y="732"/>
                                </a:lnTo>
                                <a:lnTo>
                                  <a:pt x="627" y="719"/>
                                </a:lnTo>
                                <a:lnTo>
                                  <a:pt x="613" y="719"/>
                                </a:lnTo>
                                <a:lnTo>
                                  <a:pt x="613" y="738"/>
                                </a:lnTo>
                                <a:lnTo>
                                  <a:pt x="611" y="739"/>
                                </a:lnTo>
                                <a:lnTo>
                                  <a:pt x="620" y="748"/>
                                </a:lnTo>
                                <a:lnTo>
                                  <a:pt x="621" y="746"/>
                                </a:lnTo>
                                <a:lnTo>
                                  <a:pt x="656" y="746"/>
                                </a:lnTo>
                                <a:lnTo>
                                  <a:pt x="656" y="803"/>
                                </a:lnTo>
                                <a:lnTo>
                                  <a:pt x="670" y="803"/>
                                </a:lnTo>
                                <a:lnTo>
                                  <a:pt x="670" y="739"/>
                                </a:lnTo>
                                <a:close/>
                                <a:moveTo>
                                  <a:pt x="807" y="808"/>
                                </a:moveTo>
                                <a:lnTo>
                                  <a:pt x="681" y="808"/>
                                </a:lnTo>
                                <a:lnTo>
                                  <a:pt x="681" y="822"/>
                                </a:lnTo>
                                <a:lnTo>
                                  <a:pt x="807" y="822"/>
                                </a:lnTo>
                                <a:lnTo>
                                  <a:pt x="807" y="808"/>
                                </a:lnTo>
                                <a:close/>
                                <a:moveTo>
                                  <a:pt x="965" y="808"/>
                                </a:moveTo>
                                <a:lnTo>
                                  <a:pt x="839" y="808"/>
                                </a:lnTo>
                                <a:lnTo>
                                  <a:pt x="839" y="822"/>
                                </a:lnTo>
                                <a:lnTo>
                                  <a:pt x="965" y="822"/>
                                </a:lnTo>
                                <a:lnTo>
                                  <a:pt x="965" y="808"/>
                                </a:lnTo>
                                <a:close/>
                                <a:moveTo>
                                  <a:pt x="1027" y="890"/>
                                </a:moveTo>
                                <a:lnTo>
                                  <a:pt x="1026" y="890"/>
                                </a:lnTo>
                                <a:lnTo>
                                  <a:pt x="1019" y="884"/>
                                </a:lnTo>
                                <a:lnTo>
                                  <a:pt x="1019" y="881"/>
                                </a:lnTo>
                                <a:lnTo>
                                  <a:pt x="1002" y="881"/>
                                </a:lnTo>
                                <a:lnTo>
                                  <a:pt x="1002" y="819"/>
                                </a:lnTo>
                                <a:lnTo>
                                  <a:pt x="986" y="819"/>
                                </a:lnTo>
                                <a:lnTo>
                                  <a:pt x="986" y="898"/>
                                </a:lnTo>
                                <a:lnTo>
                                  <a:pt x="1002" y="898"/>
                                </a:lnTo>
                                <a:lnTo>
                                  <a:pt x="1002" y="896"/>
                                </a:lnTo>
                                <a:lnTo>
                                  <a:pt x="1013" y="896"/>
                                </a:lnTo>
                                <a:lnTo>
                                  <a:pt x="1013" y="919"/>
                                </a:lnTo>
                                <a:lnTo>
                                  <a:pt x="1027" y="919"/>
                                </a:lnTo>
                                <a:lnTo>
                                  <a:pt x="1027" y="890"/>
                                </a:lnTo>
                                <a:close/>
                                <a:moveTo>
                                  <a:pt x="1056" y="1033"/>
                                </a:moveTo>
                                <a:lnTo>
                                  <a:pt x="1027" y="1033"/>
                                </a:lnTo>
                                <a:lnTo>
                                  <a:pt x="1027" y="951"/>
                                </a:lnTo>
                                <a:lnTo>
                                  <a:pt x="1012" y="951"/>
                                </a:lnTo>
                                <a:lnTo>
                                  <a:pt x="1012" y="1049"/>
                                </a:lnTo>
                                <a:lnTo>
                                  <a:pt x="1027" y="1049"/>
                                </a:lnTo>
                                <a:lnTo>
                                  <a:pt x="1027" y="1047"/>
                                </a:lnTo>
                                <a:lnTo>
                                  <a:pt x="1056" y="1047"/>
                                </a:lnTo>
                                <a:lnTo>
                                  <a:pt x="1056" y="1033"/>
                                </a:lnTo>
                                <a:close/>
                                <a:moveTo>
                                  <a:pt x="1097" y="1126"/>
                                </a:moveTo>
                                <a:lnTo>
                                  <a:pt x="1095" y="1126"/>
                                </a:lnTo>
                                <a:lnTo>
                                  <a:pt x="1089" y="1120"/>
                                </a:lnTo>
                                <a:lnTo>
                                  <a:pt x="1089" y="1119"/>
                                </a:lnTo>
                                <a:lnTo>
                                  <a:pt x="1070" y="1119"/>
                                </a:lnTo>
                                <a:lnTo>
                                  <a:pt x="1070" y="1067"/>
                                </a:lnTo>
                                <a:lnTo>
                                  <a:pt x="1056" y="1067"/>
                                </a:lnTo>
                                <a:lnTo>
                                  <a:pt x="1056" y="1125"/>
                                </a:lnTo>
                                <a:lnTo>
                                  <a:pt x="1054" y="1126"/>
                                </a:lnTo>
                                <a:lnTo>
                                  <a:pt x="1062" y="1134"/>
                                </a:lnTo>
                                <a:lnTo>
                                  <a:pt x="1063" y="1133"/>
                                </a:lnTo>
                                <a:lnTo>
                                  <a:pt x="1083" y="1133"/>
                                </a:lnTo>
                                <a:lnTo>
                                  <a:pt x="1083" y="1166"/>
                                </a:lnTo>
                                <a:lnTo>
                                  <a:pt x="1097" y="1166"/>
                                </a:lnTo>
                                <a:lnTo>
                                  <a:pt x="1097" y="1126"/>
                                </a:lnTo>
                                <a:close/>
                                <a:moveTo>
                                  <a:pt x="1165" y="1213"/>
                                </a:moveTo>
                                <a:lnTo>
                                  <a:pt x="1164" y="1213"/>
                                </a:lnTo>
                                <a:lnTo>
                                  <a:pt x="1157" y="1207"/>
                                </a:lnTo>
                                <a:lnTo>
                                  <a:pt x="1157" y="1205"/>
                                </a:lnTo>
                                <a:lnTo>
                                  <a:pt x="1097" y="1205"/>
                                </a:lnTo>
                                <a:lnTo>
                                  <a:pt x="1097" y="1198"/>
                                </a:lnTo>
                                <a:lnTo>
                                  <a:pt x="1083" y="1198"/>
                                </a:lnTo>
                                <a:lnTo>
                                  <a:pt x="1083" y="1212"/>
                                </a:lnTo>
                                <a:lnTo>
                                  <a:pt x="1081" y="1213"/>
                                </a:lnTo>
                                <a:lnTo>
                                  <a:pt x="1089" y="1221"/>
                                </a:lnTo>
                                <a:lnTo>
                                  <a:pt x="1090" y="1219"/>
                                </a:lnTo>
                                <a:lnTo>
                                  <a:pt x="1151" y="1219"/>
                                </a:lnTo>
                                <a:lnTo>
                                  <a:pt x="1151" y="1256"/>
                                </a:lnTo>
                                <a:lnTo>
                                  <a:pt x="1165" y="1256"/>
                                </a:lnTo>
                                <a:lnTo>
                                  <a:pt x="1165" y="1213"/>
                                </a:lnTo>
                                <a:close/>
                                <a:moveTo>
                                  <a:pt x="1272" y="1291"/>
                                </a:moveTo>
                                <a:lnTo>
                                  <a:pt x="1165" y="1291"/>
                                </a:lnTo>
                                <a:lnTo>
                                  <a:pt x="1165" y="1288"/>
                                </a:lnTo>
                                <a:lnTo>
                                  <a:pt x="1151" y="1288"/>
                                </a:lnTo>
                                <a:lnTo>
                                  <a:pt x="1151" y="1296"/>
                                </a:lnTo>
                                <a:lnTo>
                                  <a:pt x="1149" y="1298"/>
                                </a:lnTo>
                                <a:lnTo>
                                  <a:pt x="1157" y="1306"/>
                                </a:lnTo>
                                <a:lnTo>
                                  <a:pt x="1158" y="1305"/>
                                </a:lnTo>
                                <a:lnTo>
                                  <a:pt x="1272" y="1305"/>
                                </a:lnTo>
                                <a:lnTo>
                                  <a:pt x="1272" y="1291"/>
                                </a:lnTo>
                                <a:close/>
                                <a:moveTo>
                                  <a:pt x="1336" y="1385"/>
                                </a:moveTo>
                                <a:lnTo>
                                  <a:pt x="1284" y="1385"/>
                                </a:lnTo>
                                <a:lnTo>
                                  <a:pt x="1284" y="1327"/>
                                </a:lnTo>
                                <a:lnTo>
                                  <a:pt x="1268" y="1327"/>
                                </a:lnTo>
                                <a:lnTo>
                                  <a:pt x="1268" y="1401"/>
                                </a:lnTo>
                                <a:lnTo>
                                  <a:pt x="1284" y="1401"/>
                                </a:lnTo>
                                <a:lnTo>
                                  <a:pt x="1284" y="1399"/>
                                </a:lnTo>
                                <a:lnTo>
                                  <a:pt x="1336" y="1399"/>
                                </a:lnTo>
                                <a:lnTo>
                                  <a:pt x="1336" y="1385"/>
                                </a:lnTo>
                                <a:close/>
                                <a:moveTo>
                                  <a:pt x="1494" y="1385"/>
                                </a:moveTo>
                                <a:lnTo>
                                  <a:pt x="1367" y="1385"/>
                                </a:lnTo>
                                <a:lnTo>
                                  <a:pt x="1367" y="1399"/>
                                </a:lnTo>
                                <a:lnTo>
                                  <a:pt x="1494" y="1399"/>
                                </a:lnTo>
                                <a:lnTo>
                                  <a:pt x="1494" y="1385"/>
                                </a:lnTo>
                                <a:close/>
                                <a:moveTo>
                                  <a:pt x="1608" y="1393"/>
                                </a:moveTo>
                                <a:lnTo>
                                  <a:pt x="1606" y="1393"/>
                                </a:lnTo>
                                <a:lnTo>
                                  <a:pt x="1600" y="1387"/>
                                </a:lnTo>
                                <a:lnTo>
                                  <a:pt x="1600" y="1385"/>
                                </a:lnTo>
                                <a:lnTo>
                                  <a:pt x="1526" y="1385"/>
                                </a:lnTo>
                                <a:lnTo>
                                  <a:pt x="1526" y="1399"/>
                                </a:lnTo>
                                <a:lnTo>
                                  <a:pt x="1594" y="1399"/>
                                </a:lnTo>
                                <a:lnTo>
                                  <a:pt x="1594" y="1445"/>
                                </a:lnTo>
                                <a:lnTo>
                                  <a:pt x="1608" y="1445"/>
                                </a:lnTo>
                                <a:lnTo>
                                  <a:pt x="1608" y="1393"/>
                                </a:lnTo>
                                <a:close/>
                                <a:moveTo>
                                  <a:pt x="1620" y="1575"/>
                                </a:moveTo>
                                <a:lnTo>
                                  <a:pt x="1608" y="1575"/>
                                </a:lnTo>
                                <a:lnTo>
                                  <a:pt x="1608" y="1477"/>
                                </a:lnTo>
                                <a:lnTo>
                                  <a:pt x="1592" y="1477"/>
                                </a:lnTo>
                                <a:lnTo>
                                  <a:pt x="1592" y="1590"/>
                                </a:lnTo>
                                <a:lnTo>
                                  <a:pt x="1608" y="1590"/>
                                </a:lnTo>
                                <a:lnTo>
                                  <a:pt x="1608" y="1589"/>
                                </a:lnTo>
                                <a:lnTo>
                                  <a:pt x="1620" y="1589"/>
                                </a:lnTo>
                                <a:lnTo>
                                  <a:pt x="1620" y="1575"/>
                                </a:lnTo>
                                <a:close/>
                              </a:path>
                            </a:pathLst>
                          </a:custGeom>
                          <a:solidFill>
                            <a:srgbClr val="6D6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239"/>
                        <wps:cNvSpPr>
                          <a:spLocks/>
                        </wps:cNvSpPr>
                        <wps:spPr bwMode="auto">
                          <a:xfrm>
                            <a:off x="5359" y="2984"/>
                            <a:ext cx="612" cy="444"/>
                          </a:xfrm>
                          <a:custGeom>
                            <a:avLst/>
                            <a:gdLst>
                              <a:gd name="T0" fmla="+- 0 5359 5359"/>
                              <a:gd name="T1" fmla="*/ T0 w 612"/>
                              <a:gd name="T2" fmla="+- 0 2985 2985"/>
                              <a:gd name="T3" fmla="*/ 2985 h 444"/>
                              <a:gd name="T4" fmla="+- 0 5380 5359"/>
                              <a:gd name="T5" fmla="*/ T4 w 612"/>
                              <a:gd name="T6" fmla="+- 0 2999 2985"/>
                              <a:gd name="T7" fmla="*/ 2999 h 444"/>
                              <a:gd name="T8" fmla="+- 0 5538 5359"/>
                              <a:gd name="T9" fmla="*/ T8 w 612"/>
                              <a:gd name="T10" fmla="+- 0 2985 2985"/>
                              <a:gd name="T11" fmla="*/ 2985 h 444"/>
                              <a:gd name="T12" fmla="+- 0 5412 5359"/>
                              <a:gd name="T13" fmla="*/ T12 w 612"/>
                              <a:gd name="T14" fmla="+- 0 2999 2985"/>
                              <a:gd name="T15" fmla="*/ 2999 h 444"/>
                              <a:gd name="T16" fmla="+- 0 5538 5359"/>
                              <a:gd name="T17" fmla="*/ T16 w 612"/>
                              <a:gd name="T18" fmla="+- 0 2985 2985"/>
                              <a:gd name="T19" fmla="*/ 2985 h 444"/>
                              <a:gd name="T20" fmla="+- 0 5689 5359"/>
                              <a:gd name="T21" fmla="*/ T20 w 612"/>
                              <a:gd name="T22" fmla="+- 0 2992 2985"/>
                              <a:gd name="T23" fmla="*/ 2992 h 444"/>
                              <a:gd name="T24" fmla="+- 0 5682 5359"/>
                              <a:gd name="T25" fmla="*/ T24 w 612"/>
                              <a:gd name="T26" fmla="+- 0 2986 2985"/>
                              <a:gd name="T27" fmla="*/ 2986 h 444"/>
                              <a:gd name="T28" fmla="+- 0 5570 5359"/>
                              <a:gd name="T29" fmla="*/ T28 w 612"/>
                              <a:gd name="T30" fmla="+- 0 2985 2985"/>
                              <a:gd name="T31" fmla="*/ 2985 h 444"/>
                              <a:gd name="T32" fmla="+- 0 5676 5359"/>
                              <a:gd name="T33" fmla="*/ T32 w 612"/>
                              <a:gd name="T34" fmla="+- 0 2999 2985"/>
                              <a:gd name="T35" fmla="*/ 2999 h 444"/>
                              <a:gd name="T36" fmla="+- 0 5690 5359"/>
                              <a:gd name="T37" fmla="*/ T36 w 612"/>
                              <a:gd name="T38" fmla="+- 0 3006 2985"/>
                              <a:gd name="T39" fmla="*/ 3006 h 444"/>
                              <a:gd name="T40" fmla="+- 0 5743 5359"/>
                              <a:gd name="T41" fmla="*/ T40 w 612"/>
                              <a:gd name="T42" fmla="+- 0 3087 2985"/>
                              <a:gd name="T43" fmla="*/ 3087 h 444"/>
                              <a:gd name="T44" fmla="+- 0 5734 5359"/>
                              <a:gd name="T45" fmla="*/ T44 w 612"/>
                              <a:gd name="T46" fmla="+- 0 3081 2985"/>
                              <a:gd name="T47" fmla="*/ 3081 h 444"/>
                              <a:gd name="T48" fmla="+- 0 5690 5359"/>
                              <a:gd name="T49" fmla="*/ T48 w 612"/>
                              <a:gd name="T50" fmla="+- 0 3079 2985"/>
                              <a:gd name="T51" fmla="*/ 3079 h 444"/>
                              <a:gd name="T52" fmla="+- 0 5676 5359"/>
                              <a:gd name="T53" fmla="*/ T52 w 612"/>
                              <a:gd name="T54" fmla="+- 0 3038 2985"/>
                              <a:gd name="T55" fmla="*/ 3038 h 444"/>
                              <a:gd name="T56" fmla="+- 0 5675 5359"/>
                              <a:gd name="T57" fmla="*/ T56 w 612"/>
                              <a:gd name="T58" fmla="+- 0 3087 2985"/>
                              <a:gd name="T59" fmla="*/ 3087 h 444"/>
                              <a:gd name="T60" fmla="+- 0 5683 5359"/>
                              <a:gd name="T61" fmla="*/ T60 w 612"/>
                              <a:gd name="T62" fmla="+- 0 3093 2985"/>
                              <a:gd name="T63" fmla="*/ 3093 h 444"/>
                              <a:gd name="T64" fmla="+- 0 5728 5359"/>
                              <a:gd name="T65" fmla="*/ T64 w 612"/>
                              <a:gd name="T66" fmla="+- 0 3112 2985"/>
                              <a:gd name="T67" fmla="*/ 3112 h 444"/>
                              <a:gd name="T68" fmla="+- 0 5743 5359"/>
                              <a:gd name="T69" fmla="*/ T68 w 612"/>
                              <a:gd name="T70" fmla="+- 0 3087 2985"/>
                              <a:gd name="T71" fmla="*/ 3087 h 444"/>
                              <a:gd name="T72" fmla="+- 0 5743 5359"/>
                              <a:gd name="T73" fmla="*/ T72 w 612"/>
                              <a:gd name="T74" fmla="+- 0 3193 2985"/>
                              <a:gd name="T75" fmla="*/ 3193 h 444"/>
                              <a:gd name="T76" fmla="+- 0 5728 5359"/>
                              <a:gd name="T77" fmla="*/ T76 w 612"/>
                              <a:gd name="T78" fmla="+- 0 3144 2985"/>
                              <a:gd name="T79" fmla="*/ 3144 h 444"/>
                              <a:gd name="T80" fmla="+- 0 5727 5359"/>
                              <a:gd name="T81" fmla="*/ T80 w 612"/>
                              <a:gd name="T82" fmla="+- 0 3200 2985"/>
                              <a:gd name="T83" fmla="*/ 3200 h 444"/>
                              <a:gd name="T84" fmla="+- 0 5736 5359"/>
                              <a:gd name="T85" fmla="*/ T84 w 612"/>
                              <a:gd name="T86" fmla="+- 0 3207 2985"/>
                              <a:gd name="T87" fmla="*/ 3207 h 444"/>
                              <a:gd name="T88" fmla="+- 0 5804 5359"/>
                              <a:gd name="T89" fmla="*/ T88 w 612"/>
                              <a:gd name="T90" fmla="+- 0 3193 2985"/>
                              <a:gd name="T91" fmla="*/ 3193 h 444"/>
                              <a:gd name="T92" fmla="+- 0 5877 5359"/>
                              <a:gd name="T93" fmla="*/ T92 w 612"/>
                              <a:gd name="T94" fmla="+- 0 3200 2985"/>
                              <a:gd name="T95" fmla="*/ 3200 h 444"/>
                              <a:gd name="T96" fmla="+- 0 5871 5359"/>
                              <a:gd name="T97" fmla="*/ T96 w 612"/>
                              <a:gd name="T98" fmla="+- 0 3194 2985"/>
                              <a:gd name="T99" fmla="*/ 3194 h 444"/>
                              <a:gd name="T100" fmla="+- 0 5836 5359"/>
                              <a:gd name="T101" fmla="*/ T100 w 612"/>
                              <a:gd name="T102" fmla="+- 0 3193 2985"/>
                              <a:gd name="T103" fmla="*/ 3193 h 444"/>
                              <a:gd name="T104" fmla="+- 0 5864 5359"/>
                              <a:gd name="T105" fmla="*/ T104 w 612"/>
                              <a:gd name="T106" fmla="+- 0 3207 2985"/>
                              <a:gd name="T107" fmla="*/ 3207 h 444"/>
                              <a:gd name="T108" fmla="+- 0 5878 5359"/>
                              <a:gd name="T109" fmla="*/ T108 w 612"/>
                              <a:gd name="T110" fmla="+- 0 3292 2985"/>
                              <a:gd name="T111" fmla="*/ 3292 h 444"/>
                              <a:gd name="T112" fmla="+- 0 5971 5359"/>
                              <a:gd name="T113" fmla="*/ T112 w 612"/>
                              <a:gd name="T114" fmla="+- 0 3389 2985"/>
                              <a:gd name="T115" fmla="*/ 3389 h 444"/>
                              <a:gd name="T116" fmla="+- 0 5957 5359"/>
                              <a:gd name="T117" fmla="*/ T116 w 612"/>
                              <a:gd name="T118" fmla="+- 0 3428 2985"/>
                              <a:gd name="T119" fmla="*/ 3428 h 444"/>
                              <a:gd name="T120" fmla="+- 0 5971 5359"/>
                              <a:gd name="T121" fmla="*/ T120 w 612"/>
                              <a:gd name="T122" fmla="+- 0 3389 2985"/>
                              <a:gd name="T123" fmla="*/ 3389 h 444"/>
                              <a:gd name="T124" fmla="+- 0 5970 5359"/>
                              <a:gd name="T125" fmla="*/ T124 w 612"/>
                              <a:gd name="T126" fmla="+- 0 3314 2985"/>
                              <a:gd name="T127" fmla="*/ 3314 h 444"/>
                              <a:gd name="T128" fmla="+- 0 5964 5359"/>
                              <a:gd name="T129" fmla="*/ T128 w 612"/>
                              <a:gd name="T130" fmla="+- 0 3308 2985"/>
                              <a:gd name="T131" fmla="*/ 3308 h 444"/>
                              <a:gd name="T132" fmla="+- 0 5880 5359"/>
                              <a:gd name="T133" fmla="*/ T132 w 612"/>
                              <a:gd name="T134" fmla="+- 0 3306 2985"/>
                              <a:gd name="T135" fmla="*/ 3306 h 444"/>
                              <a:gd name="T136" fmla="+- 0 5957 5359"/>
                              <a:gd name="T137" fmla="*/ T136 w 612"/>
                              <a:gd name="T138" fmla="+- 0 3320 2985"/>
                              <a:gd name="T139" fmla="*/ 3320 h 444"/>
                              <a:gd name="T140" fmla="+- 0 5971 5359"/>
                              <a:gd name="T141" fmla="*/ T140 w 612"/>
                              <a:gd name="T142" fmla="+- 0 3357 2985"/>
                              <a:gd name="T143" fmla="*/ 3357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12" h="444">
                                <a:moveTo>
                                  <a:pt x="21" y="0"/>
                                </a:moveTo>
                                <a:lnTo>
                                  <a:pt x="0" y="0"/>
                                </a:lnTo>
                                <a:lnTo>
                                  <a:pt x="0" y="14"/>
                                </a:lnTo>
                                <a:lnTo>
                                  <a:pt x="21" y="14"/>
                                </a:lnTo>
                                <a:lnTo>
                                  <a:pt x="21" y="0"/>
                                </a:lnTo>
                                <a:close/>
                                <a:moveTo>
                                  <a:pt x="179" y="0"/>
                                </a:moveTo>
                                <a:lnTo>
                                  <a:pt x="53" y="0"/>
                                </a:lnTo>
                                <a:lnTo>
                                  <a:pt x="53" y="14"/>
                                </a:lnTo>
                                <a:lnTo>
                                  <a:pt x="179" y="14"/>
                                </a:lnTo>
                                <a:lnTo>
                                  <a:pt x="179" y="0"/>
                                </a:lnTo>
                                <a:close/>
                                <a:moveTo>
                                  <a:pt x="331" y="7"/>
                                </a:moveTo>
                                <a:lnTo>
                                  <a:pt x="330" y="7"/>
                                </a:lnTo>
                                <a:lnTo>
                                  <a:pt x="323" y="1"/>
                                </a:lnTo>
                                <a:lnTo>
                                  <a:pt x="323" y="0"/>
                                </a:lnTo>
                                <a:lnTo>
                                  <a:pt x="211" y="0"/>
                                </a:lnTo>
                                <a:lnTo>
                                  <a:pt x="211" y="14"/>
                                </a:lnTo>
                                <a:lnTo>
                                  <a:pt x="317" y="14"/>
                                </a:lnTo>
                                <a:lnTo>
                                  <a:pt x="317" y="21"/>
                                </a:lnTo>
                                <a:lnTo>
                                  <a:pt x="331" y="21"/>
                                </a:lnTo>
                                <a:lnTo>
                                  <a:pt x="331" y="7"/>
                                </a:lnTo>
                                <a:close/>
                                <a:moveTo>
                                  <a:pt x="384" y="102"/>
                                </a:moveTo>
                                <a:lnTo>
                                  <a:pt x="382" y="102"/>
                                </a:lnTo>
                                <a:lnTo>
                                  <a:pt x="375" y="96"/>
                                </a:lnTo>
                                <a:lnTo>
                                  <a:pt x="375" y="94"/>
                                </a:lnTo>
                                <a:lnTo>
                                  <a:pt x="331" y="94"/>
                                </a:lnTo>
                                <a:lnTo>
                                  <a:pt x="331" y="53"/>
                                </a:lnTo>
                                <a:lnTo>
                                  <a:pt x="317" y="53"/>
                                </a:lnTo>
                                <a:lnTo>
                                  <a:pt x="317" y="100"/>
                                </a:lnTo>
                                <a:lnTo>
                                  <a:pt x="316" y="102"/>
                                </a:lnTo>
                                <a:lnTo>
                                  <a:pt x="323" y="110"/>
                                </a:lnTo>
                                <a:lnTo>
                                  <a:pt x="324" y="108"/>
                                </a:lnTo>
                                <a:lnTo>
                                  <a:pt x="369" y="108"/>
                                </a:lnTo>
                                <a:lnTo>
                                  <a:pt x="369" y="127"/>
                                </a:lnTo>
                                <a:lnTo>
                                  <a:pt x="384" y="127"/>
                                </a:lnTo>
                                <a:lnTo>
                                  <a:pt x="384" y="102"/>
                                </a:lnTo>
                                <a:close/>
                                <a:moveTo>
                                  <a:pt x="445" y="208"/>
                                </a:moveTo>
                                <a:lnTo>
                                  <a:pt x="384" y="208"/>
                                </a:lnTo>
                                <a:lnTo>
                                  <a:pt x="384" y="159"/>
                                </a:lnTo>
                                <a:lnTo>
                                  <a:pt x="369" y="159"/>
                                </a:lnTo>
                                <a:lnTo>
                                  <a:pt x="369" y="214"/>
                                </a:lnTo>
                                <a:lnTo>
                                  <a:pt x="368" y="215"/>
                                </a:lnTo>
                                <a:lnTo>
                                  <a:pt x="375" y="224"/>
                                </a:lnTo>
                                <a:lnTo>
                                  <a:pt x="377" y="222"/>
                                </a:lnTo>
                                <a:lnTo>
                                  <a:pt x="445" y="222"/>
                                </a:lnTo>
                                <a:lnTo>
                                  <a:pt x="445" y="208"/>
                                </a:lnTo>
                                <a:close/>
                                <a:moveTo>
                                  <a:pt x="519" y="215"/>
                                </a:moveTo>
                                <a:lnTo>
                                  <a:pt x="518" y="215"/>
                                </a:lnTo>
                                <a:lnTo>
                                  <a:pt x="512" y="209"/>
                                </a:lnTo>
                                <a:lnTo>
                                  <a:pt x="512" y="208"/>
                                </a:lnTo>
                                <a:lnTo>
                                  <a:pt x="477" y="208"/>
                                </a:lnTo>
                                <a:lnTo>
                                  <a:pt x="477" y="222"/>
                                </a:lnTo>
                                <a:lnTo>
                                  <a:pt x="505" y="222"/>
                                </a:lnTo>
                                <a:lnTo>
                                  <a:pt x="505" y="307"/>
                                </a:lnTo>
                                <a:lnTo>
                                  <a:pt x="519" y="307"/>
                                </a:lnTo>
                                <a:lnTo>
                                  <a:pt x="519" y="215"/>
                                </a:lnTo>
                                <a:close/>
                                <a:moveTo>
                                  <a:pt x="612" y="404"/>
                                </a:moveTo>
                                <a:lnTo>
                                  <a:pt x="598" y="404"/>
                                </a:lnTo>
                                <a:lnTo>
                                  <a:pt x="598" y="443"/>
                                </a:lnTo>
                                <a:lnTo>
                                  <a:pt x="612" y="443"/>
                                </a:lnTo>
                                <a:lnTo>
                                  <a:pt x="612" y="404"/>
                                </a:lnTo>
                                <a:close/>
                                <a:moveTo>
                                  <a:pt x="612" y="329"/>
                                </a:moveTo>
                                <a:lnTo>
                                  <a:pt x="611" y="329"/>
                                </a:lnTo>
                                <a:lnTo>
                                  <a:pt x="605" y="323"/>
                                </a:lnTo>
                                <a:lnTo>
                                  <a:pt x="605" y="321"/>
                                </a:lnTo>
                                <a:lnTo>
                                  <a:pt x="521" y="321"/>
                                </a:lnTo>
                                <a:lnTo>
                                  <a:pt x="521" y="335"/>
                                </a:lnTo>
                                <a:lnTo>
                                  <a:pt x="598" y="335"/>
                                </a:lnTo>
                                <a:lnTo>
                                  <a:pt x="598" y="372"/>
                                </a:lnTo>
                                <a:lnTo>
                                  <a:pt x="612" y="372"/>
                                </a:lnTo>
                                <a:lnTo>
                                  <a:pt x="612" y="329"/>
                                </a:lnTo>
                                <a:close/>
                              </a:path>
                            </a:pathLst>
                          </a:custGeom>
                          <a:solidFill>
                            <a:srgbClr val="6D6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238"/>
                        <wps:cNvCnPr>
                          <a:cxnSpLocks noChangeShapeType="1"/>
                        </wps:cNvCnPr>
                        <wps:spPr bwMode="auto">
                          <a:xfrm>
                            <a:off x="5964" y="3427"/>
                            <a:ext cx="2136" cy="0"/>
                          </a:xfrm>
                          <a:prstGeom prst="line">
                            <a:avLst/>
                          </a:prstGeom>
                          <a:noFill/>
                          <a:ln w="8969">
                            <a:solidFill>
                              <a:srgbClr val="6D6D63"/>
                            </a:solidFill>
                            <a:prstDash val="sysDash"/>
                            <a:round/>
                            <a:headEnd/>
                            <a:tailEnd/>
                          </a:ln>
                          <a:extLst>
                            <a:ext uri="{909E8E84-426E-40DD-AFC4-6F175D3DCCD1}">
                              <a14:hiddenFill xmlns:a14="http://schemas.microsoft.com/office/drawing/2010/main">
                                <a:noFill/>
                              </a14:hiddenFill>
                            </a:ext>
                          </a:extLst>
                        </wps:spPr>
                        <wps:bodyPr/>
                      </wps:wsp>
                      <wps:wsp>
                        <wps:cNvPr id="52" name="AutoShape 237"/>
                        <wps:cNvSpPr>
                          <a:spLocks/>
                        </wps:cNvSpPr>
                        <wps:spPr bwMode="auto">
                          <a:xfrm>
                            <a:off x="5955" y="3421"/>
                            <a:ext cx="2152" cy="234"/>
                          </a:xfrm>
                          <a:custGeom>
                            <a:avLst/>
                            <a:gdLst>
                              <a:gd name="T0" fmla="+- 0 5970 5956"/>
                              <a:gd name="T1" fmla="*/ T0 w 2152"/>
                              <a:gd name="T2" fmla="+- 0 3428 3421"/>
                              <a:gd name="T3" fmla="*/ 3428 h 234"/>
                              <a:gd name="T4" fmla="+- 0 5964 5956"/>
                              <a:gd name="T5" fmla="*/ T4 w 2152"/>
                              <a:gd name="T6" fmla="+- 0 3421 3421"/>
                              <a:gd name="T7" fmla="*/ 3421 h 234"/>
                              <a:gd name="T8" fmla="+- 0 5956 5956"/>
                              <a:gd name="T9" fmla="*/ T8 w 2152"/>
                              <a:gd name="T10" fmla="+- 0 3428 3421"/>
                              <a:gd name="T11" fmla="*/ 3428 h 234"/>
                              <a:gd name="T12" fmla="+- 0 5964 5956"/>
                              <a:gd name="T13" fmla="*/ T12 w 2152"/>
                              <a:gd name="T14" fmla="+- 0 3435 3421"/>
                              <a:gd name="T15" fmla="*/ 3435 h 234"/>
                              <a:gd name="T16" fmla="+- 0 5970 5956"/>
                              <a:gd name="T17" fmla="*/ T16 w 2152"/>
                              <a:gd name="T18" fmla="+- 0 3428 3421"/>
                              <a:gd name="T19" fmla="*/ 3428 h 234"/>
                              <a:gd name="T20" fmla="+- 0 8108 5956"/>
                              <a:gd name="T21" fmla="*/ T20 w 2152"/>
                              <a:gd name="T22" fmla="+- 0 3624 3421"/>
                              <a:gd name="T23" fmla="*/ 3624 h 234"/>
                              <a:gd name="T24" fmla="+- 0 8093 5956"/>
                              <a:gd name="T25" fmla="*/ T24 w 2152"/>
                              <a:gd name="T26" fmla="+- 0 3624 3421"/>
                              <a:gd name="T27" fmla="*/ 3624 h 234"/>
                              <a:gd name="T28" fmla="+- 0 8093 5956"/>
                              <a:gd name="T29" fmla="*/ T28 w 2152"/>
                              <a:gd name="T30" fmla="+- 0 3655 3421"/>
                              <a:gd name="T31" fmla="*/ 3655 h 234"/>
                              <a:gd name="T32" fmla="+- 0 8108 5956"/>
                              <a:gd name="T33" fmla="*/ T32 w 2152"/>
                              <a:gd name="T34" fmla="+- 0 3655 3421"/>
                              <a:gd name="T35" fmla="*/ 3655 h 234"/>
                              <a:gd name="T36" fmla="+- 0 8108 5956"/>
                              <a:gd name="T37" fmla="*/ T36 w 2152"/>
                              <a:gd name="T38" fmla="+- 0 3624 3421"/>
                              <a:gd name="T39" fmla="*/ 3624 h 234"/>
                              <a:gd name="T40" fmla="+- 0 8108 5956"/>
                              <a:gd name="T41" fmla="*/ T40 w 2152"/>
                              <a:gd name="T42" fmla="+- 0 3466 3421"/>
                              <a:gd name="T43" fmla="*/ 3466 h 234"/>
                              <a:gd name="T44" fmla="+- 0 8093 5956"/>
                              <a:gd name="T45" fmla="*/ T44 w 2152"/>
                              <a:gd name="T46" fmla="+- 0 3466 3421"/>
                              <a:gd name="T47" fmla="*/ 3466 h 234"/>
                              <a:gd name="T48" fmla="+- 0 8093 5956"/>
                              <a:gd name="T49" fmla="*/ T48 w 2152"/>
                              <a:gd name="T50" fmla="+- 0 3592 3421"/>
                              <a:gd name="T51" fmla="*/ 3592 h 234"/>
                              <a:gd name="T52" fmla="+- 0 8108 5956"/>
                              <a:gd name="T53" fmla="*/ T52 w 2152"/>
                              <a:gd name="T54" fmla="+- 0 3592 3421"/>
                              <a:gd name="T55" fmla="*/ 3592 h 234"/>
                              <a:gd name="T56" fmla="+- 0 8108 5956"/>
                              <a:gd name="T57" fmla="*/ T56 w 2152"/>
                              <a:gd name="T58" fmla="+- 0 3466 3421"/>
                              <a:gd name="T59" fmla="*/ 3466 h 234"/>
                              <a:gd name="T60" fmla="+- 0 8108 5956"/>
                              <a:gd name="T61" fmla="*/ T60 w 2152"/>
                              <a:gd name="T62" fmla="+- 0 3428 3421"/>
                              <a:gd name="T63" fmla="*/ 3428 h 234"/>
                              <a:gd name="T64" fmla="+- 0 8106 5956"/>
                              <a:gd name="T65" fmla="*/ T64 w 2152"/>
                              <a:gd name="T66" fmla="+- 0 3428 3421"/>
                              <a:gd name="T67" fmla="*/ 3428 h 234"/>
                              <a:gd name="T68" fmla="+- 0 8106 5956"/>
                              <a:gd name="T69" fmla="*/ T68 w 2152"/>
                              <a:gd name="T70" fmla="+- 0 3428 3421"/>
                              <a:gd name="T71" fmla="*/ 3428 h 234"/>
                              <a:gd name="T72" fmla="+- 0 8100 5956"/>
                              <a:gd name="T73" fmla="*/ T72 w 2152"/>
                              <a:gd name="T74" fmla="+- 0 3421 3421"/>
                              <a:gd name="T75" fmla="*/ 3421 h 234"/>
                              <a:gd name="T76" fmla="+- 0 8092 5956"/>
                              <a:gd name="T77" fmla="*/ T76 w 2152"/>
                              <a:gd name="T78" fmla="+- 0 3428 3421"/>
                              <a:gd name="T79" fmla="*/ 3428 h 234"/>
                              <a:gd name="T80" fmla="+- 0 8093 5956"/>
                              <a:gd name="T81" fmla="*/ T80 w 2152"/>
                              <a:gd name="T82" fmla="+- 0 3429 3421"/>
                              <a:gd name="T83" fmla="*/ 3429 h 234"/>
                              <a:gd name="T84" fmla="+- 0 8093 5956"/>
                              <a:gd name="T85" fmla="*/ T84 w 2152"/>
                              <a:gd name="T86" fmla="+- 0 3434 3421"/>
                              <a:gd name="T87" fmla="*/ 3434 h 234"/>
                              <a:gd name="T88" fmla="+- 0 8099 5956"/>
                              <a:gd name="T89" fmla="*/ T88 w 2152"/>
                              <a:gd name="T90" fmla="+- 0 3434 3421"/>
                              <a:gd name="T91" fmla="*/ 3434 h 234"/>
                              <a:gd name="T92" fmla="+- 0 8100 5956"/>
                              <a:gd name="T93" fmla="*/ T92 w 2152"/>
                              <a:gd name="T94" fmla="+- 0 3435 3421"/>
                              <a:gd name="T95" fmla="*/ 3435 h 234"/>
                              <a:gd name="T96" fmla="+- 0 8101 5956"/>
                              <a:gd name="T97" fmla="*/ T96 w 2152"/>
                              <a:gd name="T98" fmla="+- 0 3434 3421"/>
                              <a:gd name="T99" fmla="*/ 3434 h 234"/>
                              <a:gd name="T100" fmla="+- 0 8108 5956"/>
                              <a:gd name="T101" fmla="*/ T100 w 2152"/>
                              <a:gd name="T102" fmla="+- 0 3434 3421"/>
                              <a:gd name="T103" fmla="*/ 3434 h 234"/>
                              <a:gd name="T104" fmla="+- 0 8108 5956"/>
                              <a:gd name="T105" fmla="*/ T104 w 2152"/>
                              <a:gd name="T106" fmla="+- 0 3428 3421"/>
                              <a:gd name="T107" fmla="*/ 3428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152" h="234">
                                <a:moveTo>
                                  <a:pt x="14" y="7"/>
                                </a:moveTo>
                                <a:lnTo>
                                  <a:pt x="8" y="0"/>
                                </a:lnTo>
                                <a:lnTo>
                                  <a:pt x="0" y="7"/>
                                </a:lnTo>
                                <a:lnTo>
                                  <a:pt x="8" y="14"/>
                                </a:lnTo>
                                <a:lnTo>
                                  <a:pt x="14" y="7"/>
                                </a:lnTo>
                                <a:close/>
                                <a:moveTo>
                                  <a:pt x="2152" y="203"/>
                                </a:moveTo>
                                <a:lnTo>
                                  <a:pt x="2137" y="203"/>
                                </a:lnTo>
                                <a:lnTo>
                                  <a:pt x="2137" y="234"/>
                                </a:lnTo>
                                <a:lnTo>
                                  <a:pt x="2152" y="234"/>
                                </a:lnTo>
                                <a:lnTo>
                                  <a:pt x="2152" y="203"/>
                                </a:lnTo>
                                <a:close/>
                                <a:moveTo>
                                  <a:pt x="2152" y="45"/>
                                </a:moveTo>
                                <a:lnTo>
                                  <a:pt x="2137" y="45"/>
                                </a:lnTo>
                                <a:lnTo>
                                  <a:pt x="2137" y="171"/>
                                </a:lnTo>
                                <a:lnTo>
                                  <a:pt x="2152" y="171"/>
                                </a:lnTo>
                                <a:lnTo>
                                  <a:pt x="2152" y="45"/>
                                </a:lnTo>
                                <a:close/>
                                <a:moveTo>
                                  <a:pt x="2152" y="7"/>
                                </a:moveTo>
                                <a:lnTo>
                                  <a:pt x="2150" y="7"/>
                                </a:lnTo>
                                <a:lnTo>
                                  <a:pt x="2144" y="0"/>
                                </a:lnTo>
                                <a:lnTo>
                                  <a:pt x="2136" y="7"/>
                                </a:lnTo>
                                <a:lnTo>
                                  <a:pt x="2137" y="8"/>
                                </a:lnTo>
                                <a:lnTo>
                                  <a:pt x="2137" y="13"/>
                                </a:lnTo>
                                <a:lnTo>
                                  <a:pt x="2143" y="13"/>
                                </a:lnTo>
                                <a:lnTo>
                                  <a:pt x="2144" y="14"/>
                                </a:lnTo>
                                <a:lnTo>
                                  <a:pt x="2145" y="13"/>
                                </a:lnTo>
                                <a:lnTo>
                                  <a:pt x="2152" y="13"/>
                                </a:lnTo>
                                <a:lnTo>
                                  <a:pt x="2152" y="7"/>
                                </a:lnTo>
                                <a:close/>
                              </a:path>
                            </a:pathLst>
                          </a:custGeom>
                          <a:solidFill>
                            <a:srgbClr val="6D6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36"/>
                        <wps:cNvSpPr>
                          <a:spLocks/>
                        </wps:cNvSpPr>
                        <wps:spPr bwMode="auto">
                          <a:xfrm>
                            <a:off x="5816" y="257"/>
                            <a:ext cx="481" cy="2"/>
                          </a:xfrm>
                          <a:custGeom>
                            <a:avLst/>
                            <a:gdLst>
                              <a:gd name="T0" fmla="+- 0 5817 5817"/>
                              <a:gd name="T1" fmla="*/ T0 w 481"/>
                              <a:gd name="T2" fmla="+- 0 6057 5817"/>
                              <a:gd name="T3" fmla="*/ T2 w 481"/>
                              <a:gd name="T4" fmla="+- 0 6298 5817"/>
                              <a:gd name="T5" fmla="*/ T4 w 481"/>
                            </a:gdLst>
                            <a:ahLst/>
                            <a:cxnLst>
                              <a:cxn ang="0">
                                <a:pos x="T1" y="0"/>
                              </a:cxn>
                              <a:cxn ang="0">
                                <a:pos x="T3" y="0"/>
                              </a:cxn>
                              <a:cxn ang="0">
                                <a:pos x="T5" y="0"/>
                              </a:cxn>
                            </a:cxnLst>
                            <a:rect l="0" t="0" r="r" b="b"/>
                            <a:pathLst>
                              <a:path w="481">
                                <a:moveTo>
                                  <a:pt x="0" y="0"/>
                                </a:moveTo>
                                <a:lnTo>
                                  <a:pt x="240" y="0"/>
                                </a:lnTo>
                                <a:lnTo>
                                  <a:pt x="481" y="0"/>
                                </a:lnTo>
                              </a:path>
                            </a:pathLst>
                          </a:custGeom>
                          <a:noFill/>
                          <a:ln w="8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235"/>
                        <wps:cNvSpPr>
                          <a:spLocks/>
                        </wps:cNvSpPr>
                        <wps:spPr bwMode="auto">
                          <a:xfrm>
                            <a:off x="5816" y="806"/>
                            <a:ext cx="481" cy="15"/>
                          </a:xfrm>
                          <a:custGeom>
                            <a:avLst/>
                            <a:gdLst>
                              <a:gd name="T0" fmla="+- 0 5943 5817"/>
                              <a:gd name="T1" fmla="*/ T0 w 481"/>
                              <a:gd name="T2" fmla="+- 0 807 807"/>
                              <a:gd name="T3" fmla="*/ 807 h 15"/>
                              <a:gd name="T4" fmla="+- 0 5817 5817"/>
                              <a:gd name="T5" fmla="*/ T4 w 481"/>
                              <a:gd name="T6" fmla="+- 0 807 807"/>
                              <a:gd name="T7" fmla="*/ 807 h 15"/>
                              <a:gd name="T8" fmla="+- 0 5817 5817"/>
                              <a:gd name="T9" fmla="*/ T8 w 481"/>
                              <a:gd name="T10" fmla="+- 0 821 807"/>
                              <a:gd name="T11" fmla="*/ 821 h 15"/>
                              <a:gd name="T12" fmla="+- 0 5943 5817"/>
                              <a:gd name="T13" fmla="*/ T12 w 481"/>
                              <a:gd name="T14" fmla="+- 0 821 807"/>
                              <a:gd name="T15" fmla="*/ 821 h 15"/>
                              <a:gd name="T16" fmla="+- 0 5943 5817"/>
                              <a:gd name="T17" fmla="*/ T16 w 481"/>
                              <a:gd name="T18" fmla="+- 0 807 807"/>
                              <a:gd name="T19" fmla="*/ 807 h 15"/>
                              <a:gd name="T20" fmla="+- 0 6057 5817"/>
                              <a:gd name="T21" fmla="*/ T20 w 481"/>
                              <a:gd name="T22" fmla="+- 0 807 807"/>
                              <a:gd name="T23" fmla="*/ 807 h 15"/>
                              <a:gd name="T24" fmla="+- 0 5975 5817"/>
                              <a:gd name="T25" fmla="*/ T24 w 481"/>
                              <a:gd name="T26" fmla="+- 0 807 807"/>
                              <a:gd name="T27" fmla="*/ 807 h 15"/>
                              <a:gd name="T28" fmla="+- 0 5975 5817"/>
                              <a:gd name="T29" fmla="*/ T28 w 481"/>
                              <a:gd name="T30" fmla="+- 0 821 807"/>
                              <a:gd name="T31" fmla="*/ 821 h 15"/>
                              <a:gd name="T32" fmla="+- 0 6057 5817"/>
                              <a:gd name="T33" fmla="*/ T32 w 481"/>
                              <a:gd name="T34" fmla="+- 0 821 807"/>
                              <a:gd name="T35" fmla="*/ 821 h 15"/>
                              <a:gd name="T36" fmla="+- 0 6057 5817"/>
                              <a:gd name="T37" fmla="*/ T36 w 481"/>
                              <a:gd name="T38" fmla="+- 0 807 807"/>
                              <a:gd name="T39" fmla="*/ 807 h 15"/>
                              <a:gd name="T40" fmla="+- 0 6102 5817"/>
                              <a:gd name="T41" fmla="*/ T40 w 481"/>
                              <a:gd name="T42" fmla="+- 0 807 807"/>
                              <a:gd name="T43" fmla="*/ 807 h 15"/>
                              <a:gd name="T44" fmla="+- 0 6057 5817"/>
                              <a:gd name="T45" fmla="*/ T44 w 481"/>
                              <a:gd name="T46" fmla="+- 0 807 807"/>
                              <a:gd name="T47" fmla="*/ 807 h 15"/>
                              <a:gd name="T48" fmla="+- 0 6057 5817"/>
                              <a:gd name="T49" fmla="*/ T48 w 481"/>
                              <a:gd name="T50" fmla="+- 0 821 807"/>
                              <a:gd name="T51" fmla="*/ 821 h 15"/>
                              <a:gd name="T52" fmla="+- 0 6102 5817"/>
                              <a:gd name="T53" fmla="*/ T52 w 481"/>
                              <a:gd name="T54" fmla="+- 0 821 807"/>
                              <a:gd name="T55" fmla="*/ 821 h 15"/>
                              <a:gd name="T56" fmla="+- 0 6102 5817"/>
                              <a:gd name="T57" fmla="*/ T56 w 481"/>
                              <a:gd name="T58" fmla="+- 0 807 807"/>
                              <a:gd name="T59" fmla="*/ 807 h 15"/>
                              <a:gd name="T60" fmla="+- 0 6260 5817"/>
                              <a:gd name="T61" fmla="*/ T60 w 481"/>
                              <a:gd name="T62" fmla="+- 0 807 807"/>
                              <a:gd name="T63" fmla="*/ 807 h 15"/>
                              <a:gd name="T64" fmla="+- 0 6133 5817"/>
                              <a:gd name="T65" fmla="*/ T64 w 481"/>
                              <a:gd name="T66" fmla="+- 0 807 807"/>
                              <a:gd name="T67" fmla="*/ 807 h 15"/>
                              <a:gd name="T68" fmla="+- 0 6133 5817"/>
                              <a:gd name="T69" fmla="*/ T68 w 481"/>
                              <a:gd name="T70" fmla="+- 0 821 807"/>
                              <a:gd name="T71" fmla="*/ 821 h 15"/>
                              <a:gd name="T72" fmla="+- 0 6260 5817"/>
                              <a:gd name="T73" fmla="*/ T72 w 481"/>
                              <a:gd name="T74" fmla="+- 0 821 807"/>
                              <a:gd name="T75" fmla="*/ 821 h 15"/>
                              <a:gd name="T76" fmla="+- 0 6260 5817"/>
                              <a:gd name="T77" fmla="*/ T76 w 481"/>
                              <a:gd name="T78" fmla="+- 0 807 807"/>
                              <a:gd name="T79" fmla="*/ 807 h 15"/>
                              <a:gd name="T80" fmla="+- 0 6298 5817"/>
                              <a:gd name="T81" fmla="*/ T80 w 481"/>
                              <a:gd name="T82" fmla="+- 0 807 807"/>
                              <a:gd name="T83" fmla="*/ 807 h 15"/>
                              <a:gd name="T84" fmla="+- 0 6291 5817"/>
                              <a:gd name="T85" fmla="*/ T84 w 481"/>
                              <a:gd name="T86" fmla="+- 0 807 807"/>
                              <a:gd name="T87" fmla="*/ 807 h 15"/>
                              <a:gd name="T88" fmla="+- 0 6291 5817"/>
                              <a:gd name="T89" fmla="*/ T88 w 481"/>
                              <a:gd name="T90" fmla="+- 0 821 807"/>
                              <a:gd name="T91" fmla="*/ 821 h 15"/>
                              <a:gd name="T92" fmla="+- 0 6298 5817"/>
                              <a:gd name="T93" fmla="*/ T92 w 481"/>
                              <a:gd name="T94" fmla="+- 0 821 807"/>
                              <a:gd name="T95" fmla="*/ 821 h 15"/>
                              <a:gd name="T96" fmla="+- 0 6298 5817"/>
                              <a:gd name="T97" fmla="*/ T96 w 481"/>
                              <a:gd name="T98" fmla="+- 0 807 807"/>
                              <a:gd name="T99" fmla="*/ 80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81" h="15">
                                <a:moveTo>
                                  <a:pt x="126" y="0"/>
                                </a:moveTo>
                                <a:lnTo>
                                  <a:pt x="0" y="0"/>
                                </a:lnTo>
                                <a:lnTo>
                                  <a:pt x="0" y="14"/>
                                </a:lnTo>
                                <a:lnTo>
                                  <a:pt x="126" y="14"/>
                                </a:lnTo>
                                <a:lnTo>
                                  <a:pt x="126" y="0"/>
                                </a:lnTo>
                                <a:close/>
                                <a:moveTo>
                                  <a:pt x="240" y="0"/>
                                </a:moveTo>
                                <a:lnTo>
                                  <a:pt x="158" y="0"/>
                                </a:lnTo>
                                <a:lnTo>
                                  <a:pt x="158" y="14"/>
                                </a:lnTo>
                                <a:lnTo>
                                  <a:pt x="240" y="14"/>
                                </a:lnTo>
                                <a:lnTo>
                                  <a:pt x="240" y="0"/>
                                </a:lnTo>
                                <a:close/>
                                <a:moveTo>
                                  <a:pt x="285" y="0"/>
                                </a:moveTo>
                                <a:lnTo>
                                  <a:pt x="240" y="0"/>
                                </a:lnTo>
                                <a:lnTo>
                                  <a:pt x="240" y="14"/>
                                </a:lnTo>
                                <a:lnTo>
                                  <a:pt x="285" y="14"/>
                                </a:lnTo>
                                <a:lnTo>
                                  <a:pt x="285" y="0"/>
                                </a:lnTo>
                                <a:close/>
                                <a:moveTo>
                                  <a:pt x="443" y="0"/>
                                </a:moveTo>
                                <a:lnTo>
                                  <a:pt x="316" y="0"/>
                                </a:lnTo>
                                <a:lnTo>
                                  <a:pt x="316" y="14"/>
                                </a:lnTo>
                                <a:lnTo>
                                  <a:pt x="443" y="14"/>
                                </a:lnTo>
                                <a:lnTo>
                                  <a:pt x="443" y="0"/>
                                </a:lnTo>
                                <a:close/>
                                <a:moveTo>
                                  <a:pt x="481" y="0"/>
                                </a:moveTo>
                                <a:lnTo>
                                  <a:pt x="474" y="0"/>
                                </a:lnTo>
                                <a:lnTo>
                                  <a:pt x="474" y="14"/>
                                </a:lnTo>
                                <a:lnTo>
                                  <a:pt x="481" y="14"/>
                                </a:lnTo>
                                <a:lnTo>
                                  <a:pt x="481" y="0"/>
                                </a:lnTo>
                                <a:close/>
                              </a:path>
                            </a:pathLst>
                          </a:custGeom>
                          <a:solidFill>
                            <a:srgbClr val="6D6D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234"/>
                        <wps:cNvSpPr txBox="1">
                          <a:spLocks noChangeArrowheads="1"/>
                        </wps:cNvSpPr>
                        <wps:spPr bwMode="auto">
                          <a:xfrm>
                            <a:off x="6507" y="145"/>
                            <a:ext cx="1657"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A0A" w:rsidRDefault="00092A0A">
                              <w:pPr>
                                <w:spacing w:line="185" w:lineRule="exact"/>
                                <w:rPr>
                                  <w:rFonts w:ascii="Arial"/>
                                  <w:sz w:val="18"/>
                                </w:rPr>
                              </w:pPr>
                              <w:r>
                                <w:rPr>
                                  <w:rFonts w:ascii="Arial"/>
                                  <w:sz w:val="18"/>
                                </w:rPr>
                                <w:t>Sunitinib (N=86)</w:t>
                              </w:r>
                            </w:p>
                            <w:p w:rsidR="00092A0A" w:rsidRDefault="00092A0A">
                              <w:pPr>
                                <w:spacing w:line="191" w:lineRule="exact"/>
                                <w:ind w:left="4"/>
                                <w:rPr>
                                  <w:rFonts w:ascii="Arial"/>
                                  <w:sz w:val="18"/>
                                </w:rPr>
                              </w:pPr>
                              <w:r>
                                <w:rPr>
                                  <w:rFonts w:ascii="Arial"/>
                                  <w:sz w:val="18"/>
                                </w:rPr>
                                <w:t>Median 11.4 months</w:t>
                              </w:r>
                            </w:p>
                            <w:p w:rsidR="00092A0A" w:rsidRDefault="00092A0A">
                              <w:pPr>
                                <w:spacing w:before="6"/>
                                <w:rPr>
                                  <w:rFonts w:ascii="Arial"/>
                                  <w:sz w:val="17"/>
                                </w:rPr>
                              </w:pPr>
                            </w:p>
                            <w:p w:rsidR="00092A0A" w:rsidRDefault="00092A0A">
                              <w:pPr>
                                <w:spacing w:line="201" w:lineRule="auto"/>
                                <w:ind w:left="4" w:right="102" w:hanging="5"/>
                                <w:rPr>
                                  <w:rFonts w:ascii="Arial"/>
                                  <w:sz w:val="18"/>
                                </w:rPr>
                              </w:pPr>
                              <w:r>
                                <w:rPr>
                                  <w:rFonts w:ascii="Arial"/>
                                  <w:sz w:val="18"/>
                                </w:rPr>
                                <w:t>Placebo (N=85) Median 5.5 months</w:t>
                              </w:r>
                            </w:p>
                          </w:txbxContent>
                        </wps:txbx>
                        <wps:bodyPr rot="0" vert="horz" wrap="square" lIns="0" tIns="0" rIns="0" bIns="0" anchor="t" anchorCtr="0" upright="1">
                          <a:noAutofit/>
                        </wps:bodyPr>
                      </wps:wsp>
                      <wps:wsp>
                        <wps:cNvPr id="56" name="Text Box 233"/>
                        <wps:cNvSpPr txBox="1">
                          <a:spLocks noChangeArrowheads="1"/>
                        </wps:cNvSpPr>
                        <wps:spPr bwMode="auto">
                          <a:xfrm>
                            <a:off x="3100" y="3107"/>
                            <a:ext cx="1643"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A0A" w:rsidRDefault="00092A0A">
                              <w:pPr>
                                <w:spacing w:before="21" w:line="201" w:lineRule="auto"/>
                                <w:ind w:right="2"/>
                                <w:rPr>
                                  <w:rFonts w:ascii="Arial"/>
                                  <w:sz w:val="18"/>
                                </w:rPr>
                              </w:pPr>
                              <w:r>
                                <w:rPr>
                                  <w:rFonts w:ascii="Arial"/>
                                  <w:sz w:val="18"/>
                                </w:rPr>
                                <w:t>Hazard Ratio = 0.42 95% CI (0.26 - 0.66)</w:t>
                              </w:r>
                            </w:p>
                            <w:p w:rsidR="00092A0A" w:rsidRDefault="00092A0A">
                              <w:pPr>
                                <w:spacing w:line="182" w:lineRule="exact"/>
                                <w:rPr>
                                  <w:rFonts w:ascii="Arial"/>
                                  <w:sz w:val="18"/>
                                </w:rPr>
                              </w:pPr>
                              <w:r>
                                <w:rPr>
                                  <w:rFonts w:ascii="Arial"/>
                                  <w:sz w:val="18"/>
                                </w:rPr>
                                <w:t>p = 0.0001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DE473" id="Group 232" o:spid="_x0000_s1026" style="position:absolute;left:0;text-align:left;margin-left:146.95pt;margin-top:1.55pt;width:289pt;height:191.95pt;z-index:15729664;mso-position-horizontal-relative:page" coordorigin="2789,31" coordsize="5780,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">
                <v:rect id="Rectangle 284" o:spid="_x0000_s1027" style="position:absolute;left:2864;top:3785;width:569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283" o:spid="_x0000_s1028" style="position:absolute;visibility:visible;mso-wrap-style:square" from="8567,3800" to="8567,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" strokeweight=".02642mm"/>
                <v:line id="Line 282" o:spid="_x0000_s1029" style="position:absolute;visibility:visible;mso-wrap-style:square" from="2865,3870" to="2865,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" strokeweight=".07869mm"/>
                <v:line id="Line 281" o:spid="_x0000_s1030" style="position:absolute;visibility:visible;mso-wrap-style:square" from="2874,3800" to="2874,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" strokeweight=".02642mm"/>
                <v:line id="Line 280" o:spid="_x0000_s1031" style="position:absolute;visibility:visible;mso-wrap-style:square" from="3641,3870" to="364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" strokeweight=".07869mm"/>
                <v:line id="Line 279" o:spid="_x0000_s1032" style="position:absolute;visibility:visible;mso-wrap-style:square" from="3650,3800" to="3650,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" strokeweight=".02642mm"/>
                <v:line id="Line 278" o:spid="_x0000_s1033" style="position:absolute;visibility:visible;mso-wrap-style:square" from="4417,3870" to="4417,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" strokeweight=".07869mm"/>
                <v:line id="Line 277" o:spid="_x0000_s1034" style="position:absolute;visibility:visible;mso-wrap-style:square" from="4425,3802" to="4428,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" strokeweight=".07375mm"/>
                <v:line id="Line 276" o:spid="_x0000_s1035" style="position:absolute;visibility:visible;mso-wrap-style:square" from="5194,3870" to="519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" strokeweight=".07869mm"/>
                <v:line id="Line 275" o:spid="_x0000_s1036" style="position:absolute;visibility:visible;mso-wrap-style:square" from="5202,3802" to="5204,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" strokeweight=".07375mm"/>
                <v:line id="Line 274" o:spid="_x0000_s1037" style="position:absolute;visibility:visible;mso-wrap-style:square" from="5970,3870" to="5970,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" strokeweight=".07869mm"/>
                <v:line id="Line 273" o:spid="_x0000_s1038" style="position:absolute;visibility:visible;mso-wrap-style:square" from="5979,3800" to="5979,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" strokeweight=".02642mm"/>
                <v:line id="Line 272" o:spid="_x0000_s1039" style="position:absolute;visibility:visible;mso-wrap-style:square" from="6746,3870" to="6746,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" strokeweight=".07869mm"/>
                <v:line id="Line 271" o:spid="_x0000_s1040" style="position:absolute;visibility:visible;mso-wrap-style:square" from="6755,3800" to="6755,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" strokeweight=".02642mm"/>
                <v:line id="Line 270" o:spid="_x0000_s1041" style="position:absolute;visibility:visible;mso-wrap-style:square" from="7523,3870" to="7523,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" strokeweight=".07869mm"/>
                <v:line id="Line 269" o:spid="_x0000_s1042" style="position:absolute;visibility:visible;mso-wrap-style:square" from="7532,3800" to="7532,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" strokeweight=".02642mm"/>
                <v:line id="Line 268" o:spid="_x0000_s1043" style="position:absolute;visibility:visible;mso-wrap-style:square" from="8299,3870" to="8299,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" strokeweight=".07869mm"/>
                <v:line id="Line 267" o:spid="_x0000_s1044" style="position:absolute;visibility:visible;mso-wrap-style:square" from="8308,3800" to="8308,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" strokeweight=".02642mm"/>
                <v:rect id="Rectangle 266" o:spid="_x0000_s1045" style="position:absolute;left:2858;top:31;width:13;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65" o:spid="_x0000_s1046" style="position:absolute;visibility:visible;mso-wrap-style:square" from="2874,37" to="28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" strokeweight=".02642mm"/>
                <v:line id="Line 264" o:spid="_x0000_s1047" style="position:absolute;visibility:visible;mso-wrap-style:square" from="2789,3655" to="2865,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" strokeweight=".07847mm"/>
                <v:line id="Line 263" o:spid="_x0000_s1048" style="position:absolute;visibility:visible;mso-wrap-style:square" from="2874,3661" to="2874,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" strokeweight=".02642mm"/>
                <v:line id="Line 262" o:spid="_x0000_s1049" style="position:absolute;visibility:visible;mso-wrap-style:square" from="2789,3306" to="2865,3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" strokeweight=".07847mm"/>
                <v:line id="Line 261" o:spid="_x0000_s1050" style="position:absolute;visibility:visible;mso-wrap-style:square" from="2874,3312" to="2874,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" strokeweight=".02642mm"/>
                <v:line id="Line 260" o:spid="_x0000_s1051" style="position:absolute;visibility:visible;mso-wrap-style:square" from="2789,2958" to="2865,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" strokeweight=".07847mm"/>
                <v:line id="Line 259" o:spid="_x0000_s1052" style="position:absolute;visibility:visible;mso-wrap-style:square" from="2874,2964" to="2874,2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" strokeweight=".02642mm"/>
                <v:line id="Line 258" o:spid="_x0000_s1053" style="position:absolute;visibility:visible;mso-wrap-style:square" from="2789,2609" to="2865,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" strokeweight=".07847mm"/>
                <v:line id="Line 257" o:spid="_x0000_s1054" style="position:absolute;visibility:visible;mso-wrap-style:square" from="2874,2615" to="2874,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" strokeweight=".02642mm"/>
                <v:line id="Line 256" o:spid="_x0000_s1055" style="position:absolute;visibility:visible;mso-wrap-style:square" from="2789,2260" to="2865,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" strokeweight=".07847mm"/>
                <v:line id="Line 255" o:spid="_x0000_s1056" style="position:absolute;visibility:visible;mso-wrap-style:square" from="2874,2266" to="28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" strokeweight=".02642mm"/>
                <v:line id="Line 254" o:spid="_x0000_s1057" style="position:absolute;visibility:visible;mso-wrap-style:square" from="2789,1911" to="2865,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" strokeweight=".07847mm"/>
                <v:line id="Line 253" o:spid="_x0000_s1058" style="position:absolute;visibility:visible;mso-wrap-style:square" from="2874,1918" to="2874,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" strokeweight=".02642mm"/>
                <v:line id="Line 252" o:spid="_x0000_s1059" style="position:absolute;visibility:visible;mso-wrap-style:square" from="2789,1565" to="2865,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" strokeweight=".07847mm"/>
                <v:line id="Line 251" o:spid="_x0000_s1060" style="position:absolute;visibility:visible;mso-wrap-style:square" from="2874,1571" to="2874,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" strokeweight=".02642mm"/>
                <v:line id="Line 250" o:spid="_x0000_s1061" style="position:absolute;visibility:visible;mso-wrap-style:square" from="2789,1216" to="2865,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" strokeweight=".07847mm"/>
                <v:line id="Line 249" o:spid="_x0000_s1062" style="position:absolute;visibility:visible;mso-wrap-style:square" from="2874,1222" to="2874,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" strokeweight=".02642mm"/>
                <v:line id="Line 248" o:spid="_x0000_s1063" style="position:absolute;visibility:visible;mso-wrap-style:square" from="2789,867" to="286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" strokeweight=".07847mm"/>
                <v:line id="Line 247" o:spid="_x0000_s1064" style="position:absolute;visibility:visible;mso-wrap-style:square" from="2874,873" to="287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" strokeweight=".02642mm"/>
                <v:line id="Line 246" o:spid="_x0000_s1065" style="position:absolute;visibility:visible;mso-wrap-style:square" from="2789,518" to="286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" strokeweight=".07847mm"/>
                <v:line id="Line 245" o:spid="_x0000_s1066" style="position:absolute;visibility:visible;mso-wrap-style:square" from="2874,524" to="287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" strokeweight=".02642mm"/>
                <v:line id="Line 244" o:spid="_x0000_s1067" style="position:absolute;visibility:visible;mso-wrap-style:square" from="2789,169" to="286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" strokeweight=".07847mm"/>
                <v:line id="Line 243" o:spid="_x0000_s1068" style="position:absolute;visibility:visible;mso-wrap-style:square" from="2874,176" to="287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" strokeweight=".02642mm"/>
                <v:shape id="Freeform 242" o:spid="_x0000_s1069" style="position:absolute;left:2864;top:169;width:5135;height:3486;visibility:visible;mso-wrap-style:square;v-text-anchor:top" coordsize="5135,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" path="m,l170,r,45l238,45r,44l246,89r,180l264,269r,46l272,315r,45l297,360r,46l314,406r,47l485,453r,106l545,559r,53l578,612r,55l971,667r,62l1039,729r,66l1089,795r,67l1413,862r,68l1464,930r,72l1557,1002r,73l1574,1075r,76l1864,1151r,76l1914,1227r,156l1942,1383r,86l2145,1469r,89l2869,1558r,101l2945,1659r,101l3524,1760r,216l5134,1976r,1510e" filled="f" strokeweight=".24936mm">
                  <v:path arrowok="t" o:connecttype="custom" o:connectlocs="0,169;170,169;170,214;238,214;238,258;246,258;246,438;264,438;264,484;272,484;272,529;297,529;297,575;314,575;314,622;485,622;485,728;545,728;545,781;578,781;578,836;971,836;971,898;1039,898;1039,964;1089,964;1089,1031;1413,1031;1413,1099;1464,1099;1464,1171;1557,1171;1557,1244;1574,1244;1574,1320;1864,1320;1864,1396;1914,1396;1914,1552;1942,1552;1942,1638;2145,1638;2145,1727;2869,1727;2869,1828;2945,1828;2945,1929;3524,1929;3524,2145;5134,2145;5134,3655" o:connectangles="0,0,0,0,0,0,0,0,0,0,0,0,0,0,0,0,0,0,0,0,0,0,0,0,0,0,0,0,0,0,0,0,0,0,0,0,0,0,0,0,0,0,0,0,0,0,0,0,0,0,0"/>
                </v:shape>
                <v:shape id="AutoShape 241" o:spid="_x0000_s1070" style="position:absolute;left:2864;top:162;width:911;height:1284;visibility:visible;mso-wrap-style:square;v-text-anchor:top" coordsize="911,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" path="m126,l,,,14r126,l126,xm221,7r-1,l213,1r,-1l158,r,14l207,14r,65l221,79r,-72xm254,235r-14,l240,361r14,l254,235xm254,148r-2,l246,142r,-2l237,140r,-39l235,101r-6,-7l229,93r-6,l223,100r-2,1l223,103r,4l223,147r-2,1l229,156r1,-2l240,154r,49l254,203r,-55xm290,467r-1,l289,428r-2,l281,421r,-1l279,420r,-40l278,380r-6,-6l272,372r-13,l259,386r6,l265,426r-1,2l272,435r1,-1l275,434r,39l273,475r8,8l282,481r8,l290,467xm357,571r-2,l349,564r,-1l340,563r,-41l338,522r-7,-7l331,514r,-40l330,474r-6,-5l324,467r-2,l322,470r-6,5l317,476r,45l316,522r8,8l325,528r,42l324,571r7,7l333,577r15,l349,578r4,-4l357,574r,-3xm433,619r-2,l425,613r,-1l357,612r,-7l343,605r,13l341,619r8,9l350,626r69,l419,656r14,l433,619xm475,718r-1,l468,711r,-2l442,709r,-31l428,678r,38l427,718r7,8l436,724r25,l461,771r14,l475,718xm501,820r-2,l493,813r,-1l475,812r,-10l461,802r,17l460,820r8,8l469,826r17,l486,904r15,l501,820xm577,970r-67,l510,926r-14,l496,977r-1,1l502,986r2,-2l577,984r,-14xm626,1079r-14,l612,1032r-2,l610,1031r-7,-5l603,1023r-7,l596,999r-14,l582,1030r-2,1l588,1040r1,-2l597,1038r,48l596,1087r7,8l605,1093r21,l626,1079xm782,1087r-1,l774,1081r,-2l657,1079r,14l768,1093r,3l782,1096r,-9xm843,1142r-2,l834,1136r,-2l782,1134r,-7l768,1127r,14l767,1142r7,8l775,1148r53,l828,1194r15,l843,1142xm910,1254r-8,l902,1247r-17,l885,1199r-2,l877,1192r,-1l861,1191r,14l871,1205r,48l869,1254r8,8l878,1261r18,l896,1284r14,l910,1254xe" fillcolor="#6d6d63" stroked="f">
                  <v:path arrowok="t" o:connecttype="custom" o:connectlocs="126,176;213,163;207,176;254,397;254,397;246,302;235,263;223,262;223,309;240,316;290,629;287,590;279,542;272,534;265,588;275,596;282,643;355,733;340,684;331,636;322,629;317,683;325,732;348,739;357,733;425,774;343,780;419,788;475,880;442,871;427,880;461,933;499,982;475,964;468,990;501,1066;510,1088;502,1148;626,1241;610,1193;596,1161;588,1202;596,1249;626,1241;774,1241;768,1258;841,1304;782,1296;767,1304;828,1356;902,1416;883,1361;861,1367;877,1424;910,1446" o:connectangles="0,0,0,0,0,0,0,0,0,0,0,0,0,0,0,0,0,0,0,0,0,0,0,0,0,0,0,0,0,0,0,0,0,0,0,0,0,0,0,0,0,0,0,0,0,0,0,0,0,0,0,0,0,0,0"/>
                </v:shape>
                <v:shape id="AutoShape 240" o:spid="_x0000_s1071" style="position:absolute;left:3759;top:1409;width:1621;height:1591;visibility:visible;mso-wrap-style:square;v-text-anchor:top" coordsize="1621,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" path="m15,6r-1,l7,,,6,1,8r,28l15,36,15,6xm58,118r-2,l50,112r,-2l41,110r,-48l39,62,33,57r,-2l12,55r,14l27,69r,48l25,118r8,8l34,124r10,l44,151r14,l58,118xm117,241r-2,l109,235r,-1l109,176r-2,l101,170r,-1l56,169r,14l93,183r,66l103,249r,2l117,251r,-10xm211,298r-94,l117,282r-14,l103,305r-2,1l109,314r1,-2l211,312r,-14xm369,298r-126,l243,312r126,l369,298xm517,306r-2,l509,300r,-2l401,298r,14l503,312r,13l517,325r,-19xm544,449r-2,l535,443r,-1l526,442r,-65l524,377r-6,-6l518,369r-1,l517,356r-14,l503,375r-3,2l509,385r1,-2l510,457r16,l526,456r4,l534,456r1,1l537,456r7,l544,449xm556,585r-12,l544,487r-17,l527,601r17,l544,600r12,l556,585xm627,664r-1,l620,658r,-2l576,656r,-44l562,612r,51l561,664r8,8l570,670r43,l613,687r14,l627,664xm670,739r-2,l662,733r,-1l627,732r,-13l613,719r,19l611,739r9,9l621,746r35,l656,803r14,l670,739xm807,808r-126,l681,822r126,l807,808xm965,808r-126,l839,822r126,l965,808xm1027,890r-1,l1019,884r,-3l1002,881r,-62l986,819r,79l1002,898r,-2l1013,896r,23l1027,919r,-29xm1056,1033r-29,l1027,951r-15,l1012,1049r15,l1027,1047r29,l1056,1033xm1097,1126r-2,l1089,1120r,-1l1070,1119r,-52l1056,1067r,58l1054,1126r8,8l1063,1133r20,l1083,1166r14,l1097,1126xm1165,1213r-1,l1157,1207r,-2l1097,1205r,-7l1083,1198r,14l1081,1213r8,8l1090,1219r61,l1151,1256r14,l1165,1213xm1272,1291r-107,l1165,1288r-14,l1151,1296r-2,2l1157,1306r1,-1l1272,1305r,-14xm1336,1385r-52,l1284,1327r-16,l1268,1401r16,l1284,1399r52,l1336,1385xm1494,1385r-127,l1367,1399r127,l1494,1385xm1608,1393r-2,l1600,1387r,-2l1526,1385r,14l1594,1399r,46l1608,1445r,-52xm1620,1575r-12,l1608,1477r-16,l1592,1590r16,l1608,1589r12,l1620,1575xe" fillcolor="#6d6d63" stroked="f">
                  <v:path arrowok="t" o:connecttype="custom" o:connectlocs="7,1410;15,1446;56,1528;41,1472;33,1465;27,1527;44,1534;117,1651;109,1644;101,1579;93,1659;117,1651;103,1692;110,1722;243,1708;517,1716;509,1708;503,1735;542,1859;526,1787;518,1781;503,1766;510,1793;526,1866;537,1866;544,1995;544,2011;627,2074;576,2066;561,2074;613,2097;668,2149;627,2142;611,2149;656,2213;681,2218;965,2218;965,2218;1019,2294;1002,2229;1002,2306;1027,2300;1012,2361;1056,2457;1089,2530;1070,2477;1062,2544;1097,2576;1157,2617;1083,2608;1090,2629;1165,2623;1151,2698;1158,2715;1284,2795;1284,2811;1494,2795;1494,2795;1600,2795;1594,2855;1608,2985;1608,3000" o:connectangles="0,0,0,0,0,0,0,0,0,0,0,0,0,0,0,0,0,0,0,0,0,0,0,0,0,0,0,0,0,0,0,0,0,0,0,0,0,0,0,0,0,0,0,0,0,0,0,0,0,0,0,0,0,0,0,0,0,0,0,0,0,0"/>
                </v:shape>
                <v:shape id="AutoShape 239" o:spid="_x0000_s1072" style="position:absolute;left:5359;top:2984;width:612;height:444;visibility:visible;mso-wrap-style:square;v-text-anchor:top" coordsize="61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" path="m21,l,,,14r21,l21,xm179,l53,r,14l179,14,179,xm331,7r-1,l323,1r,-1l211,r,14l317,14r,7l331,21r,-14xm384,102r-2,l375,96r,-2l331,94r,-41l317,53r,47l316,102r7,8l324,108r45,l369,127r15,l384,102xm445,208r-61,l384,159r-15,l369,214r-1,1l375,224r2,-2l445,222r,-14xm519,215r-1,l512,209r,-1l477,208r,14l505,222r,85l519,307r,-92xm612,404r-14,l598,443r14,l612,404xm612,329r-1,l605,323r,-2l521,321r,14l598,335r,37l612,372r,-43xe" fillcolor="#6d6d63" stroked="f">
                  <v:path arrowok="t" o:connecttype="custom" o:connectlocs="0,2985;21,2999;179,2985;53,2999;179,2985;330,2992;323,2986;211,2985;317,2999;331,3006;384,3087;375,3081;331,3079;317,3038;316,3087;324,3093;369,3112;384,3087;384,3193;369,3144;368,3200;377,3207;445,3193;518,3200;512,3194;477,3193;505,3207;519,3292;612,3389;598,3428;612,3389;611,3314;605,3308;521,3306;598,3320;612,3357" o:connectangles="0,0,0,0,0,0,0,0,0,0,0,0,0,0,0,0,0,0,0,0,0,0,0,0,0,0,0,0,0,0,0,0,0,0,0,0"/>
                </v:shape>
                <v:line id="Line 238" o:spid="_x0000_s1073" style="position:absolute;visibility:visible;mso-wrap-style:square" from="5964,3427" to="8100,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" strokecolor="#6d6d63" strokeweight=".24914mm">
                  <v:stroke dashstyle="3 1"/>
                </v:line>
                <v:shape id="AutoShape 237" o:spid="_x0000_s1074" style="position:absolute;left:5955;top:3421;width:2152;height:234;visibility:visible;mso-wrap-style:square;v-text-anchor:top" coordsize="215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" path="m14,7l8,,,7r8,7l14,7xm2152,203r-15,l2137,234r15,l2152,203xm2152,45r-15,l2137,171r15,l2152,45xm2152,7r-2,l2144,r-8,7l2137,8r,5l2143,13r1,1l2145,13r7,l2152,7xe" fillcolor="#6d6d63" stroked="f">
                  <v:path arrowok="t" o:connecttype="custom" o:connectlocs="14,3428;8,3421;0,3428;8,3435;14,3428;2152,3624;2137,3624;2137,3655;2152,3655;2152,3624;2152,3466;2137,3466;2137,3592;2152,3592;2152,3466;2152,3428;2150,3428;2150,3428;2144,3421;2136,3428;2137,3429;2137,3434;2143,3434;2144,3435;2145,3434;2152,3434;2152,3428" o:connectangles="0,0,0,0,0,0,0,0,0,0,0,0,0,0,0,0,0,0,0,0,0,0,0,0,0,0,0"/>
                </v:shape>
                <v:shape id="Freeform 236" o:spid="_x0000_s1075" style="position:absolute;left:5816;top:257;width:481;height:2;visibility:visible;mso-wrap-style:square;v-text-anchor:top" coordsize="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" path="m,l240,,481,e" filled="f" strokeweight=".24914mm">
                  <v:path arrowok="t" o:connecttype="custom" o:connectlocs="0,0;240,0;481,0" o:connectangles="0,0,0"/>
                </v:shape>
                <v:shape id="AutoShape 235" o:spid="_x0000_s1076" style="position:absolute;left:5816;top:806;width:481;height:15;visibility:visible;mso-wrap-style:square;v-text-anchor:top" coordsize="4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" path="m126,l,,,14r126,l126,xm240,l158,r,14l240,14,240,xm285,l240,r,14l285,14,285,xm443,l316,r,14l443,14,443,xm481,r-7,l474,14r7,l481,xe" fillcolor="#6d6d63" stroked="f">
                  <v:path arrowok="t" o:connecttype="custom" o:connectlocs="126,807;0,807;0,821;126,821;126,807;240,807;158,807;158,821;240,821;240,807;285,807;240,807;240,821;285,821;285,807;443,807;316,807;316,821;443,821;443,807;481,807;474,807;474,821;481,821;481,807" o:connectangles="0,0,0,0,0,0,0,0,0,0,0,0,0,0,0,0,0,0,0,0,0,0,0,0,0"/>
                </v:shape>
                <v:shapetype id="_x0000_t202" coordsize="21600,21600" o:spt="202" path="m,l,21600r21600,l21600,xe">
                  <v:stroke joinstyle="miter"/>
                  <v:path gradientshapeok="t" o:connecttype="rect"/>
                </v:shapetype>
                <v:shape id="Text Box 234" o:spid="_x0000_s1077" type="#_x0000_t202" style="position:absolute;left:6507;top:145;width:1657;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092A0A" w:rsidRDefault="00092A0A">
                        <w:pPr>
                          <w:spacing w:line="185" w:lineRule="exact"/>
                          <w:rPr>
                            <w:rFonts w:ascii="Arial"/>
                            <w:sz w:val="18"/>
                          </w:rPr>
                        </w:pPr>
                        <w:r>
                          <w:rPr>
                            <w:rFonts w:ascii="Arial"/>
                            <w:sz w:val="18"/>
                          </w:rPr>
                          <w:t>Sunitinib (N=86)</w:t>
                        </w:r>
                      </w:p>
                      <w:p w:rsidR="00092A0A" w:rsidRDefault="00092A0A">
                        <w:pPr>
                          <w:spacing w:line="191" w:lineRule="exact"/>
                          <w:ind w:left="4"/>
                          <w:rPr>
                            <w:rFonts w:ascii="Arial"/>
                            <w:sz w:val="18"/>
                          </w:rPr>
                        </w:pPr>
                        <w:r>
                          <w:rPr>
                            <w:rFonts w:ascii="Arial"/>
                            <w:sz w:val="18"/>
                          </w:rPr>
                          <w:t>Median 11.4 months</w:t>
                        </w:r>
                      </w:p>
                      <w:p w:rsidR="00092A0A" w:rsidRDefault="00092A0A">
                        <w:pPr>
                          <w:spacing w:before="6"/>
                          <w:rPr>
                            <w:rFonts w:ascii="Arial"/>
                            <w:sz w:val="17"/>
                          </w:rPr>
                        </w:pPr>
                      </w:p>
                      <w:p w:rsidR="00092A0A" w:rsidRDefault="00092A0A">
                        <w:pPr>
                          <w:spacing w:line="201" w:lineRule="auto"/>
                          <w:ind w:left="4" w:right="102" w:hanging="5"/>
                          <w:rPr>
                            <w:rFonts w:ascii="Arial"/>
                            <w:sz w:val="18"/>
                          </w:rPr>
                        </w:pPr>
                        <w:r>
                          <w:rPr>
                            <w:rFonts w:ascii="Arial"/>
                            <w:sz w:val="18"/>
                          </w:rPr>
                          <w:t>Placebo (N=85) Median 5.5 months</w:t>
                        </w:r>
                      </w:p>
                    </w:txbxContent>
                  </v:textbox>
                </v:shape>
                <v:shape id="Text Box 233" o:spid="_x0000_s1078" type="#_x0000_t202" style="position:absolute;left:3100;top:3107;width:1643;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092A0A" w:rsidRDefault="00092A0A">
                        <w:pPr>
                          <w:spacing w:before="21" w:line="201" w:lineRule="auto"/>
                          <w:ind w:right="2"/>
                          <w:rPr>
                            <w:rFonts w:ascii="Arial"/>
                            <w:sz w:val="18"/>
                          </w:rPr>
                        </w:pPr>
                        <w:r>
                          <w:rPr>
                            <w:rFonts w:ascii="Arial"/>
                            <w:sz w:val="18"/>
                          </w:rPr>
                          <w:t>Hazard Ratio = 0.42 95% CI (0.26 - 0.66)</w:t>
                        </w:r>
                      </w:p>
                      <w:p w:rsidR="00092A0A" w:rsidRDefault="00092A0A">
                        <w:pPr>
                          <w:spacing w:line="182" w:lineRule="exact"/>
                          <w:rPr>
                            <w:rFonts w:ascii="Arial"/>
                            <w:sz w:val="18"/>
                          </w:rPr>
                        </w:pPr>
                        <w:r>
                          <w:rPr>
                            <w:rFonts w:ascii="Arial"/>
                            <w:sz w:val="18"/>
                          </w:rPr>
                          <w:t>p = 0.0001</w:t>
                        </w:r>
                      </w:p>
                    </w:txbxContent>
                  </v:textbox>
                </v:shape>
                <w10:wrap anchorx="page"/>
              </v:group>
            </w:pict>
          </mc:Fallback>
        </mc:AlternateContent>
      </w:r>
      <w:r>
        <w:rPr>
          <w:noProof/>
        </w:rPr>
        <mc:AlternateContent>
          <mc:Choice Requires="wps">
            <w:drawing>
              <wp:anchor distT="0" distB="0" distL="114300" distR="114300" simplePos="0" relativeHeight="15730176" behindDoc="0" locked="0" layoutInCell="1" allowOverlap="1" wp14:anchorId="63D72105" wp14:editId="4F1AB84C">
                <wp:simplePos x="0" y="0"/>
                <wp:positionH relativeFrom="page">
                  <wp:posOffset>1388745</wp:posOffset>
                </wp:positionH>
                <wp:positionV relativeFrom="paragraph">
                  <wp:posOffset>54610</wp:posOffset>
                </wp:positionV>
                <wp:extent cx="167005" cy="2326005"/>
                <wp:effectExtent l="0" t="0" r="0" b="0"/>
                <wp:wrapNone/>
                <wp:docPr id="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32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A0A" w:rsidRDefault="00092A0A">
                            <w:pPr>
                              <w:spacing w:before="12"/>
                              <w:ind w:left="20"/>
                              <w:rPr>
                                <w:rFonts w:ascii="Arial"/>
                                <w:sz w:val="20"/>
                              </w:rPr>
                            </w:pPr>
                            <w:r>
                              <w:rPr>
                                <w:rFonts w:ascii="Arial"/>
                                <w:sz w:val="20"/>
                              </w:rPr>
                              <w:t>Progression Free Survival Probability</w:t>
                            </w:r>
                            <w:r>
                              <w:rPr>
                                <w:rFonts w:ascii="Arial"/>
                                <w:spacing w:val="-34"/>
                                <w:sz w:val="20"/>
                              </w:rPr>
                              <w:t xml:space="preserve"> </w:t>
                            </w:r>
                            <w:r>
                              <w:rPr>
                                <w:rFonts w:ascii="Arial"/>
                                <w:sz w:val="20"/>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2105" id="Text Box 231" o:spid="_x0000_s1079" type="#_x0000_t202" style="position:absolute;left:0;text-align:left;margin-left:109.35pt;margin-top:4.3pt;width:13.15pt;height:183.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" filled="f" stroked="f">
                <v:textbox style="layout-flow:vertical;mso-layout-flow-alt:bottom-to-top" inset="0,0,0,0">
                  <w:txbxContent>
                    <w:p w:rsidR="00092A0A" w:rsidRDefault="00092A0A">
                      <w:pPr>
                        <w:spacing w:before="12"/>
                        <w:ind w:left="20"/>
                        <w:rPr>
                          <w:rFonts w:ascii="Arial"/>
                          <w:sz w:val="20"/>
                        </w:rPr>
                      </w:pPr>
                      <w:r>
                        <w:rPr>
                          <w:rFonts w:ascii="Arial"/>
                          <w:sz w:val="20"/>
                        </w:rPr>
                        <w:t>Progression Free Survival Probability</w:t>
                      </w:r>
                      <w:r>
                        <w:rPr>
                          <w:rFonts w:ascii="Arial"/>
                          <w:spacing w:val="-34"/>
                          <w:sz w:val="20"/>
                        </w:rPr>
                        <w:t xml:space="preserve"> </w:t>
                      </w:r>
                      <w:r>
                        <w:rPr>
                          <w:rFonts w:ascii="Arial"/>
                          <w:sz w:val="20"/>
                        </w:rPr>
                        <w:t>(%)</w:t>
                      </w:r>
                    </w:p>
                  </w:txbxContent>
                </v:textbox>
                <w10:wrap anchorx="page"/>
              </v:shape>
            </w:pict>
          </mc:Fallback>
        </mc:AlternateContent>
      </w:r>
      <w:r w:rsidR="00346252">
        <w:rPr>
          <w:rFonts w:ascii="Arial"/>
          <w:w w:val="95"/>
          <w:sz w:val="17"/>
        </w:rPr>
        <w:t>100</w:t>
      </w:r>
    </w:p>
    <w:p w:rsidR="00457196" w:rsidRDefault="00346252" w:rsidP="00092A0A">
      <w:pPr>
        <w:spacing w:before="153"/>
        <w:ind w:right="20"/>
        <w:jc w:val="right"/>
        <w:rPr>
          <w:rFonts w:ascii="Arial"/>
          <w:sz w:val="17"/>
        </w:rPr>
      </w:pPr>
      <w:r>
        <w:rPr>
          <w:rFonts w:ascii="Arial"/>
          <w:w w:val="95"/>
          <w:sz w:val="17"/>
        </w:rPr>
        <w:t>90</w:t>
      </w:r>
    </w:p>
    <w:p w:rsidR="00457196" w:rsidRDefault="00346252" w:rsidP="00092A0A">
      <w:pPr>
        <w:spacing w:before="153"/>
        <w:ind w:right="20"/>
        <w:jc w:val="right"/>
        <w:rPr>
          <w:rFonts w:ascii="Arial"/>
          <w:sz w:val="17"/>
        </w:rPr>
      </w:pPr>
      <w:r>
        <w:rPr>
          <w:rFonts w:ascii="Arial"/>
          <w:w w:val="95"/>
          <w:sz w:val="17"/>
        </w:rPr>
        <w:t>80</w:t>
      </w:r>
    </w:p>
    <w:p w:rsidR="00457196" w:rsidRDefault="00346252" w:rsidP="00092A0A">
      <w:pPr>
        <w:spacing w:before="153"/>
        <w:ind w:right="20"/>
        <w:jc w:val="right"/>
        <w:rPr>
          <w:rFonts w:ascii="Arial"/>
          <w:sz w:val="17"/>
        </w:rPr>
      </w:pPr>
      <w:r>
        <w:rPr>
          <w:rFonts w:ascii="Arial"/>
          <w:w w:val="95"/>
          <w:sz w:val="17"/>
        </w:rPr>
        <w:t>70</w:t>
      </w:r>
    </w:p>
    <w:p w:rsidR="00457196" w:rsidRDefault="00346252" w:rsidP="00092A0A">
      <w:pPr>
        <w:spacing w:before="153"/>
        <w:ind w:right="20"/>
        <w:jc w:val="right"/>
        <w:rPr>
          <w:rFonts w:ascii="Arial"/>
          <w:sz w:val="17"/>
        </w:rPr>
      </w:pPr>
      <w:r>
        <w:rPr>
          <w:rFonts w:ascii="Arial"/>
          <w:w w:val="95"/>
          <w:sz w:val="17"/>
        </w:rPr>
        <w:t>60</w:t>
      </w:r>
    </w:p>
    <w:p w:rsidR="00457196" w:rsidRDefault="00346252" w:rsidP="00092A0A">
      <w:pPr>
        <w:spacing w:before="152"/>
        <w:ind w:right="20"/>
        <w:jc w:val="right"/>
        <w:rPr>
          <w:rFonts w:ascii="Arial"/>
          <w:sz w:val="17"/>
        </w:rPr>
      </w:pPr>
      <w:r>
        <w:rPr>
          <w:rFonts w:ascii="Arial"/>
          <w:w w:val="95"/>
          <w:sz w:val="17"/>
        </w:rPr>
        <w:t>50</w:t>
      </w:r>
    </w:p>
    <w:p w:rsidR="00457196" w:rsidRDefault="00346252" w:rsidP="00092A0A">
      <w:pPr>
        <w:spacing w:before="153"/>
        <w:ind w:right="20"/>
        <w:jc w:val="right"/>
        <w:rPr>
          <w:rFonts w:ascii="Arial"/>
          <w:sz w:val="17"/>
        </w:rPr>
      </w:pPr>
      <w:r>
        <w:rPr>
          <w:rFonts w:ascii="Arial"/>
          <w:w w:val="95"/>
          <w:sz w:val="17"/>
        </w:rPr>
        <w:t>40</w:t>
      </w:r>
    </w:p>
    <w:p w:rsidR="00457196" w:rsidRDefault="00346252" w:rsidP="00092A0A">
      <w:pPr>
        <w:spacing w:before="153"/>
        <w:ind w:right="20"/>
        <w:jc w:val="right"/>
        <w:rPr>
          <w:rFonts w:ascii="Arial"/>
          <w:sz w:val="17"/>
        </w:rPr>
      </w:pPr>
      <w:r>
        <w:rPr>
          <w:rFonts w:ascii="Arial"/>
          <w:w w:val="95"/>
          <w:sz w:val="17"/>
        </w:rPr>
        <w:t>30</w:t>
      </w:r>
    </w:p>
    <w:p w:rsidR="00457196" w:rsidRDefault="00346252" w:rsidP="00092A0A">
      <w:pPr>
        <w:spacing w:before="154"/>
        <w:ind w:right="20"/>
        <w:jc w:val="right"/>
        <w:rPr>
          <w:rFonts w:ascii="Arial"/>
          <w:sz w:val="17"/>
        </w:rPr>
      </w:pPr>
      <w:r>
        <w:rPr>
          <w:rFonts w:ascii="Arial"/>
          <w:w w:val="95"/>
          <w:sz w:val="17"/>
        </w:rPr>
        <w:t>20</w:t>
      </w:r>
    </w:p>
    <w:p w:rsidR="00457196" w:rsidRDefault="00346252" w:rsidP="00092A0A">
      <w:pPr>
        <w:spacing w:before="153"/>
        <w:ind w:right="20"/>
        <w:jc w:val="right"/>
        <w:rPr>
          <w:rFonts w:ascii="Arial"/>
          <w:sz w:val="17"/>
        </w:rPr>
      </w:pPr>
      <w:r>
        <w:rPr>
          <w:rFonts w:ascii="Arial"/>
          <w:w w:val="95"/>
          <w:sz w:val="17"/>
        </w:rPr>
        <w:t>10</w:t>
      </w:r>
    </w:p>
    <w:p w:rsidR="00457196" w:rsidRDefault="00346252" w:rsidP="00092A0A">
      <w:pPr>
        <w:spacing w:before="153"/>
        <w:ind w:right="20"/>
        <w:jc w:val="right"/>
        <w:rPr>
          <w:rFonts w:ascii="Arial"/>
          <w:sz w:val="17"/>
        </w:rPr>
      </w:pPr>
      <w:r>
        <w:rPr>
          <w:rFonts w:ascii="Arial"/>
          <w:w w:val="99"/>
          <w:sz w:val="17"/>
        </w:rPr>
        <w:t>0</w:t>
      </w:r>
    </w:p>
    <w:p w:rsidR="00457196" w:rsidRDefault="00346252" w:rsidP="00092A0A">
      <w:pPr>
        <w:spacing w:before="136"/>
        <w:ind w:right="20"/>
        <w:jc w:val="right"/>
        <w:rPr>
          <w:rFonts w:ascii="Arial"/>
          <w:sz w:val="17"/>
        </w:rPr>
      </w:pPr>
      <w:r>
        <w:rPr>
          <w:rFonts w:ascii="Arial"/>
          <w:w w:val="99"/>
          <w:sz w:val="17"/>
        </w:rPr>
        <w:t>0</w:t>
      </w:r>
    </w:p>
    <w:p w:rsidR="00457196" w:rsidRDefault="00346252" w:rsidP="00092A0A">
      <w:pPr>
        <w:pStyle w:val="BodyText"/>
        <w:ind w:right="20"/>
        <w:rPr>
          <w:rFonts w:ascii="Arial"/>
          <w:sz w:val="18"/>
        </w:rPr>
      </w:pPr>
      <w:r>
        <w:br w:type="column"/>
      </w: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8"/>
        </w:rPr>
      </w:pPr>
    </w:p>
    <w:p w:rsidR="00457196" w:rsidRDefault="00457196" w:rsidP="00092A0A">
      <w:pPr>
        <w:pStyle w:val="BodyText"/>
        <w:ind w:right="20"/>
        <w:rPr>
          <w:rFonts w:ascii="Arial"/>
          <w:sz w:val="16"/>
        </w:rPr>
      </w:pPr>
    </w:p>
    <w:p w:rsidR="00457196" w:rsidRDefault="00346252" w:rsidP="00092A0A">
      <w:pPr>
        <w:tabs>
          <w:tab w:val="left" w:pos="1418"/>
          <w:tab w:val="left" w:pos="2195"/>
          <w:tab w:val="left" w:pos="2923"/>
          <w:tab w:val="left" w:pos="3700"/>
          <w:tab w:val="left" w:pos="4476"/>
          <w:tab w:val="left" w:pos="5253"/>
        </w:tabs>
        <w:spacing w:before="1" w:line="180" w:lineRule="exact"/>
        <w:ind w:left="642" w:right="20"/>
        <w:rPr>
          <w:rFonts w:ascii="Arial"/>
          <w:sz w:val="17"/>
        </w:rPr>
      </w:pPr>
      <w:r>
        <w:rPr>
          <w:rFonts w:ascii="Arial"/>
          <w:sz w:val="17"/>
        </w:rPr>
        <w:t>3</w:t>
      </w:r>
      <w:r>
        <w:rPr>
          <w:rFonts w:ascii="Arial"/>
          <w:sz w:val="17"/>
        </w:rPr>
        <w:tab/>
        <w:t>6</w:t>
      </w:r>
      <w:r>
        <w:rPr>
          <w:rFonts w:ascii="Arial"/>
          <w:sz w:val="17"/>
        </w:rPr>
        <w:tab/>
        <w:t>9</w:t>
      </w:r>
      <w:r>
        <w:rPr>
          <w:rFonts w:ascii="Arial"/>
          <w:sz w:val="17"/>
        </w:rPr>
        <w:tab/>
        <w:t>12</w:t>
      </w:r>
      <w:r>
        <w:rPr>
          <w:rFonts w:ascii="Arial"/>
          <w:sz w:val="17"/>
        </w:rPr>
        <w:tab/>
        <w:t>15</w:t>
      </w:r>
      <w:r>
        <w:rPr>
          <w:rFonts w:ascii="Arial"/>
          <w:sz w:val="17"/>
        </w:rPr>
        <w:tab/>
        <w:t>18</w:t>
      </w:r>
      <w:r>
        <w:rPr>
          <w:rFonts w:ascii="Arial"/>
          <w:sz w:val="17"/>
        </w:rPr>
        <w:tab/>
        <w:t>21</w:t>
      </w:r>
    </w:p>
    <w:p w:rsidR="00457196" w:rsidRDefault="00346252" w:rsidP="00092A0A">
      <w:pPr>
        <w:spacing w:line="167" w:lineRule="exact"/>
        <w:ind w:left="2123" w:right="20"/>
        <w:rPr>
          <w:rFonts w:ascii="Arial"/>
          <w:sz w:val="20"/>
        </w:rPr>
      </w:pPr>
      <w:r>
        <w:rPr>
          <w:rFonts w:ascii="Arial"/>
          <w:sz w:val="20"/>
        </w:rPr>
        <w:t>Time (Months)</w:t>
      </w:r>
    </w:p>
    <w:p w:rsidR="00457196" w:rsidRDefault="00457196" w:rsidP="00092A0A">
      <w:pPr>
        <w:spacing w:line="167" w:lineRule="exact"/>
        <w:ind w:right="20"/>
        <w:rPr>
          <w:rFonts w:ascii="Arial"/>
          <w:sz w:val="20"/>
        </w:rPr>
        <w:sectPr w:rsidR="00457196">
          <w:type w:val="continuous"/>
          <w:pgSz w:w="11910" w:h="16850"/>
          <w:pgMar w:top="1600" w:right="1080" w:bottom="820" w:left="1180" w:header="720" w:footer="720" w:gutter="0"/>
          <w:cols w:num="2" w:space="720" w:equalWidth="0">
            <w:col w:w="1732" w:space="40"/>
            <w:col w:w="7878"/>
          </w:cols>
        </w:sectPr>
      </w:pPr>
    </w:p>
    <w:p w:rsidR="00457196" w:rsidRDefault="005837A7" w:rsidP="00092A0A">
      <w:pPr>
        <w:spacing w:line="168" w:lineRule="exact"/>
        <w:ind w:left="908" w:right="20"/>
        <w:rPr>
          <w:rFonts w:ascii="Arial"/>
          <w:sz w:val="15"/>
        </w:rPr>
      </w:pPr>
      <w:r>
        <w:rPr>
          <w:rFonts w:ascii="Arial"/>
          <w:sz w:val="15"/>
        </w:rPr>
        <w:t xml:space="preserve">  </w:t>
      </w:r>
      <w:r w:rsidR="00346252">
        <w:rPr>
          <w:rFonts w:ascii="Arial"/>
          <w:sz w:val="15"/>
        </w:rPr>
        <w:t>Number of subjects at risk</w:t>
      </w:r>
    </w:p>
    <w:p w:rsidR="00457196" w:rsidRDefault="00811500" w:rsidP="00092A0A">
      <w:pPr>
        <w:pStyle w:val="BodyText"/>
        <w:ind w:right="20"/>
        <w:rPr>
          <w:rFonts w:ascii="Arial"/>
          <w:sz w:val="16"/>
        </w:rPr>
      </w:pPr>
      <w:r>
        <w:rPr>
          <w:noProof/>
        </w:rPr>
        <mc:AlternateContent>
          <mc:Choice Requires="wps">
            <w:drawing>
              <wp:anchor distT="0" distB="0" distL="114300" distR="114300" simplePos="0" relativeHeight="15730688" behindDoc="0" locked="0" layoutInCell="1" allowOverlap="1" wp14:anchorId="4F1D22A3" wp14:editId="2BC697B0">
                <wp:simplePos x="0" y="0"/>
                <wp:positionH relativeFrom="page">
                  <wp:posOffset>1257300</wp:posOffset>
                </wp:positionH>
                <wp:positionV relativeFrom="paragraph">
                  <wp:posOffset>31115</wp:posOffset>
                </wp:positionV>
                <wp:extent cx="3907155" cy="266065"/>
                <wp:effectExtent l="0" t="0" r="0" b="0"/>
                <wp:wrapNone/>
                <wp:docPr id="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0" w:type="dxa"/>
                              <w:tblLayout w:type="fixed"/>
                              <w:tblCellMar>
                                <w:left w:w="0" w:type="dxa"/>
                                <w:right w:w="0" w:type="dxa"/>
                              </w:tblCellMar>
                              <w:tblLook w:val="01E0" w:firstRow="1" w:lastRow="1" w:firstColumn="1" w:lastColumn="1" w:noHBand="0" w:noVBand="0"/>
                            </w:tblPr>
                            <w:tblGrid>
                              <w:gridCol w:w="810"/>
                              <w:gridCol w:w="720"/>
                              <w:gridCol w:w="810"/>
                              <w:gridCol w:w="810"/>
                              <w:gridCol w:w="810"/>
                              <w:gridCol w:w="630"/>
                              <w:gridCol w:w="505"/>
                              <w:gridCol w:w="665"/>
                            </w:tblGrid>
                            <w:tr w:rsidR="00092A0A" w:rsidTr="002A5C0E">
                              <w:trPr>
                                <w:trHeight w:val="203"/>
                              </w:trPr>
                              <w:tc>
                                <w:tcPr>
                                  <w:tcW w:w="810" w:type="dxa"/>
                                </w:tcPr>
                                <w:p w:rsidR="00092A0A" w:rsidRDefault="00092A0A" w:rsidP="002A5C0E">
                                  <w:pPr>
                                    <w:pStyle w:val="TableParagraph"/>
                                    <w:spacing w:before="45" w:line="138" w:lineRule="exact"/>
                                    <w:ind w:left="90"/>
                                    <w:rPr>
                                      <w:rFonts w:ascii="Arial"/>
                                      <w:sz w:val="13"/>
                                    </w:rPr>
                                  </w:pPr>
                                  <w:r>
                                    <w:rPr>
                                      <w:rFonts w:ascii="Arial"/>
                                      <w:sz w:val="15"/>
                                    </w:rPr>
                                    <w:t xml:space="preserve">Sunitinib </w:t>
                                  </w:r>
                                </w:p>
                              </w:tc>
                              <w:tc>
                                <w:tcPr>
                                  <w:tcW w:w="720" w:type="dxa"/>
                                  <w:tcBorders>
                                    <w:left w:val="nil"/>
                                  </w:tcBorders>
                                </w:tcPr>
                                <w:p w:rsidR="00092A0A" w:rsidRDefault="00092A0A" w:rsidP="002A5C0E">
                                  <w:pPr>
                                    <w:pStyle w:val="TableParagraph"/>
                                    <w:spacing w:before="45" w:line="138" w:lineRule="exact"/>
                                    <w:ind w:left="90"/>
                                    <w:rPr>
                                      <w:rFonts w:ascii="Arial"/>
                                      <w:sz w:val="13"/>
                                    </w:rPr>
                                  </w:pPr>
                                  <w:r>
                                    <w:rPr>
                                      <w:rFonts w:ascii="Arial"/>
                                      <w:position w:val="1"/>
                                      <w:sz w:val="13"/>
                                    </w:rPr>
                                    <w:t>86</w:t>
                                  </w:r>
                                </w:p>
                              </w:tc>
                              <w:tc>
                                <w:tcPr>
                                  <w:tcW w:w="810" w:type="dxa"/>
                                </w:tcPr>
                                <w:p w:rsidR="00092A0A" w:rsidRDefault="00092A0A" w:rsidP="002A5C0E">
                                  <w:pPr>
                                    <w:pStyle w:val="TableParagraph"/>
                                    <w:spacing w:before="58" w:line="125" w:lineRule="exact"/>
                                    <w:ind w:left="90" w:right="295"/>
                                    <w:rPr>
                                      <w:rFonts w:ascii="Arial"/>
                                      <w:sz w:val="13"/>
                                    </w:rPr>
                                  </w:pPr>
                                  <w:r>
                                    <w:rPr>
                                      <w:rFonts w:ascii="Arial"/>
                                      <w:sz w:val="13"/>
                                    </w:rPr>
                                    <w:t>52</w:t>
                                  </w:r>
                                </w:p>
                              </w:tc>
                              <w:tc>
                                <w:tcPr>
                                  <w:tcW w:w="810" w:type="dxa"/>
                                </w:tcPr>
                                <w:p w:rsidR="00092A0A" w:rsidRDefault="00092A0A" w:rsidP="002A5C0E">
                                  <w:pPr>
                                    <w:pStyle w:val="TableParagraph"/>
                                    <w:spacing w:before="58" w:line="125" w:lineRule="exact"/>
                                    <w:ind w:left="90" w:right="294"/>
                                    <w:rPr>
                                      <w:rFonts w:ascii="Arial"/>
                                      <w:sz w:val="13"/>
                                    </w:rPr>
                                  </w:pPr>
                                  <w:r>
                                    <w:rPr>
                                      <w:rFonts w:ascii="Arial"/>
                                      <w:sz w:val="13"/>
                                    </w:rPr>
                                    <w:t>34</w:t>
                                  </w:r>
                                </w:p>
                              </w:tc>
                              <w:tc>
                                <w:tcPr>
                                  <w:tcW w:w="810" w:type="dxa"/>
                                </w:tcPr>
                                <w:p w:rsidR="00092A0A" w:rsidRDefault="00092A0A" w:rsidP="002A5C0E">
                                  <w:pPr>
                                    <w:pStyle w:val="TableParagraph"/>
                                    <w:spacing w:before="58" w:line="125" w:lineRule="exact"/>
                                    <w:ind w:left="90"/>
                                    <w:rPr>
                                      <w:rFonts w:ascii="Arial"/>
                                      <w:sz w:val="13"/>
                                    </w:rPr>
                                  </w:pPr>
                                  <w:r>
                                    <w:rPr>
                                      <w:rFonts w:ascii="Arial"/>
                                      <w:sz w:val="13"/>
                                    </w:rPr>
                                    <w:t>20</w:t>
                                  </w:r>
                                </w:p>
                              </w:tc>
                              <w:tc>
                                <w:tcPr>
                                  <w:tcW w:w="630" w:type="dxa"/>
                                </w:tcPr>
                                <w:p w:rsidR="00092A0A" w:rsidRDefault="00092A0A" w:rsidP="002A5C0E">
                                  <w:pPr>
                                    <w:pStyle w:val="TableParagraph"/>
                                    <w:spacing w:before="58" w:line="125" w:lineRule="exact"/>
                                    <w:ind w:left="90"/>
                                    <w:rPr>
                                      <w:rFonts w:ascii="Arial"/>
                                      <w:sz w:val="13"/>
                                    </w:rPr>
                                  </w:pPr>
                                  <w:r>
                                    <w:rPr>
                                      <w:rFonts w:ascii="Arial"/>
                                      <w:sz w:val="13"/>
                                    </w:rPr>
                                    <w:t>15</w:t>
                                  </w:r>
                                </w:p>
                              </w:tc>
                              <w:tc>
                                <w:tcPr>
                                  <w:tcW w:w="505" w:type="dxa"/>
                                </w:tcPr>
                                <w:p w:rsidR="00092A0A" w:rsidRDefault="00092A0A" w:rsidP="002A5C0E">
                                  <w:pPr>
                                    <w:pStyle w:val="TableParagraph"/>
                                    <w:spacing w:before="58" w:line="125" w:lineRule="exact"/>
                                    <w:ind w:left="90" w:right="11"/>
                                    <w:jc w:val="center"/>
                                    <w:rPr>
                                      <w:rFonts w:ascii="Arial"/>
                                      <w:sz w:val="13"/>
                                    </w:rPr>
                                  </w:pPr>
                                  <w:r>
                                    <w:rPr>
                                      <w:rFonts w:ascii="Arial"/>
                                      <w:w w:val="99"/>
                                      <w:sz w:val="13"/>
                                    </w:rPr>
                                    <w:t>4</w:t>
                                  </w:r>
                                </w:p>
                              </w:tc>
                              <w:tc>
                                <w:tcPr>
                                  <w:tcW w:w="665" w:type="dxa"/>
                                </w:tcPr>
                                <w:p w:rsidR="00092A0A" w:rsidRDefault="00092A0A" w:rsidP="002A5C0E">
                                  <w:pPr>
                                    <w:pStyle w:val="TableParagraph"/>
                                    <w:spacing w:before="58" w:line="125" w:lineRule="exact"/>
                                    <w:ind w:left="90" w:right="44"/>
                                    <w:jc w:val="right"/>
                                    <w:rPr>
                                      <w:rFonts w:ascii="Arial"/>
                                      <w:sz w:val="13"/>
                                    </w:rPr>
                                  </w:pPr>
                                  <w:r>
                                    <w:rPr>
                                      <w:rFonts w:ascii="Arial"/>
                                      <w:w w:val="99"/>
                                      <w:sz w:val="13"/>
                                    </w:rPr>
                                    <w:t>2</w:t>
                                  </w:r>
                                </w:p>
                              </w:tc>
                            </w:tr>
                            <w:tr w:rsidR="00092A0A" w:rsidTr="002A5C0E">
                              <w:trPr>
                                <w:trHeight w:val="203"/>
                              </w:trPr>
                              <w:tc>
                                <w:tcPr>
                                  <w:tcW w:w="810" w:type="dxa"/>
                                </w:tcPr>
                                <w:p w:rsidR="00092A0A" w:rsidRDefault="00092A0A" w:rsidP="002A5C0E">
                                  <w:pPr>
                                    <w:pStyle w:val="TableParagraph"/>
                                    <w:spacing w:line="153" w:lineRule="exact"/>
                                    <w:ind w:left="90"/>
                                    <w:rPr>
                                      <w:rFonts w:ascii="Arial"/>
                                      <w:sz w:val="13"/>
                                    </w:rPr>
                                  </w:pPr>
                                  <w:r>
                                    <w:rPr>
                                      <w:rFonts w:ascii="Arial"/>
                                      <w:sz w:val="15"/>
                                    </w:rPr>
                                    <w:t>Placebo</w:t>
                                  </w:r>
                                </w:p>
                              </w:tc>
                              <w:tc>
                                <w:tcPr>
                                  <w:tcW w:w="720" w:type="dxa"/>
                                  <w:tcBorders>
                                    <w:left w:val="nil"/>
                                  </w:tcBorders>
                                </w:tcPr>
                                <w:p w:rsidR="00092A0A" w:rsidRDefault="00092A0A" w:rsidP="002A5C0E">
                                  <w:pPr>
                                    <w:pStyle w:val="TableParagraph"/>
                                    <w:spacing w:line="153" w:lineRule="exact"/>
                                    <w:ind w:left="90"/>
                                    <w:rPr>
                                      <w:rFonts w:ascii="Arial"/>
                                      <w:sz w:val="13"/>
                                    </w:rPr>
                                  </w:pPr>
                                  <w:r>
                                    <w:rPr>
                                      <w:rFonts w:ascii="Arial"/>
                                      <w:position w:val="1"/>
                                      <w:sz w:val="13"/>
                                    </w:rPr>
                                    <w:t>85</w:t>
                                  </w:r>
                                </w:p>
                              </w:tc>
                              <w:tc>
                                <w:tcPr>
                                  <w:tcW w:w="810" w:type="dxa"/>
                                </w:tcPr>
                                <w:p w:rsidR="00092A0A" w:rsidRDefault="00092A0A" w:rsidP="002A5C0E">
                                  <w:pPr>
                                    <w:pStyle w:val="TableParagraph"/>
                                    <w:spacing w:line="142" w:lineRule="exact"/>
                                    <w:ind w:left="90" w:right="295"/>
                                    <w:rPr>
                                      <w:rFonts w:ascii="Arial"/>
                                      <w:sz w:val="13"/>
                                    </w:rPr>
                                  </w:pPr>
                                  <w:r>
                                    <w:rPr>
                                      <w:rFonts w:ascii="Arial"/>
                                      <w:sz w:val="13"/>
                                    </w:rPr>
                                    <w:t>42</w:t>
                                  </w:r>
                                </w:p>
                              </w:tc>
                              <w:tc>
                                <w:tcPr>
                                  <w:tcW w:w="810" w:type="dxa"/>
                                </w:tcPr>
                                <w:p w:rsidR="00092A0A" w:rsidRDefault="00092A0A" w:rsidP="002A5C0E">
                                  <w:pPr>
                                    <w:pStyle w:val="TableParagraph"/>
                                    <w:spacing w:line="142" w:lineRule="exact"/>
                                    <w:ind w:left="90" w:right="294"/>
                                    <w:rPr>
                                      <w:rFonts w:ascii="Arial"/>
                                      <w:sz w:val="13"/>
                                    </w:rPr>
                                  </w:pPr>
                                  <w:r>
                                    <w:rPr>
                                      <w:rFonts w:ascii="Arial"/>
                                      <w:sz w:val="13"/>
                                    </w:rPr>
                                    <w:t>20</w:t>
                                  </w:r>
                                </w:p>
                              </w:tc>
                              <w:tc>
                                <w:tcPr>
                                  <w:tcW w:w="810" w:type="dxa"/>
                                </w:tcPr>
                                <w:p w:rsidR="00092A0A" w:rsidRDefault="00092A0A" w:rsidP="002A5C0E">
                                  <w:pPr>
                                    <w:pStyle w:val="TableParagraph"/>
                                    <w:spacing w:line="142" w:lineRule="exact"/>
                                    <w:ind w:left="90"/>
                                    <w:rPr>
                                      <w:rFonts w:ascii="Arial"/>
                                      <w:sz w:val="13"/>
                                    </w:rPr>
                                  </w:pPr>
                                  <w:r>
                                    <w:rPr>
                                      <w:rFonts w:ascii="Arial"/>
                                      <w:w w:val="99"/>
                                      <w:sz w:val="13"/>
                                    </w:rPr>
                                    <w:t xml:space="preserve"> 9</w:t>
                                  </w:r>
                                </w:p>
                              </w:tc>
                              <w:tc>
                                <w:tcPr>
                                  <w:tcW w:w="630" w:type="dxa"/>
                                </w:tcPr>
                                <w:p w:rsidR="00092A0A" w:rsidRDefault="00092A0A" w:rsidP="002A5C0E">
                                  <w:pPr>
                                    <w:pStyle w:val="TableParagraph"/>
                                    <w:spacing w:line="142" w:lineRule="exact"/>
                                    <w:ind w:left="90"/>
                                    <w:rPr>
                                      <w:rFonts w:ascii="Arial"/>
                                      <w:sz w:val="13"/>
                                    </w:rPr>
                                  </w:pPr>
                                  <w:r>
                                    <w:rPr>
                                      <w:rFonts w:ascii="Arial"/>
                                      <w:w w:val="99"/>
                                      <w:sz w:val="13"/>
                                    </w:rPr>
                                    <w:t xml:space="preserve"> 2</w:t>
                                  </w:r>
                                </w:p>
                              </w:tc>
                              <w:tc>
                                <w:tcPr>
                                  <w:tcW w:w="505" w:type="dxa"/>
                                </w:tcPr>
                                <w:p w:rsidR="00092A0A" w:rsidRDefault="00092A0A" w:rsidP="002A5C0E">
                                  <w:pPr>
                                    <w:pStyle w:val="TableParagraph"/>
                                    <w:spacing w:line="142" w:lineRule="exact"/>
                                    <w:ind w:left="90" w:right="11"/>
                                    <w:jc w:val="center"/>
                                    <w:rPr>
                                      <w:rFonts w:ascii="Arial"/>
                                      <w:sz w:val="13"/>
                                    </w:rPr>
                                  </w:pPr>
                                  <w:r>
                                    <w:rPr>
                                      <w:rFonts w:ascii="Arial"/>
                                      <w:w w:val="99"/>
                                      <w:sz w:val="13"/>
                                    </w:rPr>
                                    <w:t>2</w:t>
                                  </w:r>
                                </w:p>
                              </w:tc>
                              <w:tc>
                                <w:tcPr>
                                  <w:tcW w:w="665" w:type="dxa"/>
                                </w:tcPr>
                                <w:p w:rsidR="00092A0A" w:rsidRDefault="00092A0A" w:rsidP="002A5C0E">
                                  <w:pPr>
                                    <w:pStyle w:val="TableParagraph"/>
                                    <w:spacing w:line="142" w:lineRule="exact"/>
                                    <w:ind w:left="90" w:right="44"/>
                                    <w:jc w:val="right"/>
                                    <w:rPr>
                                      <w:rFonts w:ascii="Arial"/>
                                      <w:sz w:val="13"/>
                                    </w:rPr>
                                  </w:pPr>
                                  <w:r>
                                    <w:rPr>
                                      <w:rFonts w:ascii="Arial"/>
                                      <w:w w:val="99"/>
                                      <w:sz w:val="13"/>
                                    </w:rPr>
                                    <w:t>2</w:t>
                                  </w:r>
                                </w:p>
                              </w:tc>
                            </w:tr>
                          </w:tbl>
                          <w:p w:rsidR="00092A0A" w:rsidRDefault="00092A0A" w:rsidP="002A5C0E">
                            <w:pPr>
                              <w:pStyle w:val="BodyText"/>
                              <w:ind w:left="9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D22A3" id="Text Box 230" o:spid="_x0000_s1080" type="#_x0000_t202" style="position:absolute;margin-left:99pt;margin-top:2.45pt;width:307.65pt;height:20.9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" filled="f" stroked="f">
                <v:textbox inset="0,0,0,0">
                  <w:txbxContent>
                    <w:tbl>
                      <w:tblPr>
                        <w:tblW w:w="0" w:type="auto"/>
                        <w:tblInd w:w="-90" w:type="dxa"/>
                        <w:tblLayout w:type="fixed"/>
                        <w:tblCellMar>
                          <w:left w:w="0" w:type="dxa"/>
                          <w:right w:w="0" w:type="dxa"/>
                        </w:tblCellMar>
                        <w:tblLook w:val="01E0" w:firstRow="1" w:lastRow="1" w:firstColumn="1" w:lastColumn="1" w:noHBand="0" w:noVBand="0"/>
                      </w:tblPr>
                      <w:tblGrid>
                        <w:gridCol w:w="810"/>
                        <w:gridCol w:w="720"/>
                        <w:gridCol w:w="810"/>
                        <w:gridCol w:w="810"/>
                        <w:gridCol w:w="810"/>
                        <w:gridCol w:w="630"/>
                        <w:gridCol w:w="505"/>
                        <w:gridCol w:w="665"/>
                      </w:tblGrid>
                      <w:tr w:rsidR="00092A0A" w:rsidTr="002A5C0E">
                        <w:trPr>
                          <w:trHeight w:val="203"/>
                        </w:trPr>
                        <w:tc>
                          <w:tcPr>
                            <w:tcW w:w="810" w:type="dxa"/>
                          </w:tcPr>
                          <w:p w:rsidR="00092A0A" w:rsidRDefault="00092A0A" w:rsidP="002A5C0E">
                            <w:pPr>
                              <w:pStyle w:val="TableParagraph"/>
                              <w:spacing w:before="45" w:line="138" w:lineRule="exact"/>
                              <w:ind w:left="90"/>
                              <w:rPr>
                                <w:rFonts w:ascii="Arial"/>
                                <w:sz w:val="13"/>
                              </w:rPr>
                            </w:pPr>
                            <w:r>
                              <w:rPr>
                                <w:rFonts w:ascii="Arial"/>
                                <w:sz w:val="15"/>
                              </w:rPr>
                              <w:t xml:space="preserve">Sunitinib </w:t>
                            </w:r>
                          </w:p>
                        </w:tc>
                        <w:tc>
                          <w:tcPr>
                            <w:tcW w:w="720" w:type="dxa"/>
                            <w:tcBorders>
                              <w:left w:val="nil"/>
                            </w:tcBorders>
                          </w:tcPr>
                          <w:p w:rsidR="00092A0A" w:rsidRDefault="00092A0A" w:rsidP="002A5C0E">
                            <w:pPr>
                              <w:pStyle w:val="TableParagraph"/>
                              <w:spacing w:before="45" w:line="138" w:lineRule="exact"/>
                              <w:ind w:left="90"/>
                              <w:rPr>
                                <w:rFonts w:ascii="Arial"/>
                                <w:sz w:val="13"/>
                              </w:rPr>
                            </w:pPr>
                            <w:r>
                              <w:rPr>
                                <w:rFonts w:ascii="Arial"/>
                                <w:position w:val="1"/>
                                <w:sz w:val="13"/>
                              </w:rPr>
                              <w:t>86</w:t>
                            </w:r>
                          </w:p>
                        </w:tc>
                        <w:tc>
                          <w:tcPr>
                            <w:tcW w:w="810" w:type="dxa"/>
                          </w:tcPr>
                          <w:p w:rsidR="00092A0A" w:rsidRDefault="00092A0A" w:rsidP="002A5C0E">
                            <w:pPr>
                              <w:pStyle w:val="TableParagraph"/>
                              <w:spacing w:before="58" w:line="125" w:lineRule="exact"/>
                              <w:ind w:left="90" w:right="295"/>
                              <w:rPr>
                                <w:rFonts w:ascii="Arial"/>
                                <w:sz w:val="13"/>
                              </w:rPr>
                            </w:pPr>
                            <w:r>
                              <w:rPr>
                                <w:rFonts w:ascii="Arial"/>
                                <w:sz w:val="13"/>
                              </w:rPr>
                              <w:t>52</w:t>
                            </w:r>
                          </w:p>
                        </w:tc>
                        <w:tc>
                          <w:tcPr>
                            <w:tcW w:w="810" w:type="dxa"/>
                          </w:tcPr>
                          <w:p w:rsidR="00092A0A" w:rsidRDefault="00092A0A" w:rsidP="002A5C0E">
                            <w:pPr>
                              <w:pStyle w:val="TableParagraph"/>
                              <w:spacing w:before="58" w:line="125" w:lineRule="exact"/>
                              <w:ind w:left="90" w:right="294"/>
                              <w:rPr>
                                <w:rFonts w:ascii="Arial"/>
                                <w:sz w:val="13"/>
                              </w:rPr>
                            </w:pPr>
                            <w:r>
                              <w:rPr>
                                <w:rFonts w:ascii="Arial"/>
                                <w:sz w:val="13"/>
                              </w:rPr>
                              <w:t>34</w:t>
                            </w:r>
                          </w:p>
                        </w:tc>
                        <w:tc>
                          <w:tcPr>
                            <w:tcW w:w="810" w:type="dxa"/>
                          </w:tcPr>
                          <w:p w:rsidR="00092A0A" w:rsidRDefault="00092A0A" w:rsidP="002A5C0E">
                            <w:pPr>
                              <w:pStyle w:val="TableParagraph"/>
                              <w:spacing w:before="58" w:line="125" w:lineRule="exact"/>
                              <w:ind w:left="90"/>
                              <w:rPr>
                                <w:rFonts w:ascii="Arial"/>
                                <w:sz w:val="13"/>
                              </w:rPr>
                            </w:pPr>
                            <w:r>
                              <w:rPr>
                                <w:rFonts w:ascii="Arial"/>
                                <w:sz w:val="13"/>
                              </w:rPr>
                              <w:t>20</w:t>
                            </w:r>
                          </w:p>
                        </w:tc>
                        <w:tc>
                          <w:tcPr>
                            <w:tcW w:w="630" w:type="dxa"/>
                          </w:tcPr>
                          <w:p w:rsidR="00092A0A" w:rsidRDefault="00092A0A" w:rsidP="002A5C0E">
                            <w:pPr>
                              <w:pStyle w:val="TableParagraph"/>
                              <w:spacing w:before="58" w:line="125" w:lineRule="exact"/>
                              <w:ind w:left="90"/>
                              <w:rPr>
                                <w:rFonts w:ascii="Arial"/>
                                <w:sz w:val="13"/>
                              </w:rPr>
                            </w:pPr>
                            <w:r>
                              <w:rPr>
                                <w:rFonts w:ascii="Arial"/>
                                <w:sz w:val="13"/>
                              </w:rPr>
                              <w:t>15</w:t>
                            </w:r>
                          </w:p>
                        </w:tc>
                        <w:tc>
                          <w:tcPr>
                            <w:tcW w:w="505" w:type="dxa"/>
                          </w:tcPr>
                          <w:p w:rsidR="00092A0A" w:rsidRDefault="00092A0A" w:rsidP="002A5C0E">
                            <w:pPr>
                              <w:pStyle w:val="TableParagraph"/>
                              <w:spacing w:before="58" w:line="125" w:lineRule="exact"/>
                              <w:ind w:left="90" w:right="11"/>
                              <w:jc w:val="center"/>
                              <w:rPr>
                                <w:rFonts w:ascii="Arial"/>
                                <w:sz w:val="13"/>
                              </w:rPr>
                            </w:pPr>
                            <w:r>
                              <w:rPr>
                                <w:rFonts w:ascii="Arial"/>
                                <w:w w:val="99"/>
                                <w:sz w:val="13"/>
                              </w:rPr>
                              <w:t>4</w:t>
                            </w:r>
                          </w:p>
                        </w:tc>
                        <w:tc>
                          <w:tcPr>
                            <w:tcW w:w="665" w:type="dxa"/>
                          </w:tcPr>
                          <w:p w:rsidR="00092A0A" w:rsidRDefault="00092A0A" w:rsidP="002A5C0E">
                            <w:pPr>
                              <w:pStyle w:val="TableParagraph"/>
                              <w:spacing w:before="58" w:line="125" w:lineRule="exact"/>
                              <w:ind w:left="90" w:right="44"/>
                              <w:jc w:val="right"/>
                              <w:rPr>
                                <w:rFonts w:ascii="Arial"/>
                                <w:sz w:val="13"/>
                              </w:rPr>
                            </w:pPr>
                            <w:r>
                              <w:rPr>
                                <w:rFonts w:ascii="Arial"/>
                                <w:w w:val="99"/>
                                <w:sz w:val="13"/>
                              </w:rPr>
                              <w:t>2</w:t>
                            </w:r>
                          </w:p>
                        </w:tc>
                      </w:tr>
                      <w:tr w:rsidR="00092A0A" w:rsidTr="002A5C0E">
                        <w:trPr>
                          <w:trHeight w:val="203"/>
                        </w:trPr>
                        <w:tc>
                          <w:tcPr>
                            <w:tcW w:w="810" w:type="dxa"/>
                          </w:tcPr>
                          <w:p w:rsidR="00092A0A" w:rsidRDefault="00092A0A" w:rsidP="002A5C0E">
                            <w:pPr>
                              <w:pStyle w:val="TableParagraph"/>
                              <w:spacing w:line="153" w:lineRule="exact"/>
                              <w:ind w:left="90"/>
                              <w:rPr>
                                <w:rFonts w:ascii="Arial"/>
                                <w:sz w:val="13"/>
                              </w:rPr>
                            </w:pPr>
                            <w:r>
                              <w:rPr>
                                <w:rFonts w:ascii="Arial"/>
                                <w:sz w:val="15"/>
                              </w:rPr>
                              <w:t>Placebo</w:t>
                            </w:r>
                          </w:p>
                        </w:tc>
                        <w:tc>
                          <w:tcPr>
                            <w:tcW w:w="720" w:type="dxa"/>
                            <w:tcBorders>
                              <w:left w:val="nil"/>
                            </w:tcBorders>
                          </w:tcPr>
                          <w:p w:rsidR="00092A0A" w:rsidRDefault="00092A0A" w:rsidP="002A5C0E">
                            <w:pPr>
                              <w:pStyle w:val="TableParagraph"/>
                              <w:spacing w:line="153" w:lineRule="exact"/>
                              <w:ind w:left="90"/>
                              <w:rPr>
                                <w:rFonts w:ascii="Arial"/>
                                <w:sz w:val="13"/>
                              </w:rPr>
                            </w:pPr>
                            <w:r>
                              <w:rPr>
                                <w:rFonts w:ascii="Arial"/>
                                <w:position w:val="1"/>
                                <w:sz w:val="13"/>
                              </w:rPr>
                              <w:t>85</w:t>
                            </w:r>
                          </w:p>
                        </w:tc>
                        <w:tc>
                          <w:tcPr>
                            <w:tcW w:w="810" w:type="dxa"/>
                          </w:tcPr>
                          <w:p w:rsidR="00092A0A" w:rsidRDefault="00092A0A" w:rsidP="002A5C0E">
                            <w:pPr>
                              <w:pStyle w:val="TableParagraph"/>
                              <w:spacing w:line="142" w:lineRule="exact"/>
                              <w:ind w:left="90" w:right="295"/>
                              <w:rPr>
                                <w:rFonts w:ascii="Arial"/>
                                <w:sz w:val="13"/>
                              </w:rPr>
                            </w:pPr>
                            <w:r>
                              <w:rPr>
                                <w:rFonts w:ascii="Arial"/>
                                <w:sz w:val="13"/>
                              </w:rPr>
                              <w:t>42</w:t>
                            </w:r>
                          </w:p>
                        </w:tc>
                        <w:tc>
                          <w:tcPr>
                            <w:tcW w:w="810" w:type="dxa"/>
                          </w:tcPr>
                          <w:p w:rsidR="00092A0A" w:rsidRDefault="00092A0A" w:rsidP="002A5C0E">
                            <w:pPr>
                              <w:pStyle w:val="TableParagraph"/>
                              <w:spacing w:line="142" w:lineRule="exact"/>
                              <w:ind w:left="90" w:right="294"/>
                              <w:rPr>
                                <w:rFonts w:ascii="Arial"/>
                                <w:sz w:val="13"/>
                              </w:rPr>
                            </w:pPr>
                            <w:r>
                              <w:rPr>
                                <w:rFonts w:ascii="Arial"/>
                                <w:sz w:val="13"/>
                              </w:rPr>
                              <w:t>20</w:t>
                            </w:r>
                          </w:p>
                        </w:tc>
                        <w:tc>
                          <w:tcPr>
                            <w:tcW w:w="810" w:type="dxa"/>
                          </w:tcPr>
                          <w:p w:rsidR="00092A0A" w:rsidRDefault="00092A0A" w:rsidP="002A5C0E">
                            <w:pPr>
                              <w:pStyle w:val="TableParagraph"/>
                              <w:spacing w:line="142" w:lineRule="exact"/>
                              <w:ind w:left="90"/>
                              <w:rPr>
                                <w:rFonts w:ascii="Arial"/>
                                <w:sz w:val="13"/>
                              </w:rPr>
                            </w:pPr>
                            <w:r>
                              <w:rPr>
                                <w:rFonts w:ascii="Arial"/>
                                <w:w w:val="99"/>
                                <w:sz w:val="13"/>
                              </w:rPr>
                              <w:t xml:space="preserve"> 9</w:t>
                            </w:r>
                          </w:p>
                        </w:tc>
                        <w:tc>
                          <w:tcPr>
                            <w:tcW w:w="630" w:type="dxa"/>
                          </w:tcPr>
                          <w:p w:rsidR="00092A0A" w:rsidRDefault="00092A0A" w:rsidP="002A5C0E">
                            <w:pPr>
                              <w:pStyle w:val="TableParagraph"/>
                              <w:spacing w:line="142" w:lineRule="exact"/>
                              <w:ind w:left="90"/>
                              <w:rPr>
                                <w:rFonts w:ascii="Arial"/>
                                <w:sz w:val="13"/>
                              </w:rPr>
                            </w:pPr>
                            <w:r>
                              <w:rPr>
                                <w:rFonts w:ascii="Arial"/>
                                <w:w w:val="99"/>
                                <w:sz w:val="13"/>
                              </w:rPr>
                              <w:t xml:space="preserve"> 2</w:t>
                            </w:r>
                          </w:p>
                        </w:tc>
                        <w:tc>
                          <w:tcPr>
                            <w:tcW w:w="505" w:type="dxa"/>
                          </w:tcPr>
                          <w:p w:rsidR="00092A0A" w:rsidRDefault="00092A0A" w:rsidP="002A5C0E">
                            <w:pPr>
                              <w:pStyle w:val="TableParagraph"/>
                              <w:spacing w:line="142" w:lineRule="exact"/>
                              <w:ind w:left="90" w:right="11"/>
                              <w:jc w:val="center"/>
                              <w:rPr>
                                <w:rFonts w:ascii="Arial"/>
                                <w:sz w:val="13"/>
                              </w:rPr>
                            </w:pPr>
                            <w:r>
                              <w:rPr>
                                <w:rFonts w:ascii="Arial"/>
                                <w:w w:val="99"/>
                                <w:sz w:val="13"/>
                              </w:rPr>
                              <w:t>2</w:t>
                            </w:r>
                          </w:p>
                        </w:tc>
                        <w:tc>
                          <w:tcPr>
                            <w:tcW w:w="665" w:type="dxa"/>
                          </w:tcPr>
                          <w:p w:rsidR="00092A0A" w:rsidRDefault="00092A0A" w:rsidP="002A5C0E">
                            <w:pPr>
                              <w:pStyle w:val="TableParagraph"/>
                              <w:spacing w:line="142" w:lineRule="exact"/>
                              <w:ind w:left="90" w:right="44"/>
                              <w:jc w:val="right"/>
                              <w:rPr>
                                <w:rFonts w:ascii="Arial"/>
                                <w:sz w:val="13"/>
                              </w:rPr>
                            </w:pPr>
                            <w:r>
                              <w:rPr>
                                <w:rFonts w:ascii="Arial"/>
                                <w:w w:val="99"/>
                                <w:sz w:val="13"/>
                              </w:rPr>
                              <w:t>2</w:t>
                            </w:r>
                          </w:p>
                        </w:tc>
                      </w:tr>
                    </w:tbl>
                    <w:p w:rsidR="00092A0A" w:rsidRDefault="00092A0A" w:rsidP="002A5C0E">
                      <w:pPr>
                        <w:pStyle w:val="BodyText"/>
                        <w:ind w:left="90"/>
                      </w:pPr>
                    </w:p>
                  </w:txbxContent>
                </v:textbox>
                <w10:wrap anchorx="page"/>
              </v:shape>
            </w:pict>
          </mc:Fallback>
        </mc:AlternateContent>
      </w:r>
    </w:p>
    <w:p w:rsidR="00457196" w:rsidRDefault="00457196" w:rsidP="00092A0A">
      <w:pPr>
        <w:pStyle w:val="BodyText"/>
        <w:ind w:right="20"/>
        <w:rPr>
          <w:rFonts w:ascii="Arial"/>
          <w:sz w:val="16"/>
        </w:rPr>
      </w:pPr>
    </w:p>
    <w:p w:rsidR="00457196" w:rsidRDefault="00457196" w:rsidP="00092A0A">
      <w:pPr>
        <w:pStyle w:val="BodyText"/>
        <w:spacing w:before="9"/>
        <w:ind w:right="20"/>
        <w:rPr>
          <w:rFonts w:ascii="Arial"/>
          <w:sz w:val="21"/>
        </w:rPr>
      </w:pPr>
    </w:p>
    <w:p w:rsidR="00457196" w:rsidRDefault="00346252" w:rsidP="00092A0A">
      <w:pPr>
        <w:ind w:left="238" w:right="20"/>
        <w:rPr>
          <w:sz w:val="20"/>
        </w:rPr>
      </w:pPr>
      <w:r>
        <w:rPr>
          <w:sz w:val="20"/>
        </w:rPr>
        <w:t>Abbreviations: CI=confidence interval; N=number of patients; PFS=progression-free survival; pNET=pancreatic neuroendocrine tumours.</w:t>
      </w:r>
    </w:p>
    <w:p w:rsidR="00457196" w:rsidRDefault="00457196" w:rsidP="00092A0A">
      <w:pPr>
        <w:pStyle w:val="BodyText"/>
        <w:spacing w:before="1"/>
        <w:ind w:right="20"/>
      </w:pPr>
    </w:p>
    <w:p w:rsidR="00457196" w:rsidRDefault="00346252" w:rsidP="00092A0A">
      <w:pPr>
        <w:pStyle w:val="BodyText"/>
        <w:ind w:left="238" w:right="20"/>
        <w:jc w:val="both"/>
      </w:pPr>
      <w:r>
        <w:t>OS data were not mature at the time of the study closure [20.6 months (95% CI: 20.6, NR) for the sunitinib arm compared to NR (95% CI: 15.5, NR) for the placebo arm, hazard ratio:</w:t>
      </w:r>
      <w:r w:rsidR="00DC32D3">
        <w:t xml:space="preserve"> </w:t>
      </w:r>
      <w:r>
        <w:t>0.409 (95% CI: 0.187, 0.894), p-value=0.0204]. There were 9 deaths in the sunitinib arm and 21 deaths in the placebo arm.</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Upon disease progression, patients were unblinded and placebo patients were offered access to open-label sunitinib in a separate extension study. As a result of the early study closure, remaining</w:t>
      </w:r>
      <w:r w:rsidR="002A5C0E">
        <w:t xml:space="preserve"> </w:t>
      </w:r>
      <w:r>
        <w:t>patients were unblinded and offered access to open-label sunitinib in an extension study. A total of 59 out of 85 patients (69.4%) from the placebo arm crossed over to open-label sunitinib following disease progression or</w:t>
      </w:r>
      <w:r w:rsidR="002A5C0E">
        <w:t xml:space="preserve"> </w:t>
      </w:r>
      <w:r>
        <w:t>unblinding at study closure. OS observed after 5 years of follow-up in the extension study showed a hazard ratio of 0.730 (95% CI: 0.504, 1.057).</w:t>
      </w:r>
    </w:p>
    <w:p w:rsidR="00457196" w:rsidRDefault="00457196" w:rsidP="00092A0A">
      <w:pPr>
        <w:pStyle w:val="BodyText"/>
        <w:spacing w:before="10"/>
        <w:ind w:right="20"/>
        <w:jc w:val="both"/>
        <w:rPr>
          <w:sz w:val="21"/>
        </w:rPr>
      </w:pPr>
    </w:p>
    <w:p w:rsidR="00457196" w:rsidRDefault="00346252" w:rsidP="00092A0A">
      <w:pPr>
        <w:pStyle w:val="BodyText"/>
        <w:ind w:left="238" w:right="20"/>
        <w:jc w:val="both"/>
      </w:pPr>
      <w:r>
        <w:t>Results from the European Organisation for Research and Treatment of Cancer Quality of Life Questionnaire (EORTC QLQ-C30) showed that the overall global health-related quality of life and the 5 functioning domains (physical, role, cognitive, emotional, and social) were maintained for patients on sunitinib treatment as compared to placebo with limited adverse symptomatic effects.</w:t>
      </w:r>
    </w:p>
    <w:p w:rsidR="00457196" w:rsidRDefault="00457196" w:rsidP="00092A0A">
      <w:pPr>
        <w:pStyle w:val="BodyText"/>
        <w:ind w:right="20"/>
        <w:jc w:val="both"/>
      </w:pPr>
    </w:p>
    <w:p w:rsidR="00457196" w:rsidRDefault="00346252" w:rsidP="00092A0A">
      <w:pPr>
        <w:pStyle w:val="BodyText"/>
        <w:ind w:left="238" w:right="20"/>
        <w:jc w:val="both"/>
      </w:pPr>
      <w:r>
        <w:t>A Phase 4 multinational, multi-centre, single-arm, open-label study evaluating the efficacy and safety of sunitinib was conducted in patients with progressive, advanced/metastatic, well-differentiated, unresectable pNET.</w:t>
      </w:r>
    </w:p>
    <w:p w:rsidR="00457196" w:rsidRDefault="00457196" w:rsidP="00092A0A">
      <w:pPr>
        <w:pStyle w:val="BodyText"/>
        <w:spacing w:before="1"/>
        <w:ind w:right="20"/>
        <w:jc w:val="both"/>
      </w:pPr>
    </w:p>
    <w:p w:rsidR="00457196" w:rsidRDefault="00346252" w:rsidP="00092A0A">
      <w:pPr>
        <w:pStyle w:val="BodyText"/>
        <w:ind w:left="238" w:right="20"/>
        <w:jc w:val="both"/>
      </w:pPr>
      <w:r>
        <w:t>One hundred six patients (61 patients in the treatment-naïve cohort and 45 patients in the later-line cohort) received treatment with sunitinib orally at 37.5 mg once a day on a continuous daily dosing (CDD) schedule.</w:t>
      </w:r>
    </w:p>
    <w:p w:rsidR="00457196" w:rsidRDefault="00457196" w:rsidP="00092A0A">
      <w:pPr>
        <w:pStyle w:val="BodyText"/>
        <w:spacing w:before="1"/>
        <w:ind w:right="20"/>
        <w:jc w:val="both"/>
      </w:pPr>
    </w:p>
    <w:p w:rsidR="00457196" w:rsidRDefault="00346252" w:rsidP="00092A0A">
      <w:pPr>
        <w:pStyle w:val="BodyText"/>
        <w:ind w:left="238" w:right="20"/>
        <w:jc w:val="both"/>
      </w:pPr>
      <w:r>
        <w:t>The investigator-assessed median PFS was 13.2 months, both in the overall population (95% CI: 10.9, 16.7) and in the treatment-naïve cohort (95% CI: 7.4, 16.8).</w:t>
      </w:r>
    </w:p>
    <w:p w:rsidR="00457196" w:rsidRDefault="00457196" w:rsidP="00092A0A">
      <w:pPr>
        <w:pStyle w:val="BodyText"/>
        <w:ind w:right="20"/>
        <w:jc w:val="both"/>
      </w:pPr>
    </w:p>
    <w:p w:rsidR="00457196" w:rsidRDefault="00346252" w:rsidP="00092A0A">
      <w:pPr>
        <w:pStyle w:val="BodyText"/>
        <w:spacing w:line="252" w:lineRule="exact"/>
        <w:ind w:left="238" w:right="20"/>
        <w:jc w:val="both"/>
      </w:pPr>
      <w:r>
        <w:rPr>
          <w:u w:val="single"/>
        </w:rPr>
        <w:t>Paediatric population</w:t>
      </w:r>
    </w:p>
    <w:p w:rsidR="00457196" w:rsidRDefault="00346252" w:rsidP="00092A0A">
      <w:pPr>
        <w:pStyle w:val="BodyText"/>
        <w:spacing w:line="252" w:lineRule="exact"/>
        <w:ind w:left="238" w:right="20"/>
        <w:jc w:val="both"/>
      </w:pPr>
      <w:r>
        <w:t>Experience on the use of sunitinib in paediatric patients is limited (see section 4.2).</w:t>
      </w:r>
    </w:p>
    <w:p w:rsidR="00457196" w:rsidRDefault="00457196" w:rsidP="00092A0A">
      <w:pPr>
        <w:spacing w:line="252" w:lineRule="exact"/>
        <w:ind w:right="20"/>
        <w:jc w:val="both"/>
        <w:sectPr w:rsidR="00457196">
          <w:type w:val="continuous"/>
          <w:pgSz w:w="11910" w:h="16850"/>
          <w:pgMar w:top="1600" w:right="1080" w:bottom="820" w:left="1180" w:header="720" w:footer="720" w:gutter="0"/>
          <w:cols w:space="720"/>
        </w:sectPr>
      </w:pPr>
    </w:p>
    <w:p w:rsidR="00457196" w:rsidRDefault="00346252" w:rsidP="00DC32D3">
      <w:pPr>
        <w:pStyle w:val="BodyText"/>
        <w:spacing w:before="70"/>
        <w:ind w:left="238" w:right="20"/>
        <w:jc w:val="both"/>
      </w:pPr>
      <w:r>
        <w:t>A Phase 1 dose-escalation study of oral sunitinib was conducted in 35 patients comprised of 30 paediatric patients (aged 3 years to 17 years) and 5 young adult patients (aged: 18 years to</w:t>
      </w:r>
      <w:r w:rsidR="00DC32D3">
        <w:t xml:space="preserve"> </w:t>
      </w:r>
      <w:r>
        <w:t>21 years), with refractory solid tumours, the majority of whom were enrolled with a primary diagnosis of brain tumour. Dose-limiting cardiotoxicity was observed in the first part of the study which was therefore amended to exclude patients with previous exposure to potentially cardiotoxic therapies (including anthracyclines) or cardiac radiation. In the second part of the study, including patients with prior anticancer therapy but without risk factors for cardiac toxicity, sunitinib was generally tolerable and clinically manageable at the dose of 15 mg/m</w:t>
      </w:r>
      <w:r>
        <w:rPr>
          <w:vertAlign w:val="superscript"/>
        </w:rPr>
        <w:t>2</w:t>
      </w:r>
      <w:r>
        <w:t xml:space="preserve"> daily (MTD) on Schedule 4/2. None of the subjects achieved complete response or partial response. Stable disease was observed in 6 patients (17%). One patient with GIST was enrolled at the 15 mg/m</w:t>
      </w:r>
      <w:r>
        <w:rPr>
          <w:vertAlign w:val="superscript"/>
        </w:rPr>
        <w:t>2</w:t>
      </w:r>
      <w:r>
        <w:t xml:space="preserve"> dose level with no evidence of benefit. The observed adverse drug reactions were similar overall to those seen in adults (see section 4.8).</w:t>
      </w:r>
    </w:p>
    <w:p w:rsidR="00457196" w:rsidRDefault="00457196" w:rsidP="00092A0A">
      <w:pPr>
        <w:pStyle w:val="BodyText"/>
        <w:ind w:right="20"/>
        <w:jc w:val="both"/>
      </w:pPr>
    </w:p>
    <w:p w:rsidR="00457196" w:rsidRDefault="00346252" w:rsidP="00DC32D3">
      <w:pPr>
        <w:pStyle w:val="BodyText"/>
        <w:ind w:left="238" w:right="20"/>
        <w:jc w:val="both"/>
      </w:pPr>
      <w:r>
        <w:t>A Phase 2 open-label study was conducted in 29 patients comprised of 27 paediatric patients (aged</w:t>
      </w:r>
      <w:r w:rsidR="00DC32D3">
        <w:t xml:space="preserve"> </w:t>
      </w:r>
      <w:r>
        <w:t>3 years to 16 years) and 2 young adult patients (aged 18 years to 19 years) with HGG or ependymoma. The study was closed at the time of planned interim analysis due to the lack of disease control. Median PFS was 2.3 months in the HGG group and 2.7 months in the ependymoma group. Median overall OS was 5.1 months in the HGG group and 12.3 months in the ependymoma group. The most common (≥10%) reported treatment-related adverse events in patients in both groups combined were neutrophil count decreased (6 patients [20.7%]) and haemorrhage intracranial (3 patients [10.3%]) (see</w:t>
      </w:r>
      <w:r w:rsidR="00DC32D3">
        <w:t xml:space="preserve"> </w:t>
      </w:r>
      <w:r>
        <w:t>section 4.8).</w:t>
      </w:r>
    </w:p>
    <w:p w:rsidR="00457196" w:rsidRDefault="00457196" w:rsidP="00092A0A">
      <w:pPr>
        <w:pStyle w:val="BodyText"/>
        <w:ind w:right="20"/>
        <w:jc w:val="both"/>
      </w:pPr>
    </w:p>
    <w:p w:rsidR="00457196" w:rsidRDefault="00346252" w:rsidP="00092A0A">
      <w:pPr>
        <w:pStyle w:val="BodyText"/>
        <w:ind w:left="238" w:right="20"/>
        <w:jc w:val="both"/>
      </w:pPr>
      <w:r>
        <w:t>Evidence from a Phase 1/2 study of oral sunitinib conducted in 6 paediatric patients with GIST aged 13 years to 16 years who received sunitinib on Schedule 4/2, at doses ranging between 15 mg/m</w:t>
      </w:r>
      <w:r>
        <w:rPr>
          <w:vertAlign w:val="superscript"/>
        </w:rPr>
        <w:t>2</w:t>
      </w:r>
      <w:r>
        <w:t xml:space="preserve"> daily and 30 mg/m</w:t>
      </w:r>
      <w:r>
        <w:rPr>
          <w:vertAlign w:val="superscript"/>
        </w:rPr>
        <w:t>2</w:t>
      </w:r>
      <w:r>
        <w:t xml:space="preserve"> daily, and available published data (20 paediatric or young adult patients with GIST) indicated that sunitinib treatment resulted in disease stabilization in 18 of 26 (69.2%) patients, either after imatinib failure or intolerance (16 patients with stable disease out of 21), or de novo/after surgery (2 patients with stable disease out of 5). In the Phase 1/2 study, stable disease and disease progression was observed in 3 out of 6 patients each (1 patient received neo adjuvant and 1 patient received adjuvant imatinib, respectively). In the same study, 4 out of 6 patients (66.7%) experienced Grade 3-4 treatment-related adverse events (Grade 3 hypophosphataemia, neutropenia, and thrombocytopenia in 1 patient each and a Grade 4 neutropenia in 1 patient). In addition, the publications reported the following Grade 3 adverse drug reactions experienced by 5 patients: fatigue (2), gastrointestinal adverse drug reactions (including diarrhoea) (2), haematologic adverse drug reactions (including anaemia) (2), cholecystitis (1), hyperthyroidism (1), and mucositis</w:t>
      </w:r>
      <w:r>
        <w:rPr>
          <w:spacing w:val="-13"/>
        </w:rPr>
        <w:t xml:space="preserve"> </w:t>
      </w:r>
      <w:r>
        <w:t>(1).</w:t>
      </w:r>
    </w:p>
    <w:p w:rsidR="00457196" w:rsidRDefault="00457196" w:rsidP="00092A0A">
      <w:pPr>
        <w:pStyle w:val="BodyText"/>
        <w:spacing w:before="1"/>
        <w:ind w:right="20"/>
        <w:jc w:val="both"/>
      </w:pPr>
    </w:p>
    <w:p w:rsidR="00457196" w:rsidRDefault="00346252" w:rsidP="00092A0A">
      <w:pPr>
        <w:pStyle w:val="BodyText"/>
        <w:spacing w:before="1"/>
        <w:ind w:left="238" w:right="20"/>
        <w:jc w:val="both"/>
      </w:pPr>
      <w:r>
        <w:t>A population pharmacokinetic (PK) and pharmacokinetic/pharmacodynamic (PK/PD) analysis was conducted with the scope to extrapolate the PK and key safety and efficacy endpoints of sunitinib in paediatric patients with GIST (aged: 6 years to 17 years). This analysis was based on data collected from adults with GIST or solid tumours and from paediatric patients with solid tumours. Based on the modelling analyses, the younger age and lower body size did not appear to affect negatively the safety and efficacy responses to sunitinib plasma exposures. Sunitinib benefit/risk did not appear to be negatively affected by younger age or lower body size, and was mainly driven by its plasma exposure.</w:t>
      </w:r>
    </w:p>
    <w:p w:rsidR="00457196" w:rsidRDefault="00457196" w:rsidP="00092A0A">
      <w:pPr>
        <w:pStyle w:val="BodyText"/>
        <w:spacing w:before="11"/>
        <w:ind w:right="20"/>
        <w:jc w:val="both"/>
        <w:rPr>
          <w:sz w:val="21"/>
        </w:rPr>
      </w:pPr>
    </w:p>
    <w:p w:rsidR="00457196" w:rsidRDefault="00346252" w:rsidP="00092A0A">
      <w:pPr>
        <w:pStyle w:val="BodyText"/>
        <w:ind w:left="238" w:right="20"/>
        <w:jc w:val="both"/>
      </w:pPr>
      <w:r>
        <w:t xml:space="preserve">The EMA has waived the obligation to submit the results of studies with </w:t>
      </w:r>
      <w:r w:rsidR="00DF353E">
        <w:t xml:space="preserve">sunitinib </w:t>
      </w:r>
      <w:r>
        <w:t>in all subsets of the paediatric population for the treatment of kidney or renal pelvis carcinoma (excluding nephroblastoma, nephroblastomatosis, clear cell sarcoma, mesoblastic nephroma, renal medullary carcinoma, and rhabdoid tumour of the kidney) (see section 4.2).</w:t>
      </w:r>
    </w:p>
    <w:p w:rsidR="00457196" w:rsidRDefault="00457196" w:rsidP="00092A0A">
      <w:pPr>
        <w:pStyle w:val="BodyText"/>
        <w:ind w:right="20"/>
        <w:jc w:val="both"/>
      </w:pPr>
    </w:p>
    <w:p w:rsidR="00457196" w:rsidRDefault="00346252" w:rsidP="00092A0A">
      <w:pPr>
        <w:pStyle w:val="BodyText"/>
        <w:ind w:left="238" w:right="20"/>
        <w:jc w:val="both"/>
      </w:pPr>
      <w:r>
        <w:t xml:space="preserve">The EMA has waived the obligation to submit the results of the studies with </w:t>
      </w:r>
      <w:r w:rsidR="00DF353E">
        <w:t xml:space="preserve">sunitinib </w:t>
      </w:r>
      <w:r>
        <w:t>in all subsets of the paediatric population for the treatment of gastroenteropancreatic neuroendocrine tumours (excluding neuroblastoma, neuroganglioblastoma, and phaeochromocytoma) (see section 4.2).</w:t>
      </w:r>
    </w:p>
    <w:p w:rsidR="00457196" w:rsidRDefault="00457196" w:rsidP="00092A0A">
      <w:pPr>
        <w:pStyle w:val="BodyText"/>
        <w:spacing w:before="1"/>
        <w:ind w:right="20"/>
        <w:jc w:val="both"/>
      </w:pPr>
    </w:p>
    <w:p w:rsidR="00457196" w:rsidRDefault="00346252" w:rsidP="00092A0A">
      <w:pPr>
        <w:pStyle w:val="Heading1"/>
        <w:numPr>
          <w:ilvl w:val="1"/>
          <w:numId w:val="11"/>
        </w:numPr>
        <w:tabs>
          <w:tab w:val="left" w:pos="805"/>
          <w:tab w:val="left" w:pos="806"/>
        </w:tabs>
        <w:spacing w:before="0"/>
        <w:ind w:right="20" w:hanging="568"/>
        <w:jc w:val="both"/>
      </w:pPr>
      <w:r>
        <w:t>Pharmacokinetic</w:t>
      </w:r>
      <w:r>
        <w:rPr>
          <w:spacing w:val="-1"/>
        </w:rPr>
        <w:t xml:space="preserve"> </w:t>
      </w:r>
      <w:r>
        <w:t>properties</w:t>
      </w:r>
    </w:p>
    <w:p w:rsidR="00457196" w:rsidRDefault="00457196" w:rsidP="00092A0A">
      <w:pPr>
        <w:pStyle w:val="BodyText"/>
        <w:ind w:right="20"/>
        <w:jc w:val="both"/>
        <w:rPr>
          <w:b/>
        </w:rPr>
      </w:pPr>
    </w:p>
    <w:p w:rsidR="00457196" w:rsidRDefault="00346252" w:rsidP="00092A0A">
      <w:pPr>
        <w:pStyle w:val="BodyText"/>
        <w:spacing w:before="1"/>
        <w:ind w:left="238" w:right="20"/>
        <w:jc w:val="both"/>
      </w:pPr>
      <w:r>
        <w:t>The PK of sunitinib were evaluated in 135 healthy volunteers and 266 patients with solid tumours. The PK were similar in all solid tumours populations tested and in healthy volunteers.</w:t>
      </w:r>
    </w:p>
    <w:p w:rsidR="00457196" w:rsidRDefault="00457196" w:rsidP="00092A0A">
      <w:pPr>
        <w:ind w:right="20"/>
        <w:jc w:val="both"/>
        <w:sectPr w:rsidR="00457196">
          <w:pgSz w:w="11910" w:h="16850"/>
          <w:pgMar w:top="1060" w:right="1080" w:bottom="900" w:left="1180" w:header="0" w:footer="634" w:gutter="0"/>
          <w:cols w:space="720"/>
        </w:sectPr>
      </w:pPr>
    </w:p>
    <w:p w:rsidR="00457196" w:rsidRDefault="00346252" w:rsidP="00092A0A">
      <w:pPr>
        <w:pStyle w:val="BodyText"/>
        <w:spacing w:before="75" w:line="247" w:lineRule="auto"/>
        <w:ind w:left="238" w:right="20"/>
        <w:jc w:val="both"/>
      </w:pPr>
      <w:r>
        <w:t xml:space="preserve">In the dosing ranges of 25 to 100 mg, the area under the plasma concentration-time curve (AUC) and </w:t>
      </w:r>
      <w:r>
        <w:rPr>
          <w:position w:val="2"/>
        </w:rPr>
        <w:t>C</w:t>
      </w:r>
      <w:r>
        <w:rPr>
          <w:sz w:val="14"/>
        </w:rPr>
        <w:t xml:space="preserve">max </w:t>
      </w:r>
      <w:r>
        <w:rPr>
          <w:position w:val="2"/>
        </w:rPr>
        <w:t xml:space="preserve">increase proportionally with dose. With repeated daily administration, sunitinib accumulates 3- to </w:t>
      </w:r>
      <w:r>
        <w:t>4-fold and its primary active metabolite accumulates 7- to 10-fold. Steady-state concentrations of sunitinib and its primary active metabolite are achieved within 10 to 14 days. By Day 14, combined plasma concentrations of sunitinib and its active metabolite are 62.9-101 ng/ml, which are target concentrations predicted from preclinical data to inhibit receptor phosphorylation in vitro and result in tumour stasis/growth reduction in vivo. The primary active metabolite comprises 23% to 37% of the total exposure. No significant changes in the PK of sunitinib or the primary active metabolite are observed with repeated daily administration or with repeated cycles in the dosing schedules tested.</w:t>
      </w:r>
    </w:p>
    <w:p w:rsidR="00457196" w:rsidRDefault="00457196" w:rsidP="00092A0A">
      <w:pPr>
        <w:pStyle w:val="BodyText"/>
        <w:spacing w:before="1"/>
        <w:ind w:right="20"/>
        <w:jc w:val="both"/>
        <w:rPr>
          <w:sz w:val="21"/>
        </w:rPr>
      </w:pPr>
    </w:p>
    <w:p w:rsidR="00457196" w:rsidRDefault="00346252" w:rsidP="00092A0A">
      <w:pPr>
        <w:pStyle w:val="BodyText"/>
        <w:spacing w:line="252" w:lineRule="exact"/>
        <w:ind w:left="238" w:right="20"/>
        <w:jc w:val="both"/>
      </w:pPr>
      <w:r>
        <w:rPr>
          <w:u w:val="single"/>
        </w:rPr>
        <w:t>Absorption</w:t>
      </w:r>
    </w:p>
    <w:p w:rsidR="00457196" w:rsidRDefault="00346252" w:rsidP="00092A0A">
      <w:pPr>
        <w:pStyle w:val="BodyText"/>
        <w:ind w:left="238" w:right="20"/>
        <w:jc w:val="both"/>
      </w:pPr>
      <w:r>
        <w:rPr>
          <w:position w:val="2"/>
        </w:rPr>
        <w:t>After oral administration of sunitinib, C</w:t>
      </w:r>
      <w:r>
        <w:rPr>
          <w:sz w:val="14"/>
        </w:rPr>
        <w:t xml:space="preserve">max </w:t>
      </w:r>
      <w:r>
        <w:rPr>
          <w:position w:val="2"/>
        </w:rPr>
        <w:t>are generally observed from 6 to 12 hours time to maximum concentration (t</w:t>
      </w:r>
      <w:r>
        <w:rPr>
          <w:sz w:val="14"/>
        </w:rPr>
        <w:t>max</w:t>
      </w:r>
      <w:r>
        <w:rPr>
          <w:position w:val="2"/>
        </w:rPr>
        <w:t>) postadministration.</w:t>
      </w:r>
    </w:p>
    <w:p w:rsidR="002A5C0E" w:rsidRDefault="00346252" w:rsidP="00092A0A">
      <w:pPr>
        <w:pStyle w:val="BodyText"/>
        <w:spacing w:before="3" w:line="500" w:lineRule="atLeast"/>
        <w:ind w:left="238" w:right="20"/>
        <w:jc w:val="both"/>
        <w:rPr>
          <w:i/>
        </w:rPr>
      </w:pPr>
      <w:r>
        <w:t>Food has no effect on the bioavailability of sunitinib</w:t>
      </w:r>
      <w:r>
        <w:rPr>
          <w:i/>
        </w:rPr>
        <w:t xml:space="preserve">. </w:t>
      </w:r>
    </w:p>
    <w:p w:rsidR="00457196" w:rsidRDefault="00346252" w:rsidP="00092A0A">
      <w:pPr>
        <w:pStyle w:val="BodyText"/>
        <w:spacing w:before="3" w:line="500" w:lineRule="atLeast"/>
        <w:ind w:left="238" w:right="20"/>
        <w:jc w:val="both"/>
      </w:pPr>
      <w:r>
        <w:rPr>
          <w:u w:val="single"/>
        </w:rPr>
        <w:t>Distribution</w:t>
      </w:r>
    </w:p>
    <w:p w:rsidR="00457196" w:rsidRDefault="00346252" w:rsidP="00092A0A">
      <w:pPr>
        <w:pStyle w:val="BodyText"/>
        <w:spacing w:before="5"/>
        <w:ind w:left="238" w:right="20"/>
        <w:jc w:val="both"/>
      </w:pPr>
      <w:r>
        <w:rPr>
          <w:i/>
        </w:rPr>
        <w:t>In vitro</w:t>
      </w:r>
      <w:r>
        <w:t xml:space="preserve">, binding of sunitinib and its primary active metabolite to human plasma protein was 95% and 90%, respectively, with no apparent concentration dependence. The apparent volume of distribution </w:t>
      </w:r>
      <w:r>
        <w:rPr>
          <w:position w:val="2"/>
        </w:rPr>
        <w:t>(V</w:t>
      </w:r>
      <w:r>
        <w:rPr>
          <w:sz w:val="14"/>
        </w:rPr>
        <w:t>d</w:t>
      </w:r>
      <w:r>
        <w:rPr>
          <w:position w:val="2"/>
        </w:rPr>
        <w:t>) for sunitinib was large, 2230 L, indicating distribution into the tissues.</w:t>
      </w:r>
    </w:p>
    <w:p w:rsidR="00457196" w:rsidRDefault="00457196" w:rsidP="00092A0A">
      <w:pPr>
        <w:pStyle w:val="BodyText"/>
        <w:spacing w:before="7"/>
        <w:ind w:right="20"/>
        <w:jc w:val="both"/>
        <w:rPr>
          <w:sz w:val="21"/>
        </w:rPr>
      </w:pPr>
    </w:p>
    <w:p w:rsidR="00457196" w:rsidRDefault="00346252" w:rsidP="00092A0A">
      <w:pPr>
        <w:pStyle w:val="BodyText"/>
        <w:ind w:left="238" w:right="20"/>
        <w:jc w:val="both"/>
      </w:pPr>
      <w:r>
        <w:rPr>
          <w:u w:val="single"/>
        </w:rPr>
        <w:t>Metabolic interactions</w:t>
      </w:r>
    </w:p>
    <w:p w:rsidR="00457196" w:rsidRDefault="00346252" w:rsidP="00DC32D3">
      <w:pPr>
        <w:pStyle w:val="BodyText"/>
        <w:spacing w:before="2"/>
        <w:ind w:left="238" w:right="20"/>
        <w:jc w:val="both"/>
      </w:pPr>
      <w:r>
        <w:t xml:space="preserve">The calculated </w:t>
      </w:r>
      <w:r>
        <w:rPr>
          <w:i/>
        </w:rPr>
        <w:t xml:space="preserve">in vitro </w:t>
      </w:r>
      <w:r>
        <w:t>Ki values for all cytochrome P450 (CYP) isoforms tested (CYP1A2, CYP2A6, CYP2B6, CYP2C8, CYP2C9, CYP2C19, CYP2D6, CYP2E1, CYP3A4/5, and CYP4A9/11) indicated</w:t>
      </w:r>
      <w:r w:rsidR="00DC32D3">
        <w:t xml:space="preserve"> </w:t>
      </w:r>
      <w:r>
        <w:t>that sunitinib and its primary active metabolite are unlikely to induce metabolism, to any clinically relevant extent, of other actives substances that may be metabolised by these enzymes.</w:t>
      </w:r>
    </w:p>
    <w:p w:rsidR="00457196" w:rsidRDefault="00457196" w:rsidP="00092A0A">
      <w:pPr>
        <w:pStyle w:val="BodyText"/>
        <w:spacing w:before="5"/>
        <w:ind w:right="20"/>
        <w:jc w:val="both"/>
      </w:pPr>
    </w:p>
    <w:p w:rsidR="00457196" w:rsidRDefault="00346252" w:rsidP="00092A0A">
      <w:pPr>
        <w:pStyle w:val="BodyText"/>
        <w:ind w:left="238" w:right="20"/>
        <w:jc w:val="both"/>
      </w:pPr>
      <w:r>
        <w:rPr>
          <w:u w:val="single"/>
        </w:rPr>
        <w:t>Biotransformation</w:t>
      </w:r>
    </w:p>
    <w:p w:rsidR="00457196" w:rsidRDefault="00346252" w:rsidP="00092A0A">
      <w:pPr>
        <w:pStyle w:val="BodyText"/>
        <w:spacing w:before="6" w:line="247" w:lineRule="auto"/>
        <w:ind w:left="238" w:right="20"/>
        <w:jc w:val="both"/>
      </w:pPr>
      <w:r>
        <w:t>Sunitinib is metabolised primarily by CYP3A4, the CYP isoform which produces its primary active metabolite, desethyl sunitinib, which is then further metabolised by the same isoenzyme.</w:t>
      </w:r>
    </w:p>
    <w:p w:rsidR="00457196" w:rsidRDefault="00457196" w:rsidP="00092A0A">
      <w:pPr>
        <w:pStyle w:val="BodyText"/>
        <w:spacing w:before="5"/>
        <w:ind w:right="20"/>
        <w:jc w:val="both"/>
        <w:rPr>
          <w:sz w:val="21"/>
        </w:rPr>
      </w:pPr>
    </w:p>
    <w:p w:rsidR="00457196" w:rsidRDefault="00346252" w:rsidP="00092A0A">
      <w:pPr>
        <w:pStyle w:val="BodyText"/>
        <w:spacing w:before="1"/>
        <w:ind w:left="238" w:right="20"/>
        <w:jc w:val="both"/>
      </w:pPr>
      <w:r>
        <w:t>Co-administration of sunitinib with potent CYP3A4 inducers or inhibitors should be avoided because the plasma levels of sunitinib may be altered (see sections 4.4 and 4.5).</w:t>
      </w:r>
    </w:p>
    <w:p w:rsidR="00457196" w:rsidRDefault="00457196" w:rsidP="00092A0A">
      <w:pPr>
        <w:pStyle w:val="BodyText"/>
        <w:spacing w:before="4"/>
        <w:ind w:right="20"/>
        <w:jc w:val="both"/>
      </w:pPr>
    </w:p>
    <w:p w:rsidR="00457196" w:rsidRDefault="00346252" w:rsidP="00092A0A">
      <w:pPr>
        <w:pStyle w:val="BodyText"/>
        <w:ind w:left="238" w:right="20"/>
        <w:jc w:val="both"/>
      </w:pPr>
      <w:r>
        <w:rPr>
          <w:u w:val="single"/>
        </w:rPr>
        <w:t>Elimination</w:t>
      </w:r>
    </w:p>
    <w:p w:rsidR="00457196" w:rsidRDefault="00346252" w:rsidP="00092A0A">
      <w:pPr>
        <w:pStyle w:val="BodyText"/>
        <w:spacing w:before="4"/>
        <w:ind w:left="238" w:right="20"/>
        <w:jc w:val="both"/>
      </w:pPr>
      <w:r>
        <w:t>Excretion is primarily via faeces (61%), with renal elimination of unchanged active substance and metabolites accounting for 16% of the administered dose. Sunitinib and its primary active metabolite were the major compounds identified in plasma, urine, and faeces, representing 91.5%, 86.4%, and 73.8% of radioactivity in pooled samples, respectively. Minor metabolites were identified in urine and faeces, but generally were not found in plasma. Total oral clearance (CL/F) was 34-62 L/h. Following oral administration in healthy volunteers, the elimination half-lives of sunitinib and its primary active desethyl metabolite are approximately 40-60 hours and 80-110 hours, respectively.</w:t>
      </w:r>
    </w:p>
    <w:p w:rsidR="00457196" w:rsidRDefault="00457196" w:rsidP="00092A0A">
      <w:pPr>
        <w:pStyle w:val="BodyText"/>
        <w:ind w:right="20"/>
        <w:jc w:val="both"/>
        <w:rPr>
          <w:sz w:val="23"/>
        </w:rPr>
      </w:pPr>
    </w:p>
    <w:p w:rsidR="00457196" w:rsidRDefault="00346252" w:rsidP="00092A0A">
      <w:pPr>
        <w:pStyle w:val="BodyText"/>
        <w:ind w:left="238" w:right="20"/>
        <w:jc w:val="both"/>
      </w:pPr>
      <w:r>
        <w:rPr>
          <w:u w:val="single"/>
        </w:rPr>
        <w:t>Co-administration with medicinal products that are BCRP inhibitors</w:t>
      </w:r>
    </w:p>
    <w:p w:rsidR="00457196" w:rsidRDefault="00346252" w:rsidP="00DC32D3">
      <w:pPr>
        <w:pStyle w:val="BodyText"/>
        <w:spacing w:before="2"/>
        <w:ind w:left="238" w:right="20"/>
        <w:jc w:val="both"/>
      </w:pPr>
      <w:r>
        <w:rPr>
          <w:i/>
        </w:rPr>
        <w:t>In vitro</w:t>
      </w:r>
      <w:r>
        <w:t>, sunitinib is a substrate of the efflux transporter BCRP. In study A6181038 the</w:t>
      </w:r>
      <w:r w:rsidR="00DC32D3">
        <w:t xml:space="preserve"> </w:t>
      </w:r>
      <w:r>
        <w:t xml:space="preserve">co-administration of gefitinib, a BCRP inhibitor, did not result in a clinically relevant effect on the </w:t>
      </w:r>
      <w:r>
        <w:rPr>
          <w:position w:val="2"/>
        </w:rPr>
        <w:t>C</w:t>
      </w:r>
      <w:r>
        <w:rPr>
          <w:sz w:val="14"/>
        </w:rPr>
        <w:t xml:space="preserve">max </w:t>
      </w:r>
      <w:r>
        <w:rPr>
          <w:position w:val="2"/>
        </w:rPr>
        <w:t xml:space="preserve">and AUC for sunitinib or total drug (sunitinib + metabolite) (see section 4.5). This study was a </w:t>
      </w:r>
      <w:r>
        <w:t>multi-centre, open-label, Phase 1/2 study examining the safety/tolerability, the maximum tolerated dose, and the antitumour activity of sunitinib in combination with gefitinib in subjects with MRCC. The PK of gefitinib (250 mg daily) and sunitinib (37.5 mg [Cohort 1, n=4] or 50 mg [Cohort 2, n=7] daily on a 4-weeks on followed by 2 weeks-off schedule) when co-administered was evaluated as a secondary study objective. Changes in sunitinib PK parameters were of no clinical significance and did not indicate any drug-drug interactions; however, considering the relatively low number of subjects (i.e. N=7+4) and the moderate-large interpatient variability in the pharmacokinetic parameters, caution needs to be taken when interpreting the PK drug-drug interaction findings from this study.</w:t>
      </w:r>
    </w:p>
    <w:p w:rsidR="00457196" w:rsidRDefault="00457196" w:rsidP="00092A0A">
      <w:pPr>
        <w:ind w:right="20"/>
        <w:jc w:val="both"/>
        <w:sectPr w:rsidR="00457196">
          <w:pgSz w:w="11910" w:h="16850"/>
          <w:pgMar w:top="1060" w:right="1080" w:bottom="900" w:left="1180" w:header="0" w:footer="634" w:gutter="0"/>
          <w:cols w:space="720"/>
        </w:sectPr>
      </w:pPr>
    </w:p>
    <w:p w:rsidR="00457196" w:rsidRDefault="00346252" w:rsidP="00092A0A">
      <w:pPr>
        <w:pStyle w:val="BodyText"/>
        <w:spacing w:before="77"/>
        <w:ind w:left="238" w:right="20"/>
        <w:jc w:val="both"/>
      </w:pPr>
      <w:r>
        <w:rPr>
          <w:u w:val="single"/>
        </w:rPr>
        <w:t>Special</w:t>
      </w:r>
      <w:r>
        <w:rPr>
          <w:spacing w:val="-2"/>
          <w:u w:val="single"/>
        </w:rPr>
        <w:t xml:space="preserve"> </w:t>
      </w:r>
      <w:r>
        <w:rPr>
          <w:u w:val="single"/>
        </w:rPr>
        <w:t>populations</w:t>
      </w:r>
    </w:p>
    <w:p w:rsidR="00457196" w:rsidRDefault="00457196" w:rsidP="00092A0A">
      <w:pPr>
        <w:pStyle w:val="BodyText"/>
        <w:spacing w:before="8"/>
        <w:ind w:right="20"/>
        <w:jc w:val="both"/>
        <w:rPr>
          <w:sz w:val="14"/>
        </w:rPr>
      </w:pPr>
    </w:p>
    <w:p w:rsidR="00457196" w:rsidRDefault="00346252" w:rsidP="00092A0A">
      <w:pPr>
        <w:spacing w:before="92"/>
        <w:ind w:left="238" w:right="20"/>
        <w:jc w:val="both"/>
        <w:rPr>
          <w:i/>
        </w:rPr>
      </w:pPr>
      <w:r>
        <w:rPr>
          <w:i/>
        </w:rPr>
        <w:t>Hepatic</w:t>
      </w:r>
      <w:r>
        <w:rPr>
          <w:i/>
          <w:spacing w:val="-4"/>
        </w:rPr>
        <w:t xml:space="preserve"> </w:t>
      </w:r>
      <w:r>
        <w:rPr>
          <w:i/>
        </w:rPr>
        <w:t>impairment</w:t>
      </w:r>
    </w:p>
    <w:p w:rsidR="00457196" w:rsidRDefault="00346252" w:rsidP="00092A0A">
      <w:pPr>
        <w:pStyle w:val="BodyText"/>
        <w:spacing w:before="1"/>
        <w:ind w:left="238" w:right="20"/>
        <w:jc w:val="both"/>
      </w:pPr>
      <w:r>
        <w:t xml:space="preserve">Sunitinib and its primary metabolite are mainly metabolised by the liver. Systemic exposures after a single dose of sunitinib were similar in subjects with mild or moderate (Child-Pugh Class A and B) hepatic impairment compared to subjects with normal hepatic function. </w:t>
      </w:r>
      <w:r w:rsidR="00DF353E">
        <w:t>Sunitinib</w:t>
      </w:r>
      <w:r>
        <w:t xml:space="preserve"> was not studied in subjects with severe (Child-Pugh Class C) hepatic impairment.</w:t>
      </w:r>
    </w:p>
    <w:p w:rsidR="00457196" w:rsidRDefault="00457196" w:rsidP="00092A0A">
      <w:pPr>
        <w:pStyle w:val="BodyText"/>
        <w:ind w:right="20"/>
        <w:jc w:val="both"/>
      </w:pPr>
    </w:p>
    <w:p w:rsidR="00457196" w:rsidRDefault="00346252" w:rsidP="00092A0A">
      <w:pPr>
        <w:pStyle w:val="BodyText"/>
        <w:ind w:left="238" w:right="20"/>
        <w:jc w:val="both"/>
      </w:pPr>
      <w:r>
        <w:t>Studies in cancer patients have excluded patients with ALT or AST &gt; 2.5 x ULN (upper limit of normal) or &gt; 5.0 x ULN if due to liver metastasis.</w:t>
      </w:r>
    </w:p>
    <w:p w:rsidR="00457196" w:rsidRDefault="00457196" w:rsidP="00092A0A">
      <w:pPr>
        <w:pStyle w:val="BodyText"/>
        <w:spacing w:before="11"/>
        <w:ind w:right="20"/>
        <w:jc w:val="both"/>
        <w:rPr>
          <w:sz w:val="21"/>
        </w:rPr>
      </w:pPr>
    </w:p>
    <w:p w:rsidR="00457196" w:rsidRDefault="00346252" w:rsidP="00092A0A">
      <w:pPr>
        <w:ind w:left="238" w:right="20"/>
        <w:jc w:val="both"/>
        <w:rPr>
          <w:i/>
        </w:rPr>
      </w:pPr>
      <w:r>
        <w:rPr>
          <w:i/>
        </w:rPr>
        <w:t>Renal impairment</w:t>
      </w:r>
    </w:p>
    <w:p w:rsidR="00457196" w:rsidRDefault="00346252" w:rsidP="00092A0A">
      <w:pPr>
        <w:pStyle w:val="BodyText"/>
        <w:spacing w:before="2"/>
        <w:ind w:left="238" w:right="20"/>
        <w:jc w:val="both"/>
      </w:pPr>
      <w:r>
        <w:t>Population PK analyses indicated that sunitinib apparent clearance (CL/F) was not affected by creatinine clearance (CLcr) within the range evaluated (42-347 ml/min). Systemic exposures after a single dose of sunitinib were similar in subjects with severe renal impairment (CLcr &lt; 30 ml/min) compared to subjects with normal renal function (CLcr &gt; 80 ml/min). Although sunitinib and its primary metabolite were not eliminated through haemodialysis in subjects with ESRD, the total systemic exposures were lower by 47% for sunitinib and 31% for its primary metabolite compared to subjects with normal renal function.</w:t>
      </w:r>
    </w:p>
    <w:p w:rsidR="00457196" w:rsidRDefault="00457196" w:rsidP="00092A0A">
      <w:pPr>
        <w:pStyle w:val="BodyText"/>
        <w:spacing w:before="11"/>
        <w:ind w:right="20"/>
        <w:jc w:val="both"/>
        <w:rPr>
          <w:sz w:val="21"/>
        </w:rPr>
      </w:pPr>
    </w:p>
    <w:p w:rsidR="00457196" w:rsidRDefault="00346252" w:rsidP="00092A0A">
      <w:pPr>
        <w:spacing w:line="252" w:lineRule="exact"/>
        <w:ind w:left="238" w:right="20"/>
        <w:jc w:val="both"/>
        <w:rPr>
          <w:i/>
        </w:rPr>
      </w:pPr>
      <w:r>
        <w:rPr>
          <w:i/>
        </w:rPr>
        <w:t>Weight, performance status</w:t>
      </w:r>
    </w:p>
    <w:p w:rsidR="00457196" w:rsidRDefault="00346252" w:rsidP="00092A0A">
      <w:pPr>
        <w:pStyle w:val="BodyText"/>
        <w:ind w:left="238" w:right="20"/>
        <w:jc w:val="both"/>
      </w:pPr>
      <w:r>
        <w:t>Population PK analyses of demographic data indicate that no starting dose adjustments are necessary for weight or Eastern Cooperative Oncology Group (ECOG) performance status.</w:t>
      </w:r>
    </w:p>
    <w:p w:rsidR="00457196" w:rsidRDefault="00457196" w:rsidP="00092A0A">
      <w:pPr>
        <w:pStyle w:val="BodyText"/>
        <w:spacing w:before="11"/>
        <w:ind w:right="20"/>
        <w:jc w:val="both"/>
        <w:rPr>
          <w:sz w:val="21"/>
        </w:rPr>
      </w:pPr>
    </w:p>
    <w:p w:rsidR="00457196" w:rsidRDefault="00346252" w:rsidP="00092A0A">
      <w:pPr>
        <w:ind w:left="238" w:right="20"/>
        <w:jc w:val="both"/>
        <w:rPr>
          <w:i/>
        </w:rPr>
      </w:pPr>
      <w:r>
        <w:rPr>
          <w:i/>
        </w:rPr>
        <w:t>Gender</w:t>
      </w:r>
    </w:p>
    <w:p w:rsidR="00457196" w:rsidRDefault="00346252" w:rsidP="00092A0A">
      <w:pPr>
        <w:pStyle w:val="BodyText"/>
        <w:spacing w:before="1"/>
        <w:ind w:left="238" w:right="20"/>
        <w:jc w:val="both"/>
      </w:pPr>
      <w:r>
        <w:t>Available data indicate that females could have about 30% lower apparent clearance (CL/F) of sunitinib than males: this difference, however, does not necessitate starting dose adjustments.</w:t>
      </w:r>
    </w:p>
    <w:p w:rsidR="00457196" w:rsidRDefault="00457196" w:rsidP="00092A0A">
      <w:pPr>
        <w:pStyle w:val="BodyText"/>
        <w:spacing w:before="11"/>
        <w:ind w:right="20"/>
        <w:jc w:val="both"/>
        <w:rPr>
          <w:sz w:val="21"/>
        </w:rPr>
      </w:pPr>
    </w:p>
    <w:p w:rsidR="00457196" w:rsidRDefault="00346252" w:rsidP="00092A0A">
      <w:pPr>
        <w:ind w:left="238" w:right="20"/>
        <w:jc w:val="both"/>
        <w:rPr>
          <w:i/>
        </w:rPr>
      </w:pPr>
      <w:r>
        <w:rPr>
          <w:i/>
        </w:rPr>
        <w:t>Paediatric population</w:t>
      </w:r>
    </w:p>
    <w:p w:rsidR="00457196" w:rsidRDefault="00346252" w:rsidP="00092A0A">
      <w:pPr>
        <w:pStyle w:val="BodyText"/>
        <w:spacing w:before="6" w:line="247" w:lineRule="auto"/>
        <w:ind w:left="238" w:right="20"/>
        <w:jc w:val="both"/>
      </w:pPr>
      <w:r>
        <w:t>Experience on the use of sunitinib in paediatric patients is limited (see section 4.2). Population PK analyses of a pooled dataset from adult patients with GIST and solid tumours and paediatric patients with solid tumours were completed. Stepwise covariate modelling analyses were performed to evaluate the effect of age and body size (total body weight or body surface area) as well as other covariates on important PK parameters for sunitinib and its active metabolite. Among age and bodysize related covariates tested, age was a significant covariate on apparent clearance of sunitinib (the younger the age of the paediatric patient, the lower the apparent clearance). Similarly, body surface area was a significant covariate on the apparent clearance of the active metabolite (the lower the body surface area, the lower the apparent clearance).</w:t>
      </w:r>
    </w:p>
    <w:p w:rsidR="00457196" w:rsidRDefault="00457196" w:rsidP="00092A0A">
      <w:pPr>
        <w:pStyle w:val="BodyText"/>
        <w:spacing w:before="9"/>
        <w:ind w:right="20"/>
        <w:jc w:val="both"/>
        <w:rPr>
          <w:sz w:val="21"/>
        </w:rPr>
      </w:pPr>
    </w:p>
    <w:p w:rsidR="00457196" w:rsidRDefault="00346252" w:rsidP="00092A0A">
      <w:pPr>
        <w:pStyle w:val="BodyText"/>
        <w:ind w:left="238" w:right="20"/>
        <w:jc w:val="both"/>
      </w:pPr>
      <w:r>
        <w:t>Furthermore, based on an integrated population PK analysis of pooled data from the 3 paediatric studies (2 paediatric solid tumour studies and 1 paediatric GIST study; ages: 6 years to 11 years and 12 years to 17 years), baseline body surface area (BSA) was a significant covariate on apparent clearance of sunitinib and its active metabolite. Based on this analysis, a dose of approximately</w:t>
      </w:r>
      <w:r w:rsidR="00DC32D3">
        <w:t xml:space="preserve"> </w:t>
      </w:r>
      <w:r>
        <w:t>20 mg/m</w:t>
      </w:r>
      <w:r>
        <w:rPr>
          <w:vertAlign w:val="superscript"/>
        </w:rPr>
        <w:t>2</w:t>
      </w:r>
      <w:r>
        <w:t xml:space="preserve"> daily in paediatric patients, with BSA values between 1.10 and 1.87 m</w:t>
      </w:r>
      <w:r>
        <w:rPr>
          <w:vertAlign w:val="superscript"/>
        </w:rPr>
        <w:t>2</w:t>
      </w:r>
      <w:r>
        <w:t>, is expected to provide plasma exposures to sunitinib and its active metabolite comparable (between 75 and 125% of the AUC) to those in adults with GIST administered sunitinib 50 mg daily on Schedule 4/2 (AUC 1233 ng.hr/mL). In paediatric studies, the starting dose of sunitinib was 15 mg/m</w:t>
      </w:r>
      <w:r>
        <w:rPr>
          <w:vertAlign w:val="superscript"/>
        </w:rPr>
        <w:t>2</w:t>
      </w:r>
      <w:r>
        <w:t xml:space="preserve"> (based on the MTD identified in the Phase 1 dose-escalation study, see section 5.1), which in paediatric patients with GIST increased to 22.5 mg/m</w:t>
      </w:r>
      <w:r>
        <w:rPr>
          <w:vertAlign w:val="superscript"/>
        </w:rPr>
        <w:t>2</w:t>
      </w:r>
      <w:r>
        <w:t xml:space="preserve"> and subsequently to 30 mg/m</w:t>
      </w:r>
      <w:r>
        <w:rPr>
          <w:vertAlign w:val="superscript"/>
        </w:rPr>
        <w:t>2</w:t>
      </w:r>
      <w:r>
        <w:t xml:space="preserve"> (not to exceed the total dose of 50 mg/day) based on individual patient safety/tolerability. Furthermore, according </w:t>
      </w:r>
      <w:r>
        <w:rPr>
          <w:spacing w:val="3"/>
        </w:rPr>
        <w:t xml:space="preserve">to </w:t>
      </w:r>
      <w:r>
        <w:t>the published literatures in paediatric patients with GIST, the calculated starting dose ranged from 16.6 mg/m</w:t>
      </w:r>
      <w:r>
        <w:rPr>
          <w:vertAlign w:val="superscript"/>
        </w:rPr>
        <w:t>2</w:t>
      </w:r>
      <w:r>
        <w:t xml:space="preserve"> to 36 mg/m</w:t>
      </w:r>
      <w:r>
        <w:rPr>
          <w:vertAlign w:val="superscript"/>
        </w:rPr>
        <w:t>2</w:t>
      </w:r>
      <w:r>
        <w:t>, increased to doses as high as 40.4 mg/m</w:t>
      </w:r>
      <w:r>
        <w:rPr>
          <w:vertAlign w:val="superscript"/>
        </w:rPr>
        <w:t>2</w:t>
      </w:r>
      <w:r>
        <w:t xml:space="preserve"> (not exceeding the total dose of 50</w:t>
      </w:r>
      <w:r>
        <w:rPr>
          <w:spacing w:val="-12"/>
        </w:rPr>
        <w:t xml:space="preserve"> </w:t>
      </w:r>
      <w:r>
        <w:t>mg/day).</w:t>
      </w:r>
    </w:p>
    <w:p w:rsidR="00457196" w:rsidRDefault="00457196" w:rsidP="00092A0A">
      <w:pPr>
        <w:ind w:right="20"/>
        <w:jc w:val="both"/>
        <w:sectPr w:rsidR="00457196">
          <w:pgSz w:w="11910" w:h="16850"/>
          <w:pgMar w:top="1320" w:right="1080" w:bottom="900" w:left="1180" w:header="0" w:footer="634" w:gutter="0"/>
          <w:cols w:space="720"/>
        </w:sectPr>
      </w:pPr>
    </w:p>
    <w:p w:rsidR="00457196" w:rsidRDefault="00346252" w:rsidP="00092A0A">
      <w:pPr>
        <w:pStyle w:val="Heading1"/>
        <w:numPr>
          <w:ilvl w:val="1"/>
          <w:numId w:val="11"/>
        </w:numPr>
        <w:tabs>
          <w:tab w:val="left" w:pos="805"/>
          <w:tab w:val="left" w:pos="806"/>
        </w:tabs>
        <w:spacing w:before="70"/>
        <w:ind w:right="20" w:hanging="568"/>
        <w:jc w:val="both"/>
      </w:pPr>
      <w:r>
        <w:t>Preclinical safety data</w:t>
      </w:r>
    </w:p>
    <w:p w:rsidR="00457196" w:rsidRDefault="00457196" w:rsidP="00092A0A">
      <w:pPr>
        <w:pStyle w:val="BodyText"/>
        <w:spacing w:before="1"/>
        <w:ind w:right="20"/>
        <w:jc w:val="both"/>
        <w:rPr>
          <w:b/>
        </w:rPr>
      </w:pPr>
    </w:p>
    <w:p w:rsidR="00457196" w:rsidRDefault="00346252" w:rsidP="00092A0A">
      <w:pPr>
        <w:pStyle w:val="BodyText"/>
        <w:ind w:left="238" w:right="20"/>
        <w:jc w:val="both"/>
      </w:pPr>
      <w:r>
        <w:t>In rat and monkey repeated-dose toxicity studies up to 9-months duration, the primary target organ effects were identified in the gastrointestinal tract (emesis and diarrhoea in monkeys); adrenal gland (cortical congestion and/or haemorrhage in rats and monkeys, with necrosis followed by fibrosis in rats); haemolymphopoietic system (bone morrow hypocellularity and lymphoid depletion of thymus, spleen, and lymph node); exocrine pancreas (acinar cell degranulation with single cell necrosis); salivary gland (acinar hypertrophy); bone joint (growth plate thickening); uterus (atrophy); and ovaries (decreased follicular development). All findings occurred at clinically relevant sunitinib plasma exposure levels. Additional effects observed in other studies included: QTc interval prolongation, LVEF reduction and testicular tubular atrophy, increased mesangial cells in kidney, haemorrhage in gastrointestinal tract and oral mucosa, and hypertrophy of anterior pituitary cells. Changes in the uterus (endometrial atrophy) and bone growth plate (physeal thickening or dysplasia of cartilage) are thought to be related to the pharmacological action of sunitinib. Most of these findings were reversible after 2 to 6 weeks without</w:t>
      </w:r>
      <w:r>
        <w:rPr>
          <w:spacing w:val="-5"/>
        </w:rPr>
        <w:t xml:space="preserve"> </w:t>
      </w:r>
      <w:r>
        <w:t>treatment.</w:t>
      </w:r>
    </w:p>
    <w:p w:rsidR="00457196" w:rsidRDefault="00457196" w:rsidP="00092A0A">
      <w:pPr>
        <w:pStyle w:val="BodyText"/>
        <w:spacing w:before="6"/>
        <w:ind w:right="20"/>
        <w:jc w:val="both"/>
      </w:pPr>
    </w:p>
    <w:p w:rsidR="00457196" w:rsidRDefault="00346252" w:rsidP="00092A0A">
      <w:pPr>
        <w:pStyle w:val="BodyText"/>
        <w:ind w:left="238" w:right="20"/>
        <w:jc w:val="both"/>
      </w:pPr>
      <w:r>
        <w:rPr>
          <w:u w:val="single"/>
        </w:rPr>
        <w:t>Genotoxicity</w:t>
      </w:r>
    </w:p>
    <w:p w:rsidR="00457196" w:rsidRDefault="00346252" w:rsidP="00DC32D3">
      <w:pPr>
        <w:pStyle w:val="BodyText"/>
        <w:spacing w:before="2"/>
        <w:ind w:left="238" w:right="20"/>
        <w:jc w:val="both"/>
      </w:pPr>
      <w:r>
        <w:t xml:space="preserve">The genotoxic potential of sunitinib was assessed </w:t>
      </w:r>
      <w:r>
        <w:rPr>
          <w:i/>
        </w:rPr>
        <w:t xml:space="preserve">in vitro </w:t>
      </w:r>
      <w:r>
        <w:t xml:space="preserve">and </w:t>
      </w:r>
      <w:r>
        <w:rPr>
          <w:i/>
        </w:rPr>
        <w:t>in vivo</w:t>
      </w:r>
      <w:r>
        <w:t xml:space="preserve">. Sunitinib was not mutagenic in bacteria using metabolic activation provided by rat liver. Sunitinib did not induce structural chromosome aberrations in human peripheral blood lymphocyte cells </w:t>
      </w:r>
      <w:r>
        <w:rPr>
          <w:i/>
        </w:rPr>
        <w:t xml:space="preserve">in vitro. </w:t>
      </w:r>
      <w:r>
        <w:t xml:space="preserve">Polyploidy (numerical chromosome aberrations) was observed in human peripheral blood lymphocytes </w:t>
      </w:r>
      <w:r>
        <w:rPr>
          <w:i/>
        </w:rPr>
        <w:t>in vitro</w:t>
      </w:r>
      <w:r>
        <w:t>, both in the presence and absence of metabolic activation. Sunitinib was not clastogenic in rat bone marrow</w:t>
      </w:r>
      <w:r w:rsidR="00DC32D3">
        <w:t xml:space="preserve"> </w:t>
      </w:r>
      <w:r>
        <w:rPr>
          <w:i/>
        </w:rPr>
        <w:t xml:space="preserve">in vivo. </w:t>
      </w:r>
      <w:r>
        <w:t>The major active metabolite was not evaluated for genotoxic potential.</w:t>
      </w:r>
    </w:p>
    <w:p w:rsidR="00457196" w:rsidRDefault="00457196" w:rsidP="00092A0A">
      <w:pPr>
        <w:pStyle w:val="BodyText"/>
        <w:ind w:right="20"/>
        <w:jc w:val="both"/>
      </w:pPr>
    </w:p>
    <w:p w:rsidR="00457196" w:rsidRDefault="00346252" w:rsidP="00092A0A">
      <w:pPr>
        <w:pStyle w:val="BodyText"/>
        <w:ind w:left="238" w:right="20"/>
        <w:jc w:val="both"/>
      </w:pPr>
      <w:r>
        <w:rPr>
          <w:u w:val="single"/>
        </w:rPr>
        <w:t>Carcinogenicity</w:t>
      </w:r>
    </w:p>
    <w:p w:rsidR="00457196" w:rsidRDefault="00346252" w:rsidP="00092A0A">
      <w:pPr>
        <w:pStyle w:val="BodyText"/>
        <w:spacing w:before="2"/>
        <w:ind w:left="238" w:right="20"/>
        <w:jc w:val="both"/>
      </w:pPr>
      <w:r>
        <w:t>In a 1-month, oral gavage dose-range finding study (0, 10, 25, 75, or 200 mg/kg/day) with continuous daily dosing in rasH2 transgenic mice, carcinoma and hyperplasia of Brunner’s glands of the duodenum were observed at the highest dose (200 mg/kg/day) tested.</w:t>
      </w:r>
    </w:p>
    <w:p w:rsidR="00457196" w:rsidRDefault="00457196" w:rsidP="00092A0A">
      <w:pPr>
        <w:pStyle w:val="BodyText"/>
        <w:spacing w:before="10"/>
        <w:ind w:right="20"/>
        <w:jc w:val="both"/>
        <w:rPr>
          <w:sz w:val="21"/>
        </w:rPr>
      </w:pPr>
    </w:p>
    <w:p w:rsidR="00457196" w:rsidRDefault="00346252" w:rsidP="00DC32D3">
      <w:pPr>
        <w:pStyle w:val="BodyText"/>
        <w:ind w:left="238" w:right="20"/>
        <w:jc w:val="both"/>
      </w:pPr>
      <w:r>
        <w:t>A 6-month, oral gavage carcinogenicity study (0, 8, 25, 75 [reduced to 50] mg/kg/day), with daily dosing was conducted in rasH2 transgenic mice. Gastroduodenal carcinomas, an increased incidence of background haemangiosarcomas, and/or gastric mucosal hyperplasia were observed at doses</w:t>
      </w:r>
      <w:r w:rsidR="00DC32D3">
        <w:t xml:space="preserve"> </w:t>
      </w:r>
      <w:r>
        <w:t xml:space="preserve">of ≥ 25 mg/kg/day following 1- or 6-months duration (≥ 7.3 times the AUC in patients administered the recommended daily dose </w:t>
      </w:r>
      <w:r>
        <w:rPr>
          <w:rFonts w:ascii="Symbol" w:hAnsi="Symbol"/>
        </w:rPr>
        <w:t></w:t>
      </w:r>
      <w:r>
        <w:t>RDD</w:t>
      </w:r>
      <w:r>
        <w:rPr>
          <w:rFonts w:ascii="Symbol" w:hAnsi="Symbol"/>
        </w:rPr>
        <w:t></w:t>
      </w:r>
      <w:r>
        <w:t>).</w:t>
      </w:r>
    </w:p>
    <w:p w:rsidR="00457196" w:rsidRDefault="00457196" w:rsidP="00092A0A">
      <w:pPr>
        <w:pStyle w:val="BodyText"/>
        <w:spacing w:before="8"/>
        <w:ind w:right="20"/>
        <w:jc w:val="both"/>
        <w:rPr>
          <w:sz w:val="21"/>
        </w:rPr>
      </w:pPr>
    </w:p>
    <w:p w:rsidR="00457196" w:rsidRDefault="00346252" w:rsidP="00092A0A">
      <w:pPr>
        <w:pStyle w:val="BodyText"/>
        <w:ind w:left="238" w:right="20"/>
        <w:jc w:val="both"/>
      </w:pPr>
      <w:r>
        <w:t>In a 2-year rat carcinogenicity study (0, 0.33, 1, or 3 mg/kg/day), administration of sunitinib in 28-day cycles followed by 7-day dose-free periods resulted in increases in the incidence of phaeochromocytomas and hyperplasia in the adrenal medulla of male rats given 3 mg/kg/day following &gt; 1 year of dosing (≥ 7.8 times the AUC in patients administered the RDD). Brunner’s glands carcinoma occurred in the duodenum at ≥ 1 mg/kg/day in females and at 3 mg/kg/day in males, and mucous cell hyperplasia was evident in the glandular stomach at 3 mg/kg/day in males, which occurred at ≥ 0.9, 7.8, and 7.8 times the AUC in patients administered the RDD, respectively. The relevance to humans of the neoplastic findings observed in the mouse (rasH2 transgenic) and rat carcinogenicity studies with sunitinib treatment is unclear.</w:t>
      </w:r>
    </w:p>
    <w:p w:rsidR="00457196" w:rsidRDefault="00457196" w:rsidP="00092A0A">
      <w:pPr>
        <w:pStyle w:val="BodyText"/>
        <w:ind w:right="20"/>
        <w:jc w:val="both"/>
      </w:pPr>
    </w:p>
    <w:p w:rsidR="00457196" w:rsidRDefault="00346252" w:rsidP="00092A0A">
      <w:pPr>
        <w:pStyle w:val="BodyText"/>
        <w:spacing w:line="252" w:lineRule="exact"/>
        <w:ind w:left="238" w:right="20"/>
        <w:jc w:val="both"/>
      </w:pPr>
      <w:r>
        <w:rPr>
          <w:u w:val="single"/>
        </w:rPr>
        <w:t>Reproductive and developmental toxicity</w:t>
      </w:r>
    </w:p>
    <w:p w:rsidR="00457196" w:rsidRDefault="00346252" w:rsidP="00092A0A">
      <w:pPr>
        <w:pStyle w:val="BodyText"/>
        <w:ind w:left="238" w:right="20"/>
        <w:jc w:val="both"/>
      </w:pPr>
      <w:r>
        <w:t>No effects on male or female fertility were observed in reproductive toxicity studies. However, in repeated-dose toxicity studies performed in rats and monkeys, effects on female fertility were observed in the form of follicular atresia, degeneration of corpora lutea, endometrial changes in the uterus, and decreased uterine and ovarian weights at clinically relevant systemic exposure levels. Effects on male fertility in rat were observed in the form of tubular atrophy in the testes, reduction of spermatozoa in epididymides, and colloid depletion in prostate and seminal vesicles at plasma exposure levels 25 times the systemic exposure in humans.</w:t>
      </w:r>
    </w:p>
    <w:p w:rsidR="00457196" w:rsidRDefault="00457196" w:rsidP="00092A0A">
      <w:pPr>
        <w:pStyle w:val="BodyText"/>
        <w:spacing w:before="11"/>
        <w:ind w:right="20"/>
        <w:jc w:val="both"/>
        <w:rPr>
          <w:sz w:val="21"/>
        </w:rPr>
      </w:pPr>
    </w:p>
    <w:p w:rsidR="00457196" w:rsidRDefault="00346252" w:rsidP="00DC32D3">
      <w:pPr>
        <w:pStyle w:val="BodyText"/>
        <w:ind w:left="238" w:right="20"/>
        <w:jc w:val="both"/>
      </w:pPr>
      <w:r>
        <w:t>In rats, embryo-foetal mortality was evident as significant reductions in the number of live foetuses, increased numbers of resorptions, increased postimplantation loss, and total litter loss in 8 of</w:t>
      </w:r>
      <w:r w:rsidR="00DC32D3">
        <w:t xml:space="preserve"> </w:t>
      </w:r>
      <w:r>
        <w:t>28 pregnant females at plasma exposure levels 5.5 times the systemic exposure in humans. In rabbits,</w:t>
      </w:r>
      <w:r w:rsidR="00DC32D3">
        <w:t xml:space="preserve"> </w:t>
      </w:r>
      <w:r>
        <w:t xml:space="preserve">reductions in gravid uterine weights and number of live foetuses were due to increases in the number of resorptions, increases in postimplantation loss and complete litter loss in 4 of 6 pregnant females at plasma exposure levels 3 times the systemic exposure in humans. Sunitinib treatment in rats during organogenesis resulted in developmental effects at </w:t>
      </w:r>
      <w:r>
        <w:rPr>
          <w:rFonts w:ascii="Symbol" w:hAnsi="Symbol"/>
        </w:rPr>
        <w:t></w:t>
      </w:r>
      <w:r>
        <w:t xml:space="preserve"> 5 mg/kg/day consisting of increased incidence of foetal skeletal malformations, predominantly characterised as retarded ossification of thoracic/lumbar vertebrae and occurred at plasma exposure levels 5.5 times the systemic exposure in humans. In rabbits, developmental effects consisted of increased incidence of cleft lip at plasma exposure levels approximately equal to that observed in clinic, and cleft lip and cleft palate at plasma exposure levels</w:t>
      </w:r>
      <w:r w:rsidR="00DC32D3">
        <w:t xml:space="preserve"> </w:t>
      </w:r>
      <w:r>
        <w:t>2.7 times the systemic exposure in humans.</w:t>
      </w:r>
    </w:p>
    <w:p w:rsidR="00457196" w:rsidRDefault="00457196" w:rsidP="00092A0A">
      <w:pPr>
        <w:pStyle w:val="BodyText"/>
        <w:spacing w:before="9"/>
        <w:ind w:right="20"/>
        <w:jc w:val="both"/>
        <w:rPr>
          <w:sz w:val="21"/>
        </w:rPr>
      </w:pPr>
    </w:p>
    <w:p w:rsidR="00457196" w:rsidRDefault="00346252" w:rsidP="00DC32D3">
      <w:pPr>
        <w:pStyle w:val="BodyText"/>
        <w:ind w:left="238" w:right="20"/>
        <w:jc w:val="both"/>
      </w:pPr>
      <w:r>
        <w:t>Sunitinib (0.3, 1.0, 3.0 mg/kg/day) was evaluated in a pre-and postnatal development study in pregnant rats. Maternal body weight gains were reduced during gestation and lactation at</w:t>
      </w:r>
      <w:r w:rsidR="00DC32D3">
        <w:t xml:space="preserve"> </w:t>
      </w:r>
      <w:r>
        <w:t>≥ 1 mg/kg/day but no maternal reproductive toxicity was observed up to 3 mg/kg/day (estimate exposure ≥ 2.3 times the AUC in patients administered the RDD). Reduced offspring body weights were observed during the preweaning and postweaning periods at 3 mg/kg/day. No development toxicity was observed at 1 mg/kg/day (approximate exposure ≥ 0.9 times the AUC in patients administered the RDD).</w:t>
      </w:r>
    </w:p>
    <w:p w:rsidR="00457196" w:rsidRDefault="00457196" w:rsidP="00092A0A">
      <w:pPr>
        <w:pStyle w:val="BodyText"/>
        <w:ind w:right="20"/>
        <w:rPr>
          <w:sz w:val="24"/>
        </w:rPr>
      </w:pPr>
    </w:p>
    <w:p w:rsidR="00457196" w:rsidRDefault="00457196" w:rsidP="00092A0A">
      <w:pPr>
        <w:pStyle w:val="BodyText"/>
        <w:ind w:right="20"/>
        <w:rPr>
          <w:sz w:val="20"/>
        </w:rPr>
      </w:pPr>
    </w:p>
    <w:p w:rsidR="00457196" w:rsidRDefault="00346252" w:rsidP="00092A0A">
      <w:pPr>
        <w:pStyle w:val="Heading1"/>
        <w:numPr>
          <w:ilvl w:val="0"/>
          <w:numId w:val="13"/>
        </w:numPr>
        <w:tabs>
          <w:tab w:val="left" w:pos="805"/>
          <w:tab w:val="left" w:pos="806"/>
        </w:tabs>
        <w:spacing w:before="1"/>
        <w:ind w:left="805" w:right="20" w:hanging="568"/>
      </w:pPr>
      <w:r>
        <w:t>PHARMACEUTICAL</w:t>
      </w:r>
      <w:r>
        <w:rPr>
          <w:spacing w:val="-2"/>
        </w:rPr>
        <w:t xml:space="preserve"> </w:t>
      </w:r>
      <w:r>
        <w:t>PARTICULARS</w:t>
      </w:r>
    </w:p>
    <w:p w:rsidR="00457196" w:rsidRDefault="00457196" w:rsidP="00092A0A">
      <w:pPr>
        <w:pStyle w:val="BodyText"/>
        <w:ind w:right="20"/>
        <w:rPr>
          <w:b/>
        </w:rPr>
      </w:pPr>
    </w:p>
    <w:p w:rsidR="00457196" w:rsidRPr="009566A0" w:rsidRDefault="00346252" w:rsidP="00092A0A">
      <w:pPr>
        <w:pStyle w:val="ListParagraph"/>
        <w:numPr>
          <w:ilvl w:val="1"/>
          <w:numId w:val="13"/>
        </w:numPr>
        <w:tabs>
          <w:tab w:val="left" w:pos="805"/>
          <w:tab w:val="left" w:pos="806"/>
        </w:tabs>
        <w:ind w:right="20" w:hanging="568"/>
        <w:rPr>
          <w:b/>
        </w:rPr>
      </w:pPr>
      <w:r w:rsidRPr="009566A0">
        <w:rPr>
          <w:b/>
        </w:rPr>
        <w:t>List of excipients</w:t>
      </w:r>
    </w:p>
    <w:p w:rsidR="00457196" w:rsidRPr="009566A0" w:rsidRDefault="00457196" w:rsidP="00092A0A">
      <w:pPr>
        <w:pStyle w:val="BodyText"/>
        <w:ind w:right="20"/>
        <w:rPr>
          <w:b/>
        </w:rPr>
      </w:pPr>
    </w:p>
    <w:p w:rsidR="00387EF5" w:rsidRPr="00387EF5" w:rsidRDefault="00387EF5" w:rsidP="00092A0A">
      <w:pPr>
        <w:pStyle w:val="Default"/>
        <w:ind w:left="284" w:right="20"/>
        <w:rPr>
          <w:sz w:val="22"/>
          <w:szCs w:val="22"/>
          <w:u w:val="single"/>
        </w:rPr>
      </w:pPr>
      <w:r w:rsidRPr="00387EF5">
        <w:rPr>
          <w:sz w:val="22"/>
          <w:szCs w:val="22"/>
          <w:u w:val="single"/>
        </w:rPr>
        <w:t xml:space="preserve">12.5 mg hard capsules </w:t>
      </w:r>
    </w:p>
    <w:p w:rsidR="00387EF5" w:rsidRDefault="00387EF5" w:rsidP="00092A0A">
      <w:pPr>
        <w:pStyle w:val="Default"/>
        <w:ind w:left="284" w:right="20"/>
        <w:rPr>
          <w:sz w:val="22"/>
          <w:szCs w:val="22"/>
        </w:rPr>
      </w:pPr>
      <w:r>
        <w:rPr>
          <w:i/>
          <w:iCs/>
          <w:sz w:val="22"/>
          <w:szCs w:val="22"/>
        </w:rPr>
        <w:t xml:space="preserve">Capsule content </w:t>
      </w:r>
    </w:p>
    <w:p w:rsidR="00387EF5" w:rsidRDefault="00387EF5" w:rsidP="00092A0A">
      <w:pPr>
        <w:pStyle w:val="Default"/>
        <w:ind w:left="284" w:right="20"/>
        <w:rPr>
          <w:sz w:val="22"/>
          <w:szCs w:val="22"/>
        </w:rPr>
      </w:pPr>
      <w:r>
        <w:rPr>
          <w:sz w:val="22"/>
          <w:szCs w:val="22"/>
        </w:rPr>
        <w:t xml:space="preserve">Povidone K30 LP </w:t>
      </w:r>
      <w:r w:rsidR="003A2E38" w:rsidRPr="009F3623">
        <w:rPr>
          <w:iCs/>
          <w:lang w:val="en-GB"/>
        </w:rPr>
        <w:t>(E 1201)</w:t>
      </w:r>
    </w:p>
    <w:p w:rsidR="00387EF5" w:rsidRDefault="00387EF5" w:rsidP="00092A0A">
      <w:pPr>
        <w:pStyle w:val="Default"/>
        <w:ind w:left="284" w:right="20"/>
        <w:rPr>
          <w:sz w:val="22"/>
          <w:szCs w:val="22"/>
        </w:rPr>
      </w:pPr>
      <w:r>
        <w:rPr>
          <w:sz w:val="22"/>
          <w:szCs w:val="22"/>
        </w:rPr>
        <w:t xml:space="preserve">Cellulose, microcrystalline </w:t>
      </w:r>
      <w:r w:rsidR="003A2E38" w:rsidRPr="009F3623">
        <w:rPr>
          <w:iCs/>
          <w:lang w:val="en-GB"/>
        </w:rPr>
        <w:t>(E 460)</w:t>
      </w:r>
    </w:p>
    <w:p w:rsidR="00387EF5" w:rsidRDefault="00387EF5" w:rsidP="00092A0A">
      <w:pPr>
        <w:pStyle w:val="Default"/>
        <w:ind w:left="284" w:right="20"/>
        <w:rPr>
          <w:sz w:val="22"/>
          <w:szCs w:val="22"/>
        </w:rPr>
      </w:pPr>
      <w:r>
        <w:rPr>
          <w:sz w:val="22"/>
          <w:szCs w:val="22"/>
        </w:rPr>
        <w:t xml:space="preserve">Croscarmellose sodium </w:t>
      </w:r>
      <w:r w:rsidR="00FF771E" w:rsidRPr="009F3623">
        <w:rPr>
          <w:iCs/>
          <w:lang w:val="en-GB"/>
        </w:rPr>
        <w:t>(E 468)</w:t>
      </w:r>
    </w:p>
    <w:p w:rsidR="00387EF5" w:rsidRDefault="00387EF5" w:rsidP="00092A0A">
      <w:pPr>
        <w:pStyle w:val="Default"/>
        <w:ind w:left="284" w:right="20"/>
        <w:rPr>
          <w:sz w:val="22"/>
          <w:szCs w:val="22"/>
        </w:rPr>
      </w:pPr>
      <w:r>
        <w:rPr>
          <w:sz w:val="22"/>
          <w:szCs w:val="22"/>
        </w:rPr>
        <w:t>Magnesium stearate</w:t>
      </w:r>
      <w:r w:rsidR="00FF771E">
        <w:rPr>
          <w:sz w:val="22"/>
          <w:szCs w:val="22"/>
        </w:rPr>
        <w:t xml:space="preserve"> </w:t>
      </w:r>
      <w:r w:rsidR="00FF771E" w:rsidRPr="009F3623">
        <w:rPr>
          <w:iCs/>
          <w:lang w:val="en-GB"/>
        </w:rPr>
        <w:t>(E 470b)</w:t>
      </w:r>
    </w:p>
    <w:p w:rsidR="00387EF5" w:rsidRDefault="00387EF5" w:rsidP="00092A0A">
      <w:pPr>
        <w:pStyle w:val="Default"/>
        <w:ind w:left="284" w:right="20"/>
        <w:rPr>
          <w:sz w:val="22"/>
          <w:szCs w:val="22"/>
        </w:rPr>
      </w:pPr>
      <w:r>
        <w:rPr>
          <w:sz w:val="22"/>
          <w:szCs w:val="22"/>
        </w:rPr>
        <w:t xml:space="preserve"> </w:t>
      </w:r>
    </w:p>
    <w:p w:rsidR="00387EF5" w:rsidRDefault="00387EF5" w:rsidP="00092A0A">
      <w:pPr>
        <w:pStyle w:val="Default"/>
        <w:ind w:left="284" w:right="20"/>
        <w:rPr>
          <w:sz w:val="22"/>
          <w:szCs w:val="22"/>
        </w:rPr>
      </w:pPr>
      <w:r>
        <w:rPr>
          <w:i/>
          <w:iCs/>
          <w:sz w:val="22"/>
          <w:szCs w:val="22"/>
        </w:rPr>
        <w:t xml:space="preserve">Capsule shell </w:t>
      </w:r>
    </w:p>
    <w:p w:rsidR="00387EF5" w:rsidRDefault="00387EF5" w:rsidP="00092A0A">
      <w:pPr>
        <w:pStyle w:val="Default"/>
        <w:ind w:left="284" w:right="20"/>
        <w:rPr>
          <w:sz w:val="22"/>
          <w:szCs w:val="22"/>
        </w:rPr>
      </w:pPr>
      <w:r>
        <w:rPr>
          <w:sz w:val="22"/>
          <w:szCs w:val="22"/>
        </w:rPr>
        <w:t xml:space="preserve">Gelatin </w:t>
      </w:r>
    </w:p>
    <w:p w:rsidR="00387EF5" w:rsidRDefault="00387EF5" w:rsidP="00092A0A">
      <w:pPr>
        <w:pStyle w:val="Default"/>
        <w:ind w:left="284" w:right="20"/>
        <w:rPr>
          <w:sz w:val="22"/>
          <w:szCs w:val="22"/>
        </w:rPr>
      </w:pPr>
      <w:r>
        <w:rPr>
          <w:sz w:val="22"/>
          <w:szCs w:val="22"/>
        </w:rPr>
        <w:t xml:space="preserve">Titanium dioxide </w:t>
      </w:r>
      <w:r w:rsidR="00FF771E" w:rsidRPr="009F3623">
        <w:rPr>
          <w:iCs/>
          <w:lang w:val="en-GB"/>
        </w:rPr>
        <w:t>(E171)</w:t>
      </w:r>
    </w:p>
    <w:p w:rsidR="00387EF5" w:rsidRDefault="00387EF5" w:rsidP="00092A0A">
      <w:pPr>
        <w:pStyle w:val="Default"/>
        <w:ind w:left="284" w:right="20"/>
        <w:rPr>
          <w:sz w:val="22"/>
          <w:szCs w:val="22"/>
        </w:rPr>
      </w:pPr>
      <w:r>
        <w:rPr>
          <w:sz w:val="22"/>
          <w:szCs w:val="22"/>
        </w:rPr>
        <w:t xml:space="preserve">Red iron oxide (E172) </w:t>
      </w:r>
    </w:p>
    <w:p w:rsidR="00387EF5" w:rsidRDefault="00387EF5" w:rsidP="00092A0A">
      <w:pPr>
        <w:pStyle w:val="Default"/>
        <w:ind w:left="284" w:right="20"/>
        <w:rPr>
          <w:sz w:val="22"/>
          <w:szCs w:val="22"/>
        </w:rPr>
      </w:pPr>
      <w:r>
        <w:rPr>
          <w:sz w:val="22"/>
          <w:szCs w:val="22"/>
        </w:rPr>
        <w:t xml:space="preserve">Yellow iron oxide (E172) </w:t>
      </w:r>
    </w:p>
    <w:p w:rsidR="00387EF5" w:rsidRDefault="00387EF5" w:rsidP="00092A0A">
      <w:pPr>
        <w:pStyle w:val="Default"/>
        <w:ind w:left="284" w:right="20"/>
        <w:rPr>
          <w:sz w:val="22"/>
          <w:szCs w:val="22"/>
        </w:rPr>
      </w:pPr>
    </w:p>
    <w:p w:rsidR="00FF771E" w:rsidRPr="00FF771E" w:rsidRDefault="00FF771E" w:rsidP="00092A0A">
      <w:pPr>
        <w:pStyle w:val="Default"/>
        <w:ind w:left="284" w:right="20"/>
        <w:rPr>
          <w:i/>
          <w:sz w:val="22"/>
          <w:szCs w:val="22"/>
        </w:rPr>
      </w:pPr>
      <w:r>
        <w:rPr>
          <w:i/>
          <w:sz w:val="22"/>
          <w:szCs w:val="22"/>
        </w:rPr>
        <w:t>P</w:t>
      </w:r>
      <w:r w:rsidRPr="00FF771E">
        <w:rPr>
          <w:i/>
          <w:sz w:val="22"/>
          <w:szCs w:val="22"/>
        </w:rPr>
        <w:t>rinting ink</w:t>
      </w:r>
    </w:p>
    <w:p w:rsidR="00FF771E" w:rsidRPr="00BF7E72" w:rsidRDefault="00FF771E" w:rsidP="00092A0A">
      <w:pPr>
        <w:pStyle w:val="Default"/>
        <w:ind w:left="284" w:right="20"/>
        <w:rPr>
          <w:color w:val="auto"/>
          <w:sz w:val="22"/>
          <w:szCs w:val="22"/>
        </w:rPr>
      </w:pPr>
      <w:r w:rsidRPr="00BF7E72">
        <w:rPr>
          <w:color w:val="auto"/>
          <w:sz w:val="22"/>
          <w:szCs w:val="22"/>
        </w:rPr>
        <w:t xml:space="preserve">Shellac </w:t>
      </w:r>
    </w:p>
    <w:p w:rsidR="00FF771E" w:rsidRPr="00BF7E72" w:rsidRDefault="00FF771E" w:rsidP="00092A0A">
      <w:pPr>
        <w:pStyle w:val="Default"/>
        <w:ind w:left="284" w:right="20"/>
        <w:rPr>
          <w:color w:val="auto"/>
          <w:sz w:val="22"/>
          <w:szCs w:val="22"/>
        </w:rPr>
      </w:pPr>
      <w:r w:rsidRPr="00BF7E72">
        <w:rPr>
          <w:color w:val="auto"/>
          <w:sz w:val="22"/>
          <w:szCs w:val="22"/>
        </w:rPr>
        <w:t>Titanium dioxide (E171)</w:t>
      </w:r>
    </w:p>
    <w:p w:rsidR="00FF771E" w:rsidRPr="00BF7E72" w:rsidRDefault="00FF771E" w:rsidP="00092A0A">
      <w:pPr>
        <w:pStyle w:val="Default"/>
        <w:ind w:left="284" w:right="20"/>
        <w:rPr>
          <w:color w:val="auto"/>
          <w:sz w:val="22"/>
          <w:szCs w:val="22"/>
        </w:rPr>
      </w:pPr>
      <w:r w:rsidRPr="00BF7E72">
        <w:rPr>
          <w:color w:val="auto"/>
          <w:sz w:val="22"/>
          <w:szCs w:val="22"/>
        </w:rPr>
        <w:t>Propylene glycol</w:t>
      </w:r>
    </w:p>
    <w:p w:rsidR="00FF771E" w:rsidRDefault="00FF771E" w:rsidP="00092A0A">
      <w:pPr>
        <w:pStyle w:val="Default"/>
        <w:ind w:left="284" w:right="20"/>
        <w:rPr>
          <w:sz w:val="22"/>
          <w:szCs w:val="22"/>
        </w:rPr>
      </w:pPr>
    </w:p>
    <w:p w:rsidR="00387EF5" w:rsidRPr="00387EF5" w:rsidRDefault="00387EF5" w:rsidP="00092A0A">
      <w:pPr>
        <w:pStyle w:val="Default"/>
        <w:ind w:left="284" w:right="20"/>
        <w:rPr>
          <w:sz w:val="22"/>
          <w:szCs w:val="22"/>
          <w:u w:val="single"/>
        </w:rPr>
      </w:pPr>
      <w:r w:rsidRPr="00387EF5">
        <w:rPr>
          <w:sz w:val="22"/>
          <w:szCs w:val="22"/>
          <w:u w:val="single"/>
        </w:rPr>
        <w:t xml:space="preserve">25 mg hard capsules </w:t>
      </w:r>
    </w:p>
    <w:p w:rsidR="00387EF5" w:rsidRDefault="00387EF5" w:rsidP="00092A0A">
      <w:pPr>
        <w:pStyle w:val="Default"/>
        <w:ind w:left="284" w:right="20"/>
        <w:rPr>
          <w:sz w:val="22"/>
          <w:szCs w:val="22"/>
        </w:rPr>
      </w:pPr>
      <w:r>
        <w:rPr>
          <w:i/>
          <w:iCs/>
          <w:sz w:val="22"/>
          <w:szCs w:val="22"/>
        </w:rPr>
        <w:t xml:space="preserve">Capsule content </w:t>
      </w:r>
    </w:p>
    <w:p w:rsidR="00387EF5" w:rsidRDefault="00387EF5" w:rsidP="00092A0A">
      <w:pPr>
        <w:pStyle w:val="Default"/>
        <w:ind w:left="284" w:right="20"/>
        <w:rPr>
          <w:sz w:val="22"/>
          <w:szCs w:val="22"/>
        </w:rPr>
      </w:pPr>
      <w:r>
        <w:rPr>
          <w:sz w:val="22"/>
          <w:szCs w:val="22"/>
        </w:rPr>
        <w:t xml:space="preserve">Povidone K30 LP </w:t>
      </w:r>
      <w:r w:rsidR="003A2E38" w:rsidRPr="009F3623">
        <w:rPr>
          <w:iCs/>
          <w:lang w:val="en-GB"/>
        </w:rPr>
        <w:t>(E 1201)</w:t>
      </w:r>
    </w:p>
    <w:p w:rsidR="00387EF5" w:rsidRDefault="00387EF5" w:rsidP="00092A0A">
      <w:pPr>
        <w:pStyle w:val="Default"/>
        <w:ind w:left="284" w:right="20"/>
        <w:rPr>
          <w:sz w:val="22"/>
          <w:szCs w:val="22"/>
        </w:rPr>
      </w:pPr>
      <w:r>
        <w:rPr>
          <w:sz w:val="22"/>
          <w:szCs w:val="22"/>
        </w:rPr>
        <w:t xml:space="preserve">Cellulose, microcrystalline </w:t>
      </w:r>
      <w:r w:rsidR="003A2E38" w:rsidRPr="009F3623">
        <w:rPr>
          <w:iCs/>
          <w:lang w:val="en-GB"/>
        </w:rPr>
        <w:t>(E 460)</w:t>
      </w:r>
    </w:p>
    <w:p w:rsidR="00387EF5" w:rsidRDefault="00387EF5" w:rsidP="00092A0A">
      <w:pPr>
        <w:pStyle w:val="Default"/>
        <w:ind w:left="284" w:right="20"/>
        <w:rPr>
          <w:sz w:val="22"/>
          <w:szCs w:val="22"/>
        </w:rPr>
      </w:pPr>
      <w:r>
        <w:rPr>
          <w:sz w:val="22"/>
          <w:szCs w:val="22"/>
        </w:rPr>
        <w:t xml:space="preserve">Croscarmellose sodium </w:t>
      </w:r>
      <w:r w:rsidR="00FF771E" w:rsidRPr="009F3623">
        <w:rPr>
          <w:iCs/>
          <w:lang w:val="en-GB"/>
        </w:rPr>
        <w:t>(E 468)</w:t>
      </w:r>
    </w:p>
    <w:p w:rsidR="00387EF5" w:rsidRDefault="00387EF5" w:rsidP="00092A0A">
      <w:pPr>
        <w:pStyle w:val="Default"/>
        <w:ind w:left="284" w:right="20"/>
        <w:rPr>
          <w:sz w:val="22"/>
          <w:szCs w:val="22"/>
        </w:rPr>
      </w:pPr>
      <w:r>
        <w:rPr>
          <w:sz w:val="22"/>
          <w:szCs w:val="22"/>
        </w:rPr>
        <w:t xml:space="preserve">Magnesium stearate </w:t>
      </w:r>
      <w:r w:rsidR="00FF771E" w:rsidRPr="009F3623">
        <w:rPr>
          <w:iCs/>
          <w:lang w:val="en-GB"/>
        </w:rPr>
        <w:t>(E 470b)</w:t>
      </w:r>
    </w:p>
    <w:p w:rsidR="00387EF5" w:rsidRDefault="00387EF5" w:rsidP="00092A0A">
      <w:pPr>
        <w:pStyle w:val="Default"/>
        <w:ind w:left="284" w:right="20"/>
        <w:rPr>
          <w:sz w:val="22"/>
          <w:szCs w:val="22"/>
        </w:rPr>
      </w:pPr>
    </w:p>
    <w:p w:rsidR="00387EF5" w:rsidRDefault="00387EF5" w:rsidP="00092A0A">
      <w:pPr>
        <w:pStyle w:val="Default"/>
        <w:ind w:left="284" w:right="20"/>
        <w:rPr>
          <w:sz w:val="22"/>
          <w:szCs w:val="22"/>
        </w:rPr>
      </w:pPr>
      <w:r>
        <w:rPr>
          <w:i/>
          <w:iCs/>
          <w:sz w:val="22"/>
          <w:szCs w:val="22"/>
        </w:rPr>
        <w:t xml:space="preserve">Capsule shell </w:t>
      </w:r>
    </w:p>
    <w:p w:rsidR="00387EF5" w:rsidRDefault="00387EF5" w:rsidP="00092A0A">
      <w:pPr>
        <w:pStyle w:val="Default"/>
        <w:ind w:left="284" w:right="20"/>
        <w:rPr>
          <w:sz w:val="22"/>
          <w:szCs w:val="22"/>
        </w:rPr>
      </w:pPr>
      <w:r>
        <w:rPr>
          <w:sz w:val="22"/>
          <w:szCs w:val="22"/>
        </w:rPr>
        <w:t xml:space="preserve">Gelatin </w:t>
      </w:r>
    </w:p>
    <w:p w:rsidR="00387EF5" w:rsidRDefault="00387EF5" w:rsidP="00092A0A">
      <w:pPr>
        <w:pStyle w:val="Default"/>
        <w:ind w:left="284" w:right="20"/>
        <w:rPr>
          <w:sz w:val="22"/>
          <w:szCs w:val="22"/>
        </w:rPr>
      </w:pPr>
      <w:r>
        <w:rPr>
          <w:sz w:val="22"/>
          <w:szCs w:val="22"/>
        </w:rPr>
        <w:t xml:space="preserve">Titanium dioxide </w:t>
      </w:r>
      <w:r w:rsidR="00FF771E" w:rsidRPr="009F3623">
        <w:rPr>
          <w:iCs/>
          <w:lang w:val="en-GB"/>
        </w:rPr>
        <w:t>(E171)</w:t>
      </w:r>
    </w:p>
    <w:p w:rsidR="00387EF5" w:rsidRDefault="00387EF5" w:rsidP="00092A0A">
      <w:pPr>
        <w:pStyle w:val="Default"/>
        <w:ind w:left="284" w:right="20"/>
        <w:rPr>
          <w:sz w:val="22"/>
          <w:szCs w:val="22"/>
        </w:rPr>
      </w:pPr>
      <w:r>
        <w:rPr>
          <w:sz w:val="22"/>
          <w:szCs w:val="22"/>
        </w:rPr>
        <w:t xml:space="preserve">Red iron oxide (E172) </w:t>
      </w:r>
    </w:p>
    <w:p w:rsidR="00387EF5" w:rsidRDefault="00387EF5" w:rsidP="00092A0A">
      <w:pPr>
        <w:pStyle w:val="Default"/>
        <w:ind w:left="284" w:right="20"/>
        <w:rPr>
          <w:sz w:val="22"/>
          <w:szCs w:val="22"/>
        </w:rPr>
      </w:pPr>
      <w:r>
        <w:rPr>
          <w:sz w:val="22"/>
          <w:szCs w:val="22"/>
        </w:rPr>
        <w:t xml:space="preserve">Yellow iron oxide (E172) </w:t>
      </w:r>
    </w:p>
    <w:p w:rsidR="009566A0" w:rsidRDefault="00387EF5" w:rsidP="00092A0A">
      <w:pPr>
        <w:pStyle w:val="BodyText"/>
        <w:ind w:left="284" w:right="20"/>
      </w:pPr>
      <w:r>
        <w:t>Black iron oxide (E172)</w:t>
      </w:r>
    </w:p>
    <w:p w:rsidR="00387EF5" w:rsidRDefault="00387EF5" w:rsidP="00092A0A">
      <w:pPr>
        <w:pStyle w:val="Default"/>
        <w:ind w:right="20"/>
        <w:rPr>
          <w:sz w:val="22"/>
          <w:szCs w:val="22"/>
        </w:rPr>
      </w:pPr>
    </w:p>
    <w:p w:rsidR="00FF771E" w:rsidRPr="00FF771E" w:rsidRDefault="00FF771E" w:rsidP="00092A0A">
      <w:pPr>
        <w:pStyle w:val="Default"/>
        <w:ind w:left="284" w:right="20"/>
        <w:rPr>
          <w:i/>
          <w:sz w:val="22"/>
          <w:szCs w:val="22"/>
        </w:rPr>
      </w:pPr>
      <w:r>
        <w:rPr>
          <w:i/>
          <w:sz w:val="22"/>
          <w:szCs w:val="22"/>
        </w:rPr>
        <w:t>P</w:t>
      </w:r>
      <w:r w:rsidRPr="00FF771E">
        <w:rPr>
          <w:i/>
          <w:sz w:val="22"/>
          <w:szCs w:val="22"/>
        </w:rPr>
        <w:t>rinting ink</w:t>
      </w:r>
    </w:p>
    <w:p w:rsidR="00FF771E" w:rsidRPr="00E22C9C" w:rsidRDefault="00FF771E" w:rsidP="00092A0A">
      <w:pPr>
        <w:pStyle w:val="Default"/>
        <w:ind w:left="284" w:right="20"/>
        <w:rPr>
          <w:color w:val="auto"/>
          <w:sz w:val="22"/>
          <w:szCs w:val="22"/>
        </w:rPr>
      </w:pPr>
      <w:r w:rsidRPr="00E22C9C">
        <w:rPr>
          <w:color w:val="auto"/>
          <w:sz w:val="22"/>
          <w:szCs w:val="22"/>
        </w:rPr>
        <w:t xml:space="preserve">Shellac </w:t>
      </w:r>
    </w:p>
    <w:p w:rsidR="00FF771E" w:rsidRPr="00E22C9C" w:rsidRDefault="00FF771E" w:rsidP="00092A0A">
      <w:pPr>
        <w:pStyle w:val="Default"/>
        <w:ind w:left="284" w:right="20"/>
        <w:rPr>
          <w:color w:val="auto"/>
          <w:sz w:val="22"/>
          <w:szCs w:val="22"/>
        </w:rPr>
      </w:pPr>
      <w:r w:rsidRPr="00E22C9C">
        <w:rPr>
          <w:color w:val="auto"/>
          <w:sz w:val="22"/>
          <w:szCs w:val="22"/>
        </w:rPr>
        <w:t>Titanium dioxide (E171)</w:t>
      </w:r>
    </w:p>
    <w:p w:rsidR="00FF771E" w:rsidRPr="00E22C9C" w:rsidRDefault="00FF771E" w:rsidP="00092A0A">
      <w:pPr>
        <w:pStyle w:val="Default"/>
        <w:ind w:left="284" w:right="20"/>
        <w:rPr>
          <w:color w:val="auto"/>
          <w:sz w:val="22"/>
          <w:szCs w:val="22"/>
        </w:rPr>
      </w:pPr>
      <w:r w:rsidRPr="00E22C9C">
        <w:rPr>
          <w:color w:val="auto"/>
          <w:sz w:val="22"/>
          <w:szCs w:val="22"/>
        </w:rPr>
        <w:t>Propylene glycol</w:t>
      </w:r>
    </w:p>
    <w:p w:rsidR="00FF771E" w:rsidRDefault="00FF771E" w:rsidP="00092A0A">
      <w:pPr>
        <w:pStyle w:val="Default"/>
        <w:ind w:right="20"/>
        <w:rPr>
          <w:sz w:val="22"/>
          <w:szCs w:val="22"/>
        </w:rPr>
      </w:pPr>
    </w:p>
    <w:p w:rsidR="00387EF5" w:rsidRPr="00387EF5" w:rsidRDefault="00387EF5" w:rsidP="00092A0A">
      <w:pPr>
        <w:pStyle w:val="Default"/>
        <w:ind w:left="284" w:right="20"/>
        <w:rPr>
          <w:sz w:val="22"/>
          <w:szCs w:val="22"/>
          <w:u w:val="single"/>
        </w:rPr>
      </w:pPr>
      <w:r w:rsidRPr="00387EF5">
        <w:rPr>
          <w:sz w:val="22"/>
          <w:szCs w:val="22"/>
          <w:u w:val="single"/>
        </w:rPr>
        <w:t xml:space="preserve">50 mg hard capsules </w:t>
      </w:r>
    </w:p>
    <w:p w:rsidR="00387EF5" w:rsidRDefault="00387EF5" w:rsidP="00092A0A">
      <w:pPr>
        <w:pStyle w:val="Default"/>
        <w:ind w:left="284" w:right="20"/>
        <w:rPr>
          <w:sz w:val="22"/>
          <w:szCs w:val="22"/>
        </w:rPr>
      </w:pPr>
      <w:r>
        <w:rPr>
          <w:i/>
          <w:iCs/>
          <w:sz w:val="22"/>
          <w:szCs w:val="22"/>
        </w:rPr>
        <w:t xml:space="preserve">Capsule content </w:t>
      </w:r>
    </w:p>
    <w:p w:rsidR="00387EF5" w:rsidRDefault="00387EF5" w:rsidP="00092A0A">
      <w:pPr>
        <w:pStyle w:val="Default"/>
        <w:ind w:left="284" w:right="20"/>
        <w:rPr>
          <w:sz w:val="22"/>
          <w:szCs w:val="22"/>
        </w:rPr>
      </w:pPr>
      <w:r>
        <w:rPr>
          <w:sz w:val="22"/>
          <w:szCs w:val="22"/>
        </w:rPr>
        <w:t xml:space="preserve">Povidone K30 LP </w:t>
      </w:r>
      <w:r w:rsidR="003A2E38" w:rsidRPr="009F3623">
        <w:rPr>
          <w:iCs/>
          <w:lang w:val="en-GB"/>
        </w:rPr>
        <w:t>(E 1201)</w:t>
      </w:r>
    </w:p>
    <w:p w:rsidR="00387EF5" w:rsidRDefault="00387EF5" w:rsidP="00092A0A">
      <w:pPr>
        <w:pStyle w:val="Default"/>
        <w:ind w:left="284" w:right="20"/>
        <w:rPr>
          <w:sz w:val="22"/>
          <w:szCs w:val="22"/>
        </w:rPr>
      </w:pPr>
      <w:r>
        <w:rPr>
          <w:sz w:val="22"/>
          <w:szCs w:val="22"/>
        </w:rPr>
        <w:t xml:space="preserve">Cellulose, microcrystalline </w:t>
      </w:r>
      <w:r w:rsidR="003A2E38" w:rsidRPr="009F3623">
        <w:rPr>
          <w:iCs/>
          <w:lang w:val="en-GB"/>
        </w:rPr>
        <w:t>(E 460)</w:t>
      </w:r>
    </w:p>
    <w:p w:rsidR="00387EF5" w:rsidRDefault="00387EF5" w:rsidP="00092A0A">
      <w:pPr>
        <w:pStyle w:val="Default"/>
        <w:ind w:left="284" w:right="20"/>
        <w:rPr>
          <w:sz w:val="22"/>
          <w:szCs w:val="22"/>
        </w:rPr>
      </w:pPr>
      <w:r>
        <w:rPr>
          <w:sz w:val="22"/>
          <w:szCs w:val="22"/>
        </w:rPr>
        <w:t xml:space="preserve">Croscarmellose sodium </w:t>
      </w:r>
      <w:r w:rsidR="00FF771E" w:rsidRPr="009F3623">
        <w:rPr>
          <w:iCs/>
          <w:lang w:val="en-GB"/>
        </w:rPr>
        <w:t>(E 468)</w:t>
      </w:r>
    </w:p>
    <w:p w:rsidR="00387EF5" w:rsidRDefault="00387EF5" w:rsidP="00092A0A">
      <w:pPr>
        <w:pStyle w:val="Default"/>
        <w:ind w:left="284" w:right="20"/>
        <w:rPr>
          <w:sz w:val="22"/>
          <w:szCs w:val="22"/>
        </w:rPr>
      </w:pPr>
      <w:r>
        <w:rPr>
          <w:sz w:val="22"/>
          <w:szCs w:val="22"/>
        </w:rPr>
        <w:t xml:space="preserve">Magnesium stearate </w:t>
      </w:r>
      <w:r w:rsidR="00FF771E" w:rsidRPr="009F3623">
        <w:rPr>
          <w:iCs/>
          <w:lang w:val="en-GB"/>
        </w:rPr>
        <w:t>(E 470b)</w:t>
      </w:r>
    </w:p>
    <w:p w:rsidR="00387EF5" w:rsidRDefault="00387EF5" w:rsidP="00092A0A">
      <w:pPr>
        <w:pStyle w:val="Default"/>
        <w:ind w:left="284" w:right="20"/>
        <w:rPr>
          <w:sz w:val="22"/>
          <w:szCs w:val="22"/>
        </w:rPr>
      </w:pPr>
    </w:p>
    <w:p w:rsidR="00387EF5" w:rsidRDefault="00387EF5" w:rsidP="00092A0A">
      <w:pPr>
        <w:pStyle w:val="Default"/>
        <w:ind w:left="284" w:right="20"/>
        <w:rPr>
          <w:sz w:val="22"/>
          <w:szCs w:val="22"/>
        </w:rPr>
      </w:pPr>
      <w:r>
        <w:rPr>
          <w:i/>
          <w:iCs/>
          <w:sz w:val="22"/>
          <w:szCs w:val="22"/>
        </w:rPr>
        <w:t xml:space="preserve">Capsule shell </w:t>
      </w:r>
    </w:p>
    <w:p w:rsidR="00387EF5" w:rsidRDefault="00387EF5" w:rsidP="00092A0A">
      <w:pPr>
        <w:pStyle w:val="Default"/>
        <w:ind w:left="284" w:right="20"/>
        <w:rPr>
          <w:sz w:val="22"/>
          <w:szCs w:val="22"/>
        </w:rPr>
      </w:pPr>
      <w:r>
        <w:rPr>
          <w:sz w:val="22"/>
          <w:szCs w:val="22"/>
        </w:rPr>
        <w:t xml:space="preserve">Gelatin </w:t>
      </w:r>
    </w:p>
    <w:p w:rsidR="00387EF5" w:rsidRDefault="00387EF5" w:rsidP="00092A0A">
      <w:pPr>
        <w:pStyle w:val="Default"/>
        <w:ind w:left="284" w:right="20"/>
        <w:rPr>
          <w:sz w:val="22"/>
          <w:szCs w:val="22"/>
        </w:rPr>
      </w:pPr>
      <w:r>
        <w:rPr>
          <w:sz w:val="22"/>
          <w:szCs w:val="22"/>
        </w:rPr>
        <w:t xml:space="preserve">Titanium dioxide </w:t>
      </w:r>
      <w:r w:rsidR="00FF771E" w:rsidRPr="009F3623">
        <w:rPr>
          <w:iCs/>
          <w:lang w:val="en-GB"/>
        </w:rPr>
        <w:t>(E171)</w:t>
      </w:r>
    </w:p>
    <w:p w:rsidR="00387EF5" w:rsidRDefault="00387EF5" w:rsidP="00092A0A">
      <w:pPr>
        <w:pStyle w:val="Default"/>
        <w:ind w:left="284" w:right="20"/>
        <w:rPr>
          <w:sz w:val="22"/>
          <w:szCs w:val="22"/>
        </w:rPr>
      </w:pPr>
      <w:r>
        <w:rPr>
          <w:sz w:val="22"/>
          <w:szCs w:val="22"/>
        </w:rPr>
        <w:t xml:space="preserve">Red iron oxide (E172) </w:t>
      </w:r>
    </w:p>
    <w:p w:rsidR="00387EF5" w:rsidRDefault="00387EF5" w:rsidP="00092A0A">
      <w:pPr>
        <w:pStyle w:val="Default"/>
        <w:ind w:left="284" w:right="20"/>
        <w:rPr>
          <w:sz w:val="22"/>
          <w:szCs w:val="22"/>
        </w:rPr>
      </w:pPr>
      <w:r>
        <w:rPr>
          <w:sz w:val="22"/>
          <w:szCs w:val="22"/>
        </w:rPr>
        <w:t xml:space="preserve">Yellow iron oxide (E172) </w:t>
      </w:r>
    </w:p>
    <w:p w:rsidR="00387EF5" w:rsidRDefault="00387EF5" w:rsidP="00092A0A">
      <w:pPr>
        <w:pStyle w:val="BodyText"/>
        <w:ind w:left="284" w:right="20"/>
      </w:pPr>
      <w:r>
        <w:t>Black iron oxide (E172)</w:t>
      </w:r>
    </w:p>
    <w:p w:rsidR="009F3623" w:rsidRDefault="009F3623" w:rsidP="00092A0A">
      <w:pPr>
        <w:pStyle w:val="BodyText"/>
        <w:ind w:left="284" w:right="20"/>
      </w:pPr>
    </w:p>
    <w:p w:rsidR="00FF771E" w:rsidRPr="00FF771E" w:rsidRDefault="00FF771E" w:rsidP="00092A0A">
      <w:pPr>
        <w:pStyle w:val="Default"/>
        <w:ind w:left="284" w:right="20"/>
        <w:rPr>
          <w:i/>
          <w:sz w:val="22"/>
          <w:szCs w:val="22"/>
        </w:rPr>
      </w:pPr>
      <w:r>
        <w:rPr>
          <w:i/>
          <w:sz w:val="22"/>
          <w:szCs w:val="22"/>
        </w:rPr>
        <w:t>P</w:t>
      </w:r>
      <w:r w:rsidRPr="00FF771E">
        <w:rPr>
          <w:i/>
          <w:sz w:val="22"/>
          <w:szCs w:val="22"/>
        </w:rPr>
        <w:t>rinting ink</w:t>
      </w:r>
    </w:p>
    <w:p w:rsidR="00FF771E" w:rsidRPr="00E22C9C" w:rsidRDefault="00FF771E" w:rsidP="00092A0A">
      <w:pPr>
        <w:pStyle w:val="Default"/>
        <w:ind w:left="284" w:right="20"/>
        <w:rPr>
          <w:color w:val="auto"/>
          <w:sz w:val="22"/>
          <w:szCs w:val="22"/>
        </w:rPr>
      </w:pPr>
      <w:r w:rsidRPr="00E22C9C">
        <w:rPr>
          <w:color w:val="auto"/>
          <w:sz w:val="22"/>
          <w:szCs w:val="22"/>
        </w:rPr>
        <w:t xml:space="preserve">Shellac </w:t>
      </w:r>
    </w:p>
    <w:p w:rsidR="00FF771E" w:rsidRPr="00E22C9C" w:rsidRDefault="00FF771E" w:rsidP="00092A0A">
      <w:pPr>
        <w:pStyle w:val="Default"/>
        <w:ind w:left="284" w:right="20"/>
        <w:rPr>
          <w:color w:val="auto"/>
          <w:sz w:val="22"/>
          <w:szCs w:val="22"/>
        </w:rPr>
      </w:pPr>
      <w:r>
        <w:rPr>
          <w:color w:val="auto"/>
          <w:sz w:val="22"/>
          <w:szCs w:val="22"/>
        </w:rPr>
        <w:t>Black iron oxide (E172</w:t>
      </w:r>
      <w:r w:rsidRPr="00E22C9C">
        <w:rPr>
          <w:color w:val="auto"/>
          <w:sz w:val="22"/>
          <w:szCs w:val="22"/>
        </w:rPr>
        <w:t>)</w:t>
      </w:r>
    </w:p>
    <w:p w:rsidR="00FF771E" w:rsidRPr="00E22C9C" w:rsidRDefault="00FF771E" w:rsidP="00092A0A">
      <w:pPr>
        <w:pStyle w:val="Default"/>
        <w:ind w:left="284" w:right="20"/>
        <w:rPr>
          <w:color w:val="auto"/>
          <w:sz w:val="22"/>
          <w:szCs w:val="22"/>
        </w:rPr>
      </w:pPr>
      <w:r w:rsidRPr="00E22C9C">
        <w:rPr>
          <w:color w:val="auto"/>
          <w:sz w:val="22"/>
          <w:szCs w:val="22"/>
        </w:rPr>
        <w:t>Propylene glycol</w:t>
      </w:r>
    </w:p>
    <w:p w:rsidR="00FF771E" w:rsidRDefault="00FF771E" w:rsidP="00092A0A">
      <w:pPr>
        <w:pStyle w:val="BodyText"/>
        <w:ind w:left="284" w:right="20"/>
      </w:pPr>
    </w:p>
    <w:p w:rsidR="009566A0" w:rsidRDefault="009566A0" w:rsidP="00092A0A">
      <w:pPr>
        <w:pStyle w:val="BodyText"/>
        <w:ind w:right="20"/>
      </w:pPr>
    </w:p>
    <w:p w:rsidR="00457196" w:rsidRDefault="00346252" w:rsidP="00092A0A">
      <w:pPr>
        <w:pStyle w:val="Heading1"/>
        <w:numPr>
          <w:ilvl w:val="1"/>
          <w:numId w:val="10"/>
        </w:numPr>
        <w:tabs>
          <w:tab w:val="left" w:pos="805"/>
          <w:tab w:val="left" w:pos="806"/>
        </w:tabs>
        <w:spacing w:before="0"/>
        <w:ind w:right="20" w:hanging="568"/>
      </w:pPr>
      <w:r>
        <w:t>Incompatibilities</w:t>
      </w:r>
    </w:p>
    <w:p w:rsidR="00457196" w:rsidRDefault="00457196" w:rsidP="00092A0A">
      <w:pPr>
        <w:pStyle w:val="BodyText"/>
        <w:spacing w:before="1"/>
        <w:ind w:right="20"/>
        <w:rPr>
          <w:b/>
        </w:rPr>
      </w:pPr>
    </w:p>
    <w:p w:rsidR="00457196" w:rsidRDefault="00346252" w:rsidP="00092A0A">
      <w:pPr>
        <w:pStyle w:val="BodyText"/>
        <w:ind w:left="238" w:right="20"/>
      </w:pPr>
      <w:r>
        <w:t>Not applicable.</w:t>
      </w:r>
    </w:p>
    <w:p w:rsidR="00457196" w:rsidRDefault="00457196" w:rsidP="00092A0A">
      <w:pPr>
        <w:pStyle w:val="BodyText"/>
        <w:ind w:right="20"/>
      </w:pPr>
    </w:p>
    <w:p w:rsidR="00CA197F" w:rsidRDefault="00CA197F" w:rsidP="00092A0A">
      <w:pPr>
        <w:pStyle w:val="BodyText"/>
        <w:ind w:right="20"/>
      </w:pPr>
    </w:p>
    <w:p w:rsidR="00457196" w:rsidRDefault="00346252" w:rsidP="00092A0A">
      <w:pPr>
        <w:pStyle w:val="Heading1"/>
        <w:numPr>
          <w:ilvl w:val="1"/>
          <w:numId w:val="10"/>
        </w:numPr>
        <w:tabs>
          <w:tab w:val="left" w:pos="805"/>
          <w:tab w:val="left" w:pos="806"/>
        </w:tabs>
        <w:spacing w:before="1"/>
        <w:ind w:right="20" w:hanging="568"/>
      </w:pPr>
      <w:r>
        <w:t>Shelf</w:t>
      </w:r>
      <w:r>
        <w:rPr>
          <w:spacing w:val="-1"/>
        </w:rPr>
        <w:t xml:space="preserve"> </w:t>
      </w:r>
      <w:r>
        <w:t>life</w:t>
      </w:r>
    </w:p>
    <w:p w:rsidR="00457196" w:rsidRDefault="00457196" w:rsidP="00092A0A">
      <w:pPr>
        <w:pStyle w:val="BodyText"/>
        <w:ind w:right="20"/>
        <w:rPr>
          <w:b/>
        </w:rPr>
      </w:pPr>
    </w:p>
    <w:p w:rsidR="00457196" w:rsidRDefault="00387EF5" w:rsidP="00092A0A">
      <w:pPr>
        <w:pStyle w:val="BodyText"/>
        <w:ind w:left="238" w:right="20"/>
      </w:pPr>
      <w:r w:rsidRPr="00387EF5">
        <w:rPr>
          <w:lang w:val="mk-MK"/>
        </w:rPr>
        <w:t>2</w:t>
      </w:r>
      <w:r w:rsidR="00346252" w:rsidRPr="00387EF5">
        <w:t xml:space="preserve"> years.</w:t>
      </w:r>
    </w:p>
    <w:p w:rsidR="00CA197F" w:rsidRDefault="00CA197F" w:rsidP="00092A0A">
      <w:pPr>
        <w:pStyle w:val="BodyText"/>
        <w:ind w:left="238" w:right="20"/>
      </w:pPr>
    </w:p>
    <w:p w:rsidR="00457196" w:rsidRDefault="00457196" w:rsidP="00092A0A">
      <w:pPr>
        <w:pStyle w:val="BodyText"/>
        <w:spacing w:before="9"/>
        <w:ind w:right="20"/>
        <w:rPr>
          <w:sz w:val="21"/>
        </w:rPr>
      </w:pPr>
    </w:p>
    <w:p w:rsidR="00457196" w:rsidRDefault="00346252" w:rsidP="00092A0A">
      <w:pPr>
        <w:pStyle w:val="Heading1"/>
        <w:numPr>
          <w:ilvl w:val="1"/>
          <w:numId w:val="10"/>
        </w:numPr>
        <w:tabs>
          <w:tab w:val="left" w:pos="805"/>
          <w:tab w:val="left" w:pos="806"/>
        </w:tabs>
        <w:spacing w:before="1"/>
        <w:ind w:right="20" w:hanging="568"/>
      </w:pPr>
      <w:r>
        <w:t>Special precautions for</w:t>
      </w:r>
      <w:r>
        <w:rPr>
          <w:spacing w:val="-2"/>
        </w:rPr>
        <w:t xml:space="preserve"> </w:t>
      </w:r>
      <w:r>
        <w:t>storage</w:t>
      </w:r>
    </w:p>
    <w:p w:rsidR="00457196" w:rsidRDefault="00457196" w:rsidP="00092A0A">
      <w:pPr>
        <w:pStyle w:val="BodyText"/>
        <w:ind w:right="20"/>
        <w:rPr>
          <w:b/>
        </w:rPr>
      </w:pPr>
    </w:p>
    <w:p w:rsidR="009F3623" w:rsidRDefault="004664D1" w:rsidP="00092A0A">
      <w:pPr>
        <w:pStyle w:val="BodyText"/>
        <w:ind w:left="238" w:right="20"/>
      </w:pPr>
      <w:r w:rsidRPr="004664D1">
        <w:t>Store in the original package.</w:t>
      </w:r>
    </w:p>
    <w:p w:rsidR="00387EF5" w:rsidRDefault="00387EF5" w:rsidP="00BA54E5">
      <w:pPr>
        <w:pStyle w:val="BodyText"/>
        <w:ind w:right="20"/>
      </w:pPr>
    </w:p>
    <w:p w:rsidR="00457196" w:rsidRPr="00387EF5" w:rsidRDefault="00346252" w:rsidP="00092A0A">
      <w:pPr>
        <w:pStyle w:val="Heading1"/>
        <w:numPr>
          <w:ilvl w:val="1"/>
          <w:numId w:val="10"/>
        </w:numPr>
        <w:tabs>
          <w:tab w:val="left" w:pos="809"/>
          <w:tab w:val="left" w:pos="811"/>
        </w:tabs>
        <w:spacing w:before="65"/>
        <w:ind w:left="810" w:right="20" w:hanging="573"/>
      </w:pPr>
      <w:r w:rsidRPr="00387EF5">
        <w:t>Nature and contents of</w:t>
      </w:r>
      <w:r w:rsidRPr="00387EF5">
        <w:rPr>
          <w:spacing w:val="-4"/>
        </w:rPr>
        <w:t xml:space="preserve"> </w:t>
      </w:r>
      <w:r w:rsidRPr="00387EF5">
        <w:t>container</w:t>
      </w:r>
    </w:p>
    <w:p w:rsidR="00457196" w:rsidRPr="00387EF5" w:rsidRDefault="00457196" w:rsidP="00092A0A">
      <w:pPr>
        <w:pStyle w:val="BodyText"/>
        <w:ind w:right="20"/>
        <w:rPr>
          <w:b/>
        </w:rPr>
      </w:pPr>
    </w:p>
    <w:p w:rsidR="00387EF5" w:rsidRDefault="00387EF5" w:rsidP="00092A0A">
      <w:pPr>
        <w:pStyle w:val="BodyText"/>
        <w:ind w:left="284" w:right="20"/>
      </w:pPr>
      <w:r>
        <w:t xml:space="preserve">oPA/Al/PE/Al blisters containing 28 hard capsules. </w:t>
      </w:r>
    </w:p>
    <w:p w:rsidR="00457196" w:rsidRDefault="00387EF5" w:rsidP="00092A0A">
      <w:pPr>
        <w:pStyle w:val="BodyText"/>
        <w:ind w:left="284" w:right="20"/>
      </w:pPr>
      <w:r>
        <w:t>oPA/Al/PE/Al unit dose blisters containing 28 x 1 hard capsules.</w:t>
      </w:r>
    </w:p>
    <w:p w:rsidR="00457196" w:rsidRDefault="00457196" w:rsidP="00092A0A">
      <w:pPr>
        <w:pStyle w:val="BodyText"/>
        <w:spacing w:before="11"/>
        <w:ind w:right="20"/>
        <w:rPr>
          <w:sz w:val="21"/>
        </w:rPr>
      </w:pPr>
    </w:p>
    <w:p w:rsidR="00457196" w:rsidRDefault="00346252" w:rsidP="00092A0A">
      <w:pPr>
        <w:pStyle w:val="BodyText"/>
        <w:ind w:left="238" w:right="20"/>
      </w:pPr>
      <w:r>
        <w:t>Not all pack sizes may be marketed.</w:t>
      </w:r>
    </w:p>
    <w:p w:rsidR="00CA197F" w:rsidRDefault="00CA197F" w:rsidP="00092A0A">
      <w:pPr>
        <w:pStyle w:val="BodyText"/>
        <w:ind w:left="238" w:right="20"/>
      </w:pPr>
    </w:p>
    <w:p w:rsidR="006537F0" w:rsidRDefault="006537F0" w:rsidP="00092A0A">
      <w:pPr>
        <w:pStyle w:val="BodyText"/>
        <w:ind w:right="20"/>
      </w:pPr>
    </w:p>
    <w:p w:rsidR="00457196" w:rsidRDefault="00346252" w:rsidP="00092A0A">
      <w:pPr>
        <w:pStyle w:val="Heading1"/>
        <w:numPr>
          <w:ilvl w:val="1"/>
          <w:numId w:val="10"/>
        </w:numPr>
        <w:tabs>
          <w:tab w:val="left" w:pos="805"/>
          <w:tab w:val="left" w:pos="806"/>
        </w:tabs>
        <w:spacing w:before="0"/>
        <w:ind w:right="20" w:hanging="568"/>
      </w:pPr>
      <w:r>
        <w:t>Special precautions for</w:t>
      </w:r>
      <w:r>
        <w:rPr>
          <w:spacing w:val="-2"/>
        </w:rPr>
        <w:t xml:space="preserve"> </w:t>
      </w:r>
      <w:r>
        <w:t>disposal</w:t>
      </w:r>
    </w:p>
    <w:p w:rsidR="00457196" w:rsidRDefault="00457196" w:rsidP="00092A0A">
      <w:pPr>
        <w:pStyle w:val="BodyText"/>
        <w:spacing w:before="10"/>
        <w:ind w:right="20"/>
        <w:rPr>
          <w:b/>
          <w:sz w:val="21"/>
        </w:rPr>
      </w:pPr>
    </w:p>
    <w:p w:rsidR="00457196" w:rsidRDefault="00346252" w:rsidP="00092A0A">
      <w:pPr>
        <w:pStyle w:val="BodyText"/>
        <w:ind w:left="238" w:right="20"/>
      </w:pPr>
      <w:r>
        <w:t>No special requirements.</w:t>
      </w:r>
    </w:p>
    <w:p w:rsidR="00457196" w:rsidRDefault="00457196" w:rsidP="00092A0A">
      <w:pPr>
        <w:pStyle w:val="BodyText"/>
        <w:spacing w:before="1"/>
        <w:ind w:right="20"/>
      </w:pPr>
    </w:p>
    <w:p w:rsidR="00457196" w:rsidRDefault="00346252" w:rsidP="00092A0A">
      <w:pPr>
        <w:pStyle w:val="BodyText"/>
        <w:ind w:left="238" w:right="20"/>
      </w:pPr>
      <w:r>
        <w:t>Any unused medicinal product or waste material should be disposed of in accordance with local requirements.</w:t>
      </w:r>
    </w:p>
    <w:p w:rsidR="00457196" w:rsidRDefault="00457196" w:rsidP="00092A0A">
      <w:pPr>
        <w:pStyle w:val="BodyText"/>
        <w:ind w:right="20"/>
        <w:rPr>
          <w:sz w:val="24"/>
        </w:rPr>
      </w:pPr>
    </w:p>
    <w:p w:rsidR="00457196" w:rsidRDefault="00457196" w:rsidP="00092A0A">
      <w:pPr>
        <w:pStyle w:val="BodyText"/>
        <w:spacing w:before="1"/>
        <w:ind w:right="20"/>
        <w:rPr>
          <w:sz w:val="20"/>
        </w:rPr>
      </w:pPr>
    </w:p>
    <w:p w:rsidR="00457196" w:rsidRDefault="00346252" w:rsidP="00092A0A">
      <w:pPr>
        <w:pStyle w:val="Heading1"/>
        <w:numPr>
          <w:ilvl w:val="0"/>
          <w:numId w:val="13"/>
        </w:numPr>
        <w:tabs>
          <w:tab w:val="left" w:pos="805"/>
          <w:tab w:val="left" w:pos="806"/>
        </w:tabs>
        <w:spacing w:before="0"/>
        <w:ind w:left="805" w:right="20" w:hanging="568"/>
      </w:pPr>
      <w:r>
        <w:t>MARKETING AUTHORISATION</w:t>
      </w:r>
      <w:r>
        <w:rPr>
          <w:spacing w:val="-7"/>
        </w:rPr>
        <w:t xml:space="preserve"> </w:t>
      </w:r>
      <w:r>
        <w:t>HOLDER</w:t>
      </w:r>
    </w:p>
    <w:p w:rsidR="00785D4C" w:rsidRDefault="00785D4C" w:rsidP="00092A0A">
      <w:pPr>
        <w:pStyle w:val="BodyText"/>
        <w:tabs>
          <w:tab w:val="left" w:pos="2685"/>
        </w:tabs>
        <w:ind w:right="20"/>
        <w:rPr>
          <w:lang w:val="en-GB"/>
        </w:rPr>
      </w:pPr>
    </w:p>
    <w:p w:rsidR="00457196" w:rsidRDefault="00785D4C" w:rsidP="00092A0A">
      <w:pPr>
        <w:pStyle w:val="BodyText"/>
        <w:tabs>
          <w:tab w:val="left" w:pos="2685"/>
        </w:tabs>
        <w:ind w:left="284" w:right="20"/>
        <w:rPr>
          <w:sz w:val="24"/>
        </w:rPr>
      </w:pPr>
      <w:r w:rsidRPr="00663161">
        <w:rPr>
          <w:lang w:val="en-GB"/>
        </w:rPr>
        <w:t>&lt;[To be completed nationally]&gt;</w:t>
      </w:r>
      <w:r>
        <w:rPr>
          <w:sz w:val="24"/>
        </w:rPr>
        <w:tab/>
        <w:t xml:space="preserve"> </w:t>
      </w:r>
    </w:p>
    <w:p w:rsidR="00457196" w:rsidRDefault="00457196" w:rsidP="00092A0A">
      <w:pPr>
        <w:pStyle w:val="BodyText"/>
        <w:ind w:right="20"/>
        <w:rPr>
          <w:sz w:val="20"/>
        </w:rPr>
      </w:pPr>
    </w:p>
    <w:p w:rsidR="00457196" w:rsidRDefault="00346252" w:rsidP="00092A0A">
      <w:pPr>
        <w:pStyle w:val="Heading1"/>
        <w:numPr>
          <w:ilvl w:val="0"/>
          <w:numId w:val="13"/>
        </w:numPr>
        <w:tabs>
          <w:tab w:val="left" w:pos="805"/>
          <w:tab w:val="left" w:pos="806"/>
        </w:tabs>
        <w:spacing w:before="0"/>
        <w:ind w:left="805" w:right="20" w:hanging="568"/>
      </w:pPr>
      <w:r>
        <w:t>MARKETING AUTHORISATION</w:t>
      </w:r>
      <w:r>
        <w:rPr>
          <w:spacing w:val="-4"/>
        </w:rPr>
        <w:t xml:space="preserve"> </w:t>
      </w:r>
      <w:r>
        <w:t>NUMBER(S)</w:t>
      </w:r>
    </w:p>
    <w:p w:rsidR="00785D4C" w:rsidRDefault="00785D4C" w:rsidP="00092A0A">
      <w:pPr>
        <w:pStyle w:val="BodyText"/>
        <w:ind w:right="20"/>
        <w:rPr>
          <w:lang w:val="en-GB"/>
        </w:rPr>
      </w:pPr>
    </w:p>
    <w:p w:rsidR="00457196" w:rsidRDefault="00785D4C" w:rsidP="00092A0A">
      <w:pPr>
        <w:pStyle w:val="BodyText"/>
        <w:ind w:left="284" w:right="20"/>
        <w:rPr>
          <w:b/>
        </w:rPr>
      </w:pPr>
      <w:r w:rsidRPr="00663161">
        <w:rPr>
          <w:lang w:val="en-GB"/>
        </w:rPr>
        <w:t>&lt;[To be completed nationally]&gt;</w:t>
      </w:r>
    </w:p>
    <w:p w:rsidR="00457196" w:rsidRDefault="00457196" w:rsidP="00092A0A">
      <w:pPr>
        <w:pStyle w:val="BodyText"/>
        <w:ind w:right="20"/>
        <w:rPr>
          <w:sz w:val="20"/>
        </w:rPr>
      </w:pPr>
    </w:p>
    <w:p w:rsidR="00457196" w:rsidRDefault="00346252" w:rsidP="00092A0A">
      <w:pPr>
        <w:pStyle w:val="Heading1"/>
        <w:numPr>
          <w:ilvl w:val="0"/>
          <w:numId w:val="13"/>
        </w:numPr>
        <w:tabs>
          <w:tab w:val="left" w:pos="805"/>
          <w:tab w:val="left" w:pos="806"/>
        </w:tabs>
        <w:spacing w:before="0"/>
        <w:ind w:left="805" w:right="20" w:hanging="568"/>
      </w:pPr>
      <w:r>
        <w:t>DATE OF FIRST AUTHORISATION/RENEWAL OF THE</w:t>
      </w:r>
      <w:r>
        <w:rPr>
          <w:spacing w:val="-8"/>
        </w:rPr>
        <w:t xml:space="preserve"> </w:t>
      </w:r>
      <w:r>
        <w:t>AUTHORISATION</w:t>
      </w:r>
    </w:p>
    <w:p w:rsidR="00785D4C" w:rsidRDefault="00785D4C" w:rsidP="00092A0A">
      <w:pPr>
        <w:pStyle w:val="BodyText"/>
        <w:ind w:right="20"/>
        <w:rPr>
          <w:b/>
        </w:rPr>
      </w:pPr>
    </w:p>
    <w:p w:rsidR="00785D4C" w:rsidRPr="00785D4C" w:rsidRDefault="00785D4C" w:rsidP="00092A0A">
      <w:pPr>
        <w:pStyle w:val="BodyText"/>
        <w:ind w:left="284" w:right="20"/>
      </w:pPr>
      <w:r w:rsidRPr="00785D4C">
        <w:rPr>
          <w:b/>
        </w:rPr>
        <w:t>&lt;</w:t>
      </w:r>
      <w:r w:rsidRPr="00785D4C">
        <w:t xml:space="preserve">Date of first </w:t>
      </w:r>
      <w:r w:rsidR="00BF7E72" w:rsidRPr="00785D4C">
        <w:t>authorization</w:t>
      </w:r>
      <w:r w:rsidRPr="00785D4C">
        <w:t>: {DD month YYYY}&gt;</w:t>
      </w:r>
    </w:p>
    <w:p w:rsidR="00457196" w:rsidRPr="00785D4C" w:rsidRDefault="00785D4C" w:rsidP="00092A0A">
      <w:pPr>
        <w:pStyle w:val="BodyText"/>
        <w:ind w:left="284" w:right="20"/>
      </w:pPr>
      <w:r w:rsidRPr="00785D4C">
        <w:t>&lt;Date of latest renewal: {DD month YYYY}&gt;</w:t>
      </w:r>
    </w:p>
    <w:p w:rsidR="00457196" w:rsidRDefault="00457196" w:rsidP="00092A0A">
      <w:pPr>
        <w:pStyle w:val="BodyText"/>
        <w:spacing w:before="11"/>
        <w:ind w:right="20"/>
        <w:rPr>
          <w:sz w:val="19"/>
        </w:rPr>
      </w:pPr>
    </w:p>
    <w:p w:rsidR="00457196" w:rsidRDefault="00346252" w:rsidP="00092A0A">
      <w:pPr>
        <w:pStyle w:val="Heading1"/>
        <w:numPr>
          <w:ilvl w:val="0"/>
          <w:numId w:val="13"/>
        </w:numPr>
        <w:tabs>
          <w:tab w:val="left" w:pos="805"/>
          <w:tab w:val="left" w:pos="806"/>
        </w:tabs>
        <w:spacing w:before="0"/>
        <w:ind w:left="805" w:right="20" w:hanging="568"/>
      </w:pPr>
      <w:r>
        <w:t>DATE OF REVISION OF THE</w:t>
      </w:r>
      <w:r>
        <w:rPr>
          <w:spacing w:val="-5"/>
        </w:rPr>
        <w:t xml:space="preserve"> </w:t>
      </w:r>
      <w:r>
        <w:t>TEXT</w:t>
      </w:r>
    </w:p>
    <w:p w:rsidR="00457196" w:rsidRDefault="00457196" w:rsidP="00092A0A">
      <w:pPr>
        <w:pStyle w:val="BodyText"/>
        <w:ind w:right="20"/>
        <w:rPr>
          <w:b/>
        </w:rPr>
      </w:pPr>
    </w:p>
    <w:p w:rsidR="00785D4C" w:rsidRDefault="00785D4C" w:rsidP="00092A0A">
      <w:pPr>
        <w:widowControl/>
        <w:tabs>
          <w:tab w:val="left" w:pos="567"/>
        </w:tabs>
        <w:ind w:left="284" w:right="20"/>
      </w:pPr>
      <w:r w:rsidRPr="00B20979">
        <w:rPr>
          <w:lang w:val="en-GB"/>
        </w:rPr>
        <w:t>&lt;{MM/YYYY}&gt;</w:t>
      </w:r>
    </w:p>
    <w:p w:rsidR="00785D4C" w:rsidRDefault="00785D4C" w:rsidP="00092A0A">
      <w:pPr>
        <w:pStyle w:val="BodyText"/>
        <w:ind w:right="20"/>
        <w:rPr>
          <w:b/>
        </w:rPr>
      </w:pPr>
    </w:p>
    <w:sectPr w:rsidR="00785D4C" w:rsidSect="0001188F">
      <w:pgSz w:w="11910" w:h="16850"/>
      <w:pgMar w:top="1600" w:right="1080" w:bottom="900" w:left="1180" w:header="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A1" w:rsidRDefault="00DF7AA1">
      <w:r>
        <w:separator/>
      </w:r>
    </w:p>
  </w:endnote>
  <w:endnote w:type="continuationSeparator" w:id="0">
    <w:p w:rsidR="00DF7AA1" w:rsidRDefault="00DF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0A" w:rsidRDefault="00092A0A">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34EE73B6" wp14:editId="3AD9E9F4">
              <wp:simplePos x="0" y="0"/>
              <wp:positionH relativeFrom="page">
                <wp:posOffset>3656965</wp:posOffset>
              </wp:positionH>
              <wp:positionV relativeFrom="page">
                <wp:posOffset>10100945</wp:posOffset>
              </wp:positionV>
              <wp:extent cx="18923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A0A" w:rsidRDefault="00092A0A">
                          <w:pPr>
                            <w:spacing w:before="15"/>
                            <w:ind w:left="60"/>
                            <w:rPr>
                              <w:rFonts w:ascii="Arial"/>
                              <w:sz w:val="16"/>
                            </w:rPr>
                          </w:pPr>
                          <w:r>
                            <w:fldChar w:fldCharType="begin"/>
                          </w:r>
                          <w:r>
                            <w:rPr>
                              <w:rFonts w:ascii="Arial"/>
                              <w:sz w:val="16"/>
                            </w:rPr>
                            <w:instrText xml:space="preserve"> PAGE </w:instrText>
                          </w:r>
                          <w:r>
                            <w:fldChar w:fldCharType="separate"/>
                          </w:r>
                          <w:r w:rsidR="00F71712">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E73B6" id="_x0000_t202" coordsize="21600,21600" o:spt="202" path="m,l,21600r21600,l21600,xe">
              <v:stroke joinstyle="miter"/>
              <v:path gradientshapeok="t" o:connecttype="rect"/>
            </v:shapetype>
            <v:shape id="Text Box 1" o:spid="_x0000_s1081" type="#_x0000_t202" style="position:absolute;margin-left:287.95pt;margin-top:795.35pt;width:14.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" filled="f" stroked="f">
              <v:textbox inset="0,0,0,0">
                <w:txbxContent>
                  <w:p w:rsidR="00092A0A" w:rsidRDefault="00092A0A">
                    <w:pPr>
                      <w:spacing w:before="15"/>
                      <w:ind w:left="60"/>
                      <w:rPr>
                        <w:rFonts w:ascii="Arial"/>
                        <w:sz w:val="16"/>
                      </w:rPr>
                    </w:pPr>
                    <w:r>
                      <w:fldChar w:fldCharType="begin"/>
                    </w:r>
                    <w:r>
                      <w:rPr>
                        <w:rFonts w:ascii="Arial"/>
                        <w:sz w:val="16"/>
                      </w:rPr>
                      <w:instrText xml:space="preserve"> PAGE </w:instrText>
                    </w:r>
                    <w:r>
                      <w:fldChar w:fldCharType="separate"/>
                    </w:r>
                    <w:r w:rsidR="00F71712">
                      <w:rPr>
                        <w:rFonts w:ascii="Arial"/>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A1" w:rsidRDefault="00DF7AA1">
      <w:r>
        <w:separator/>
      </w:r>
    </w:p>
  </w:footnote>
  <w:footnote w:type="continuationSeparator" w:id="0">
    <w:p w:rsidR="00DF7AA1" w:rsidRDefault="00DF7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72EC"/>
    <w:multiLevelType w:val="multilevel"/>
    <w:tmpl w:val="9EAC9C7A"/>
    <w:lvl w:ilvl="0">
      <w:start w:val="1"/>
      <w:numFmt w:val="decimal"/>
      <w:lvlText w:val="%1."/>
      <w:lvlJc w:val="left"/>
      <w:pPr>
        <w:ind w:left="800" w:hanging="562"/>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805" w:hanging="567"/>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569" w:hanging="567"/>
      </w:pPr>
      <w:rPr>
        <w:rFonts w:hint="default"/>
        <w:lang w:val="en-US" w:eastAsia="en-US" w:bidi="ar-SA"/>
      </w:rPr>
    </w:lvl>
    <w:lvl w:ilvl="3">
      <w:numFmt w:val="bullet"/>
      <w:lvlText w:val="•"/>
      <w:lvlJc w:val="left"/>
      <w:pPr>
        <w:ind w:left="3453" w:hanging="567"/>
      </w:pPr>
      <w:rPr>
        <w:rFonts w:hint="default"/>
        <w:lang w:val="en-US" w:eastAsia="en-US" w:bidi="ar-SA"/>
      </w:rPr>
    </w:lvl>
    <w:lvl w:ilvl="4">
      <w:numFmt w:val="bullet"/>
      <w:lvlText w:val="•"/>
      <w:lvlJc w:val="left"/>
      <w:pPr>
        <w:ind w:left="4338" w:hanging="567"/>
      </w:pPr>
      <w:rPr>
        <w:rFonts w:hint="default"/>
        <w:lang w:val="en-US" w:eastAsia="en-US" w:bidi="ar-SA"/>
      </w:rPr>
    </w:lvl>
    <w:lvl w:ilvl="5">
      <w:numFmt w:val="bullet"/>
      <w:lvlText w:val="•"/>
      <w:lvlJc w:val="left"/>
      <w:pPr>
        <w:ind w:left="5223" w:hanging="567"/>
      </w:pPr>
      <w:rPr>
        <w:rFonts w:hint="default"/>
        <w:lang w:val="en-US" w:eastAsia="en-US" w:bidi="ar-SA"/>
      </w:rPr>
    </w:lvl>
    <w:lvl w:ilvl="6">
      <w:numFmt w:val="bullet"/>
      <w:lvlText w:val="•"/>
      <w:lvlJc w:val="left"/>
      <w:pPr>
        <w:ind w:left="6107" w:hanging="567"/>
      </w:pPr>
      <w:rPr>
        <w:rFonts w:hint="default"/>
        <w:lang w:val="en-US" w:eastAsia="en-US" w:bidi="ar-SA"/>
      </w:rPr>
    </w:lvl>
    <w:lvl w:ilvl="7">
      <w:numFmt w:val="bullet"/>
      <w:lvlText w:val="•"/>
      <w:lvlJc w:val="left"/>
      <w:pPr>
        <w:ind w:left="6992" w:hanging="567"/>
      </w:pPr>
      <w:rPr>
        <w:rFonts w:hint="default"/>
        <w:lang w:val="en-US" w:eastAsia="en-US" w:bidi="ar-SA"/>
      </w:rPr>
    </w:lvl>
    <w:lvl w:ilvl="8">
      <w:numFmt w:val="bullet"/>
      <w:lvlText w:val="•"/>
      <w:lvlJc w:val="left"/>
      <w:pPr>
        <w:ind w:left="7877" w:hanging="567"/>
      </w:pPr>
      <w:rPr>
        <w:rFonts w:hint="default"/>
        <w:lang w:val="en-US" w:eastAsia="en-US" w:bidi="ar-SA"/>
      </w:rPr>
    </w:lvl>
  </w:abstractNum>
  <w:abstractNum w:abstractNumId="1" w15:restartNumberingAfterBreak="0">
    <w:nsid w:val="20EE04BB"/>
    <w:multiLevelType w:val="hybridMultilevel"/>
    <w:tmpl w:val="63DA010C"/>
    <w:lvl w:ilvl="0" w:tplc="763A3330">
      <w:numFmt w:val="bullet"/>
      <w:lvlText w:val="-"/>
      <w:lvlJc w:val="left"/>
      <w:pPr>
        <w:ind w:left="805" w:hanging="567"/>
      </w:pPr>
      <w:rPr>
        <w:rFonts w:ascii="Times New Roman" w:eastAsia="Times New Roman" w:hAnsi="Times New Roman" w:cs="Times New Roman" w:hint="default"/>
        <w:w w:val="100"/>
        <w:sz w:val="22"/>
        <w:szCs w:val="22"/>
        <w:lang w:val="en-US" w:eastAsia="en-US" w:bidi="ar-SA"/>
      </w:rPr>
    </w:lvl>
    <w:lvl w:ilvl="1" w:tplc="2ECCADDA">
      <w:numFmt w:val="bullet"/>
      <w:lvlText w:val="•"/>
      <w:lvlJc w:val="left"/>
      <w:pPr>
        <w:ind w:left="1684" w:hanging="567"/>
      </w:pPr>
      <w:rPr>
        <w:rFonts w:hint="default"/>
        <w:lang w:val="en-US" w:eastAsia="en-US" w:bidi="ar-SA"/>
      </w:rPr>
    </w:lvl>
    <w:lvl w:ilvl="2" w:tplc="0F0A55C6">
      <w:numFmt w:val="bullet"/>
      <w:lvlText w:val="•"/>
      <w:lvlJc w:val="left"/>
      <w:pPr>
        <w:ind w:left="2569" w:hanging="567"/>
      </w:pPr>
      <w:rPr>
        <w:rFonts w:hint="default"/>
        <w:lang w:val="en-US" w:eastAsia="en-US" w:bidi="ar-SA"/>
      </w:rPr>
    </w:lvl>
    <w:lvl w:ilvl="3" w:tplc="DE24ABCE">
      <w:numFmt w:val="bullet"/>
      <w:lvlText w:val="•"/>
      <w:lvlJc w:val="left"/>
      <w:pPr>
        <w:ind w:left="3453" w:hanging="567"/>
      </w:pPr>
      <w:rPr>
        <w:rFonts w:hint="default"/>
        <w:lang w:val="en-US" w:eastAsia="en-US" w:bidi="ar-SA"/>
      </w:rPr>
    </w:lvl>
    <w:lvl w:ilvl="4" w:tplc="9E38671A">
      <w:numFmt w:val="bullet"/>
      <w:lvlText w:val="•"/>
      <w:lvlJc w:val="left"/>
      <w:pPr>
        <w:ind w:left="4338" w:hanging="567"/>
      </w:pPr>
      <w:rPr>
        <w:rFonts w:hint="default"/>
        <w:lang w:val="en-US" w:eastAsia="en-US" w:bidi="ar-SA"/>
      </w:rPr>
    </w:lvl>
    <w:lvl w:ilvl="5" w:tplc="C8C4970A">
      <w:numFmt w:val="bullet"/>
      <w:lvlText w:val="•"/>
      <w:lvlJc w:val="left"/>
      <w:pPr>
        <w:ind w:left="5223" w:hanging="567"/>
      </w:pPr>
      <w:rPr>
        <w:rFonts w:hint="default"/>
        <w:lang w:val="en-US" w:eastAsia="en-US" w:bidi="ar-SA"/>
      </w:rPr>
    </w:lvl>
    <w:lvl w:ilvl="6" w:tplc="CEB69076">
      <w:numFmt w:val="bullet"/>
      <w:lvlText w:val="•"/>
      <w:lvlJc w:val="left"/>
      <w:pPr>
        <w:ind w:left="6107" w:hanging="567"/>
      </w:pPr>
      <w:rPr>
        <w:rFonts w:hint="default"/>
        <w:lang w:val="en-US" w:eastAsia="en-US" w:bidi="ar-SA"/>
      </w:rPr>
    </w:lvl>
    <w:lvl w:ilvl="7" w:tplc="9FBC8B88">
      <w:numFmt w:val="bullet"/>
      <w:lvlText w:val="•"/>
      <w:lvlJc w:val="left"/>
      <w:pPr>
        <w:ind w:left="6992" w:hanging="567"/>
      </w:pPr>
      <w:rPr>
        <w:rFonts w:hint="default"/>
        <w:lang w:val="en-US" w:eastAsia="en-US" w:bidi="ar-SA"/>
      </w:rPr>
    </w:lvl>
    <w:lvl w:ilvl="8" w:tplc="6BEA566C">
      <w:numFmt w:val="bullet"/>
      <w:lvlText w:val="•"/>
      <w:lvlJc w:val="left"/>
      <w:pPr>
        <w:ind w:left="7877" w:hanging="567"/>
      </w:pPr>
      <w:rPr>
        <w:rFonts w:hint="default"/>
        <w:lang w:val="en-US" w:eastAsia="en-US" w:bidi="ar-SA"/>
      </w:rPr>
    </w:lvl>
  </w:abstractNum>
  <w:abstractNum w:abstractNumId="2" w15:restartNumberingAfterBreak="0">
    <w:nsid w:val="2571093C"/>
    <w:multiLevelType w:val="multilevel"/>
    <w:tmpl w:val="8FB2328A"/>
    <w:lvl w:ilvl="0">
      <w:start w:val="6"/>
      <w:numFmt w:val="decimal"/>
      <w:lvlText w:val="%1"/>
      <w:lvlJc w:val="left"/>
      <w:pPr>
        <w:ind w:left="805" w:hanging="567"/>
      </w:pPr>
      <w:rPr>
        <w:rFonts w:hint="default"/>
        <w:lang w:val="en-US" w:eastAsia="en-US" w:bidi="ar-SA"/>
      </w:rPr>
    </w:lvl>
    <w:lvl w:ilvl="1">
      <w:start w:val="2"/>
      <w:numFmt w:val="decimal"/>
      <w:lvlText w:val="%1.%2"/>
      <w:lvlJc w:val="left"/>
      <w:pPr>
        <w:ind w:left="805" w:hanging="567"/>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569" w:hanging="567"/>
      </w:pPr>
      <w:rPr>
        <w:rFonts w:hint="default"/>
        <w:lang w:val="en-US" w:eastAsia="en-US" w:bidi="ar-SA"/>
      </w:rPr>
    </w:lvl>
    <w:lvl w:ilvl="3">
      <w:numFmt w:val="bullet"/>
      <w:lvlText w:val="•"/>
      <w:lvlJc w:val="left"/>
      <w:pPr>
        <w:ind w:left="3453" w:hanging="567"/>
      </w:pPr>
      <w:rPr>
        <w:rFonts w:hint="default"/>
        <w:lang w:val="en-US" w:eastAsia="en-US" w:bidi="ar-SA"/>
      </w:rPr>
    </w:lvl>
    <w:lvl w:ilvl="4">
      <w:numFmt w:val="bullet"/>
      <w:lvlText w:val="•"/>
      <w:lvlJc w:val="left"/>
      <w:pPr>
        <w:ind w:left="4338" w:hanging="567"/>
      </w:pPr>
      <w:rPr>
        <w:rFonts w:hint="default"/>
        <w:lang w:val="en-US" w:eastAsia="en-US" w:bidi="ar-SA"/>
      </w:rPr>
    </w:lvl>
    <w:lvl w:ilvl="5">
      <w:numFmt w:val="bullet"/>
      <w:lvlText w:val="•"/>
      <w:lvlJc w:val="left"/>
      <w:pPr>
        <w:ind w:left="5223" w:hanging="567"/>
      </w:pPr>
      <w:rPr>
        <w:rFonts w:hint="default"/>
        <w:lang w:val="en-US" w:eastAsia="en-US" w:bidi="ar-SA"/>
      </w:rPr>
    </w:lvl>
    <w:lvl w:ilvl="6">
      <w:numFmt w:val="bullet"/>
      <w:lvlText w:val="•"/>
      <w:lvlJc w:val="left"/>
      <w:pPr>
        <w:ind w:left="6107" w:hanging="567"/>
      </w:pPr>
      <w:rPr>
        <w:rFonts w:hint="default"/>
        <w:lang w:val="en-US" w:eastAsia="en-US" w:bidi="ar-SA"/>
      </w:rPr>
    </w:lvl>
    <w:lvl w:ilvl="7">
      <w:numFmt w:val="bullet"/>
      <w:lvlText w:val="•"/>
      <w:lvlJc w:val="left"/>
      <w:pPr>
        <w:ind w:left="6992" w:hanging="567"/>
      </w:pPr>
      <w:rPr>
        <w:rFonts w:hint="default"/>
        <w:lang w:val="en-US" w:eastAsia="en-US" w:bidi="ar-SA"/>
      </w:rPr>
    </w:lvl>
    <w:lvl w:ilvl="8">
      <w:numFmt w:val="bullet"/>
      <w:lvlText w:val="•"/>
      <w:lvlJc w:val="left"/>
      <w:pPr>
        <w:ind w:left="7877" w:hanging="567"/>
      </w:pPr>
      <w:rPr>
        <w:rFonts w:hint="default"/>
        <w:lang w:val="en-US" w:eastAsia="en-US" w:bidi="ar-SA"/>
      </w:rPr>
    </w:lvl>
  </w:abstractNum>
  <w:abstractNum w:abstractNumId="3" w15:restartNumberingAfterBreak="0">
    <w:nsid w:val="2CEE5C3D"/>
    <w:multiLevelType w:val="hybridMultilevel"/>
    <w:tmpl w:val="A6BE608C"/>
    <w:lvl w:ilvl="0" w:tplc="4DD42BE8">
      <w:numFmt w:val="bullet"/>
      <w:lvlText w:val=""/>
      <w:lvlJc w:val="left"/>
      <w:pPr>
        <w:ind w:left="805" w:hanging="567"/>
      </w:pPr>
      <w:rPr>
        <w:rFonts w:ascii="Wingdings" w:eastAsia="Wingdings" w:hAnsi="Wingdings" w:cs="Wingdings" w:hint="default"/>
        <w:w w:val="100"/>
        <w:sz w:val="22"/>
        <w:szCs w:val="22"/>
        <w:lang w:val="en-US" w:eastAsia="en-US" w:bidi="ar-SA"/>
      </w:rPr>
    </w:lvl>
    <w:lvl w:ilvl="1" w:tplc="ACD03186">
      <w:numFmt w:val="bullet"/>
      <w:lvlText w:val="•"/>
      <w:lvlJc w:val="left"/>
      <w:pPr>
        <w:ind w:left="1684" w:hanging="567"/>
      </w:pPr>
      <w:rPr>
        <w:rFonts w:hint="default"/>
        <w:lang w:val="en-US" w:eastAsia="en-US" w:bidi="ar-SA"/>
      </w:rPr>
    </w:lvl>
    <w:lvl w:ilvl="2" w:tplc="6868DDF0">
      <w:numFmt w:val="bullet"/>
      <w:lvlText w:val="•"/>
      <w:lvlJc w:val="left"/>
      <w:pPr>
        <w:ind w:left="2569" w:hanging="567"/>
      </w:pPr>
      <w:rPr>
        <w:rFonts w:hint="default"/>
        <w:lang w:val="en-US" w:eastAsia="en-US" w:bidi="ar-SA"/>
      </w:rPr>
    </w:lvl>
    <w:lvl w:ilvl="3" w:tplc="DA080722">
      <w:numFmt w:val="bullet"/>
      <w:lvlText w:val="•"/>
      <w:lvlJc w:val="left"/>
      <w:pPr>
        <w:ind w:left="3453" w:hanging="567"/>
      </w:pPr>
      <w:rPr>
        <w:rFonts w:hint="default"/>
        <w:lang w:val="en-US" w:eastAsia="en-US" w:bidi="ar-SA"/>
      </w:rPr>
    </w:lvl>
    <w:lvl w:ilvl="4" w:tplc="14C67302">
      <w:numFmt w:val="bullet"/>
      <w:lvlText w:val="•"/>
      <w:lvlJc w:val="left"/>
      <w:pPr>
        <w:ind w:left="4338" w:hanging="567"/>
      </w:pPr>
      <w:rPr>
        <w:rFonts w:hint="default"/>
        <w:lang w:val="en-US" w:eastAsia="en-US" w:bidi="ar-SA"/>
      </w:rPr>
    </w:lvl>
    <w:lvl w:ilvl="5" w:tplc="B5203CE0">
      <w:numFmt w:val="bullet"/>
      <w:lvlText w:val="•"/>
      <w:lvlJc w:val="left"/>
      <w:pPr>
        <w:ind w:left="5223" w:hanging="567"/>
      </w:pPr>
      <w:rPr>
        <w:rFonts w:hint="default"/>
        <w:lang w:val="en-US" w:eastAsia="en-US" w:bidi="ar-SA"/>
      </w:rPr>
    </w:lvl>
    <w:lvl w:ilvl="6" w:tplc="D07CDBEC">
      <w:numFmt w:val="bullet"/>
      <w:lvlText w:val="•"/>
      <w:lvlJc w:val="left"/>
      <w:pPr>
        <w:ind w:left="6107" w:hanging="567"/>
      </w:pPr>
      <w:rPr>
        <w:rFonts w:hint="default"/>
        <w:lang w:val="en-US" w:eastAsia="en-US" w:bidi="ar-SA"/>
      </w:rPr>
    </w:lvl>
    <w:lvl w:ilvl="7" w:tplc="694E374E">
      <w:numFmt w:val="bullet"/>
      <w:lvlText w:val="•"/>
      <w:lvlJc w:val="left"/>
      <w:pPr>
        <w:ind w:left="6992" w:hanging="567"/>
      </w:pPr>
      <w:rPr>
        <w:rFonts w:hint="default"/>
        <w:lang w:val="en-US" w:eastAsia="en-US" w:bidi="ar-SA"/>
      </w:rPr>
    </w:lvl>
    <w:lvl w:ilvl="8" w:tplc="0004DFC2">
      <w:numFmt w:val="bullet"/>
      <w:lvlText w:val="•"/>
      <w:lvlJc w:val="left"/>
      <w:pPr>
        <w:ind w:left="7877" w:hanging="567"/>
      </w:pPr>
      <w:rPr>
        <w:rFonts w:hint="default"/>
        <w:lang w:val="en-US" w:eastAsia="en-US" w:bidi="ar-SA"/>
      </w:rPr>
    </w:lvl>
  </w:abstractNum>
  <w:abstractNum w:abstractNumId="4" w15:restartNumberingAfterBreak="0">
    <w:nsid w:val="329071E1"/>
    <w:multiLevelType w:val="hybridMultilevel"/>
    <w:tmpl w:val="3F04D132"/>
    <w:lvl w:ilvl="0" w:tplc="F6AE344C">
      <w:start w:val="1"/>
      <w:numFmt w:val="decimal"/>
      <w:lvlText w:val="%1."/>
      <w:lvlJc w:val="left"/>
      <w:pPr>
        <w:ind w:left="800" w:hanging="562"/>
      </w:pPr>
      <w:rPr>
        <w:rFonts w:ascii="Times New Roman" w:eastAsia="Times New Roman" w:hAnsi="Times New Roman" w:cs="Times New Roman" w:hint="default"/>
        <w:w w:val="100"/>
        <w:sz w:val="22"/>
        <w:szCs w:val="22"/>
        <w:lang w:val="en-US" w:eastAsia="en-US" w:bidi="ar-SA"/>
      </w:rPr>
    </w:lvl>
    <w:lvl w:ilvl="1" w:tplc="919EE52C">
      <w:numFmt w:val="bullet"/>
      <w:lvlText w:val="•"/>
      <w:lvlJc w:val="left"/>
      <w:pPr>
        <w:ind w:left="1684" w:hanging="562"/>
      </w:pPr>
      <w:rPr>
        <w:rFonts w:hint="default"/>
        <w:lang w:val="en-US" w:eastAsia="en-US" w:bidi="ar-SA"/>
      </w:rPr>
    </w:lvl>
    <w:lvl w:ilvl="2" w:tplc="7B84EE5E">
      <w:numFmt w:val="bullet"/>
      <w:lvlText w:val="•"/>
      <w:lvlJc w:val="left"/>
      <w:pPr>
        <w:ind w:left="2569" w:hanging="562"/>
      </w:pPr>
      <w:rPr>
        <w:rFonts w:hint="default"/>
        <w:lang w:val="en-US" w:eastAsia="en-US" w:bidi="ar-SA"/>
      </w:rPr>
    </w:lvl>
    <w:lvl w:ilvl="3" w:tplc="45EE0ADC">
      <w:numFmt w:val="bullet"/>
      <w:lvlText w:val="•"/>
      <w:lvlJc w:val="left"/>
      <w:pPr>
        <w:ind w:left="3453" w:hanging="562"/>
      </w:pPr>
      <w:rPr>
        <w:rFonts w:hint="default"/>
        <w:lang w:val="en-US" w:eastAsia="en-US" w:bidi="ar-SA"/>
      </w:rPr>
    </w:lvl>
    <w:lvl w:ilvl="4" w:tplc="1E24ADE0">
      <w:numFmt w:val="bullet"/>
      <w:lvlText w:val="•"/>
      <w:lvlJc w:val="left"/>
      <w:pPr>
        <w:ind w:left="4338" w:hanging="562"/>
      </w:pPr>
      <w:rPr>
        <w:rFonts w:hint="default"/>
        <w:lang w:val="en-US" w:eastAsia="en-US" w:bidi="ar-SA"/>
      </w:rPr>
    </w:lvl>
    <w:lvl w:ilvl="5" w:tplc="13F2A1EC">
      <w:numFmt w:val="bullet"/>
      <w:lvlText w:val="•"/>
      <w:lvlJc w:val="left"/>
      <w:pPr>
        <w:ind w:left="5223" w:hanging="562"/>
      </w:pPr>
      <w:rPr>
        <w:rFonts w:hint="default"/>
        <w:lang w:val="en-US" w:eastAsia="en-US" w:bidi="ar-SA"/>
      </w:rPr>
    </w:lvl>
    <w:lvl w:ilvl="6" w:tplc="4F8294F4">
      <w:numFmt w:val="bullet"/>
      <w:lvlText w:val="•"/>
      <w:lvlJc w:val="left"/>
      <w:pPr>
        <w:ind w:left="6107" w:hanging="562"/>
      </w:pPr>
      <w:rPr>
        <w:rFonts w:hint="default"/>
        <w:lang w:val="en-US" w:eastAsia="en-US" w:bidi="ar-SA"/>
      </w:rPr>
    </w:lvl>
    <w:lvl w:ilvl="7" w:tplc="E786B6B8">
      <w:numFmt w:val="bullet"/>
      <w:lvlText w:val="•"/>
      <w:lvlJc w:val="left"/>
      <w:pPr>
        <w:ind w:left="6992" w:hanging="562"/>
      </w:pPr>
      <w:rPr>
        <w:rFonts w:hint="default"/>
        <w:lang w:val="en-US" w:eastAsia="en-US" w:bidi="ar-SA"/>
      </w:rPr>
    </w:lvl>
    <w:lvl w:ilvl="8" w:tplc="4078869A">
      <w:numFmt w:val="bullet"/>
      <w:lvlText w:val="•"/>
      <w:lvlJc w:val="left"/>
      <w:pPr>
        <w:ind w:left="7877" w:hanging="562"/>
      </w:pPr>
      <w:rPr>
        <w:rFonts w:hint="default"/>
        <w:lang w:val="en-US" w:eastAsia="en-US" w:bidi="ar-SA"/>
      </w:rPr>
    </w:lvl>
  </w:abstractNum>
  <w:abstractNum w:abstractNumId="5" w15:restartNumberingAfterBreak="0">
    <w:nsid w:val="40DB5DB8"/>
    <w:multiLevelType w:val="multilevel"/>
    <w:tmpl w:val="3A3C79F6"/>
    <w:lvl w:ilvl="0">
      <w:start w:val="4"/>
      <w:numFmt w:val="decimal"/>
      <w:lvlText w:val="%1"/>
      <w:lvlJc w:val="left"/>
      <w:pPr>
        <w:ind w:left="805" w:hanging="567"/>
      </w:pPr>
      <w:rPr>
        <w:rFonts w:hint="default"/>
        <w:lang w:val="en-US" w:eastAsia="en-US" w:bidi="ar-SA"/>
      </w:rPr>
    </w:lvl>
    <w:lvl w:ilvl="1">
      <w:start w:val="3"/>
      <w:numFmt w:val="decimal"/>
      <w:lvlText w:val="%1.%2"/>
      <w:lvlJc w:val="left"/>
      <w:pPr>
        <w:ind w:left="805" w:hanging="567"/>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569" w:hanging="567"/>
      </w:pPr>
      <w:rPr>
        <w:rFonts w:hint="default"/>
        <w:lang w:val="en-US" w:eastAsia="en-US" w:bidi="ar-SA"/>
      </w:rPr>
    </w:lvl>
    <w:lvl w:ilvl="3">
      <w:numFmt w:val="bullet"/>
      <w:lvlText w:val="•"/>
      <w:lvlJc w:val="left"/>
      <w:pPr>
        <w:ind w:left="3453" w:hanging="567"/>
      </w:pPr>
      <w:rPr>
        <w:rFonts w:hint="default"/>
        <w:lang w:val="en-US" w:eastAsia="en-US" w:bidi="ar-SA"/>
      </w:rPr>
    </w:lvl>
    <w:lvl w:ilvl="4">
      <w:numFmt w:val="bullet"/>
      <w:lvlText w:val="•"/>
      <w:lvlJc w:val="left"/>
      <w:pPr>
        <w:ind w:left="4338" w:hanging="567"/>
      </w:pPr>
      <w:rPr>
        <w:rFonts w:hint="default"/>
        <w:lang w:val="en-US" w:eastAsia="en-US" w:bidi="ar-SA"/>
      </w:rPr>
    </w:lvl>
    <w:lvl w:ilvl="5">
      <w:numFmt w:val="bullet"/>
      <w:lvlText w:val="•"/>
      <w:lvlJc w:val="left"/>
      <w:pPr>
        <w:ind w:left="5223" w:hanging="567"/>
      </w:pPr>
      <w:rPr>
        <w:rFonts w:hint="default"/>
        <w:lang w:val="en-US" w:eastAsia="en-US" w:bidi="ar-SA"/>
      </w:rPr>
    </w:lvl>
    <w:lvl w:ilvl="6">
      <w:numFmt w:val="bullet"/>
      <w:lvlText w:val="•"/>
      <w:lvlJc w:val="left"/>
      <w:pPr>
        <w:ind w:left="6107" w:hanging="567"/>
      </w:pPr>
      <w:rPr>
        <w:rFonts w:hint="default"/>
        <w:lang w:val="en-US" w:eastAsia="en-US" w:bidi="ar-SA"/>
      </w:rPr>
    </w:lvl>
    <w:lvl w:ilvl="7">
      <w:numFmt w:val="bullet"/>
      <w:lvlText w:val="•"/>
      <w:lvlJc w:val="left"/>
      <w:pPr>
        <w:ind w:left="6992" w:hanging="567"/>
      </w:pPr>
      <w:rPr>
        <w:rFonts w:hint="default"/>
        <w:lang w:val="en-US" w:eastAsia="en-US" w:bidi="ar-SA"/>
      </w:rPr>
    </w:lvl>
    <w:lvl w:ilvl="8">
      <w:numFmt w:val="bullet"/>
      <w:lvlText w:val="•"/>
      <w:lvlJc w:val="left"/>
      <w:pPr>
        <w:ind w:left="7877" w:hanging="567"/>
      </w:pPr>
      <w:rPr>
        <w:rFonts w:hint="default"/>
        <w:lang w:val="en-US" w:eastAsia="en-US" w:bidi="ar-SA"/>
      </w:rPr>
    </w:lvl>
  </w:abstractNum>
  <w:abstractNum w:abstractNumId="6" w15:restartNumberingAfterBreak="0">
    <w:nsid w:val="43D163A2"/>
    <w:multiLevelType w:val="hybridMultilevel"/>
    <w:tmpl w:val="08DA07B6"/>
    <w:lvl w:ilvl="0" w:tplc="4DB8E292">
      <w:numFmt w:val="bullet"/>
      <w:lvlText w:val="-"/>
      <w:lvlJc w:val="left"/>
      <w:pPr>
        <w:ind w:left="778" w:hanging="540"/>
      </w:pPr>
      <w:rPr>
        <w:rFonts w:ascii="Times New Roman" w:eastAsia="Times New Roman" w:hAnsi="Times New Roman" w:cs="Times New Roman" w:hint="default"/>
        <w:w w:val="100"/>
        <w:sz w:val="22"/>
        <w:szCs w:val="22"/>
        <w:lang w:val="en-US" w:eastAsia="en-US" w:bidi="ar-SA"/>
      </w:rPr>
    </w:lvl>
    <w:lvl w:ilvl="1" w:tplc="7DA246AA">
      <w:numFmt w:val="bullet"/>
      <w:lvlText w:val="•"/>
      <w:lvlJc w:val="left"/>
      <w:pPr>
        <w:ind w:left="1666" w:hanging="540"/>
      </w:pPr>
      <w:rPr>
        <w:rFonts w:hint="default"/>
        <w:lang w:val="en-US" w:eastAsia="en-US" w:bidi="ar-SA"/>
      </w:rPr>
    </w:lvl>
    <w:lvl w:ilvl="2" w:tplc="41B8893E">
      <w:numFmt w:val="bullet"/>
      <w:lvlText w:val="•"/>
      <w:lvlJc w:val="left"/>
      <w:pPr>
        <w:ind w:left="2553" w:hanging="540"/>
      </w:pPr>
      <w:rPr>
        <w:rFonts w:hint="default"/>
        <w:lang w:val="en-US" w:eastAsia="en-US" w:bidi="ar-SA"/>
      </w:rPr>
    </w:lvl>
    <w:lvl w:ilvl="3" w:tplc="88C674A4">
      <w:numFmt w:val="bullet"/>
      <w:lvlText w:val="•"/>
      <w:lvlJc w:val="left"/>
      <w:pPr>
        <w:ind w:left="3439" w:hanging="540"/>
      </w:pPr>
      <w:rPr>
        <w:rFonts w:hint="default"/>
        <w:lang w:val="en-US" w:eastAsia="en-US" w:bidi="ar-SA"/>
      </w:rPr>
    </w:lvl>
    <w:lvl w:ilvl="4" w:tplc="2EDAD610">
      <w:numFmt w:val="bullet"/>
      <w:lvlText w:val="•"/>
      <w:lvlJc w:val="left"/>
      <w:pPr>
        <w:ind w:left="4326" w:hanging="540"/>
      </w:pPr>
      <w:rPr>
        <w:rFonts w:hint="default"/>
        <w:lang w:val="en-US" w:eastAsia="en-US" w:bidi="ar-SA"/>
      </w:rPr>
    </w:lvl>
    <w:lvl w:ilvl="5" w:tplc="E5C0B886">
      <w:numFmt w:val="bullet"/>
      <w:lvlText w:val="•"/>
      <w:lvlJc w:val="left"/>
      <w:pPr>
        <w:ind w:left="5213" w:hanging="540"/>
      </w:pPr>
      <w:rPr>
        <w:rFonts w:hint="default"/>
        <w:lang w:val="en-US" w:eastAsia="en-US" w:bidi="ar-SA"/>
      </w:rPr>
    </w:lvl>
    <w:lvl w:ilvl="6" w:tplc="9654A456">
      <w:numFmt w:val="bullet"/>
      <w:lvlText w:val="•"/>
      <w:lvlJc w:val="left"/>
      <w:pPr>
        <w:ind w:left="6099" w:hanging="540"/>
      </w:pPr>
      <w:rPr>
        <w:rFonts w:hint="default"/>
        <w:lang w:val="en-US" w:eastAsia="en-US" w:bidi="ar-SA"/>
      </w:rPr>
    </w:lvl>
    <w:lvl w:ilvl="7" w:tplc="038EDEF6">
      <w:numFmt w:val="bullet"/>
      <w:lvlText w:val="•"/>
      <w:lvlJc w:val="left"/>
      <w:pPr>
        <w:ind w:left="6986" w:hanging="540"/>
      </w:pPr>
      <w:rPr>
        <w:rFonts w:hint="default"/>
        <w:lang w:val="en-US" w:eastAsia="en-US" w:bidi="ar-SA"/>
      </w:rPr>
    </w:lvl>
    <w:lvl w:ilvl="8" w:tplc="1FC8A386">
      <w:numFmt w:val="bullet"/>
      <w:lvlText w:val="•"/>
      <w:lvlJc w:val="left"/>
      <w:pPr>
        <w:ind w:left="7873" w:hanging="540"/>
      </w:pPr>
      <w:rPr>
        <w:rFonts w:hint="default"/>
        <w:lang w:val="en-US" w:eastAsia="en-US" w:bidi="ar-SA"/>
      </w:rPr>
    </w:lvl>
  </w:abstractNum>
  <w:abstractNum w:abstractNumId="7" w15:restartNumberingAfterBreak="0">
    <w:nsid w:val="4F1F2E58"/>
    <w:multiLevelType w:val="hybridMultilevel"/>
    <w:tmpl w:val="1F30E174"/>
    <w:lvl w:ilvl="0" w:tplc="BA0A9A24">
      <w:numFmt w:val="bullet"/>
      <w:lvlText w:val="-"/>
      <w:lvlJc w:val="left"/>
      <w:pPr>
        <w:ind w:left="778" w:hanging="540"/>
      </w:pPr>
      <w:rPr>
        <w:rFonts w:ascii="Times New Roman" w:eastAsia="Times New Roman" w:hAnsi="Times New Roman" w:cs="Times New Roman" w:hint="default"/>
        <w:w w:val="100"/>
        <w:sz w:val="22"/>
        <w:szCs w:val="22"/>
        <w:lang w:val="en-US" w:eastAsia="en-US" w:bidi="ar-SA"/>
      </w:rPr>
    </w:lvl>
    <w:lvl w:ilvl="1" w:tplc="F42A71E2">
      <w:numFmt w:val="bullet"/>
      <w:lvlText w:val="-"/>
      <w:lvlJc w:val="left"/>
      <w:pPr>
        <w:ind w:left="1138" w:hanging="257"/>
      </w:pPr>
      <w:rPr>
        <w:rFonts w:ascii="Times New Roman" w:eastAsia="Times New Roman" w:hAnsi="Times New Roman" w:cs="Times New Roman" w:hint="default"/>
        <w:w w:val="100"/>
        <w:sz w:val="22"/>
        <w:szCs w:val="22"/>
        <w:lang w:val="en-US" w:eastAsia="en-US" w:bidi="ar-SA"/>
      </w:rPr>
    </w:lvl>
    <w:lvl w:ilvl="2" w:tplc="69C8A8A0">
      <w:numFmt w:val="bullet"/>
      <w:lvlText w:val="•"/>
      <w:lvlJc w:val="left"/>
      <w:pPr>
        <w:ind w:left="2085" w:hanging="257"/>
      </w:pPr>
      <w:rPr>
        <w:rFonts w:hint="default"/>
        <w:lang w:val="en-US" w:eastAsia="en-US" w:bidi="ar-SA"/>
      </w:rPr>
    </w:lvl>
    <w:lvl w:ilvl="3" w:tplc="81A88140">
      <w:numFmt w:val="bullet"/>
      <w:lvlText w:val="•"/>
      <w:lvlJc w:val="left"/>
      <w:pPr>
        <w:ind w:left="3030" w:hanging="257"/>
      </w:pPr>
      <w:rPr>
        <w:rFonts w:hint="default"/>
        <w:lang w:val="en-US" w:eastAsia="en-US" w:bidi="ar-SA"/>
      </w:rPr>
    </w:lvl>
    <w:lvl w:ilvl="4" w:tplc="F870A1A8">
      <w:numFmt w:val="bullet"/>
      <w:lvlText w:val="•"/>
      <w:lvlJc w:val="left"/>
      <w:pPr>
        <w:ind w:left="3975" w:hanging="257"/>
      </w:pPr>
      <w:rPr>
        <w:rFonts w:hint="default"/>
        <w:lang w:val="en-US" w:eastAsia="en-US" w:bidi="ar-SA"/>
      </w:rPr>
    </w:lvl>
    <w:lvl w:ilvl="5" w:tplc="4CBE6FC8">
      <w:numFmt w:val="bullet"/>
      <w:lvlText w:val="•"/>
      <w:lvlJc w:val="left"/>
      <w:pPr>
        <w:ind w:left="4920" w:hanging="257"/>
      </w:pPr>
      <w:rPr>
        <w:rFonts w:hint="default"/>
        <w:lang w:val="en-US" w:eastAsia="en-US" w:bidi="ar-SA"/>
      </w:rPr>
    </w:lvl>
    <w:lvl w:ilvl="6" w:tplc="CE924496">
      <w:numFmt w:val="bullet"/>
      <w:lvlText w:val="•"/>
      <w:lvlJc w:val="left"/>
      <w:pPr>
        <w:ind w:left="5865" w:hanging="257"/>
      </w:pPr>
      <w:rPr>
        <w:rFonts w:hint="default"/>
        <w:lang w:val="en-US" w:eastAsia="en-US" w:bidi="ar-SA"/>
      </w:rPr>
    </w:lvl>
    <w:lvl w:ilvl="7" w:tplc="84066D80">
      <w:numFmt w:val="bullet"/>
      <w:lvlText w:val="•"/>
      <w:lvlJc w:val="left"/>
      <w:pPr>
        <w:ind w:left="6810" w:hanging="257"/>
      </w:pPr>
      <w:rPr>
        <w:rFonts w:hint="default"/>
        <w:lang w:val="en-US" w:eastAsia="en-US" w:bidi="ar-SA"/>
      </w:rPr>
    </w:lvl>
    <w:lvl w:ilvl="8" w:tplc="642430C6">
      <w:numFmt w:val="bullet"/>
      <w:lvlText w:val="•"/>
      <w:lvlJc w:val="left"/>
      <w:pPr>
        <w:ind w:left="7756" w:hanging="257"/>
      </w:pPr>
      <w:rPr>
        <w:rFonts w:hint="default"/>
        <w:lang w:val="en-US" w:eastAsia="en-US" w:bidi="ar-SA"/>
      </w:rPr>
    </w:lvl>
  </w:abstractNum>
  <w:abstractNum w:abstractNumId="8" w15:restartNumberingAfterBreak="0">
    <w:nsid w:val="64B94E3B"/>
    <w:multiLevelType w:val="hybridMultilevel"/>
    <w:tmpl w:val="CB5283E8"/>
    <w:lvl w:ilvl="0" w:tplc="EF72A8EC">
      <w:start w:val="1"/>
      <w:numFmt w:val="upperLetter"/>
      <w:lvlText w:val="%1."/>
      <w:lvlJc w:val="left"/>
      <w:pPr>
        <w:ind w:left="1940" w:hanging="708"/>
      </w:pPr>
      <w:rPr>
        <w:rFonts w:ascii="Times New Roman" w:eastAsia="Times New Roman" w:hAnsi="Times New Roman" w:cs="Times New Roman" w:hint="default"/>
        <w:b/>
        <w:bCs/>
        <w:spacing w:val="-2"/>
        <w:w w:val="100"/>
        <w:sz w:val="22"/>
        <w:szCs w:val="22"/>
        <w:lang w:val="en-US" w:eastAsia="en-US" w:bidi="ar-SA"/>
      </w:rPr>
    </w:lvl>
    <w:lvl w:ilvl="1" w:tplc="E0282208">
      <w:numFmt w:val="bullet"/>
      <w:lvlText w:val="•"/>
      <w:lvlJc w:val="left"/>
      <w:pPr>
        <w:ind w:left="2710" w:hanging="708"/>
      </w:pPr>
      <w:rPr>
        <w:rFonts w:hint="default"/>
        <w:lang w:val="en-US" w:eastAsia="en-US" w:bidi="ar-SA"/>
      </w:rPr>
    </w:lvl>
    <w:lvl w:ilvl="2" w:tplc="F1421326">
      <w:numFmt w:val="bullet"/>
      <w:lvlText w:val="•"/>
      <w:lvlJc w:val="left"/>
      <w:pPr>
        <w:ind w:left="3481" w:hanging="708"/>
      </w:pPr>
      <w:rPr>
        <w:rFonts w:hint="default"/>
        <w:lang w:val="en-US" w:eastAsia="en-US" w:bidi="ar-SA"/>
      </w:rPr>
    </w:lvl>
    <w:lvl w:ilvl="3" w:tplc="0B786514">
      <w:numFmt w:val="bullet"/>
      <w:lvlText w:val="•"/>
      <w:lvlJc w:val="left"/>
      <w:pPr>
        <w:ind w:left="4251" w:hanging="708"/>
      </w:pPr>
      <w:rPr>
        <w:rFonts w:hint="default"/>
        <w:lang w:val="en-US" w:eastAsia="en-US" w:bidi="ar-SA"/>
      </w:rPr>
    </w:lvl>
    <w:lvl w:ilvl="4" w:tplc="0E2AC116">
      <w:numFmt w:val="bullet"/>
      <w:lvlText w:val="•"/>
      <w:lvlJc w:val="left"/>
      <w:pPr>
        <w:ind w:left="5022" w:hanging="708"/>
      </w:pPr>
      <w:rPr>
        <w:rFonts w:hint="default"/>
        <w:lang w:val="en-US" w:eastAsia="en-US" w:bidi="ar-SA"/>
      </w:rPr>
    </w:lvl>
    <w:lvl w:ilvl="5" w:tplc="FB743046">
      <w:numFmt w:val="bullet"/>
      <w:lvlText w:val="•"/>
      <w:lvlJc w:val="left"/>
      <w:pPr>
        <w:ind w:left="5793" w:hanging="708"/>
      </w:pPr>
      <w:rPr>
        <w:rFonts w:hint="default"/>
        <w:lang w:val="en-US" w:eastAsia="en-US" w:bidi="ar-SA"/>
      </w:rPr>
    </w:lvl>
    <w:lvl w:ilvl="6" w:tplc="72D0FF5C">
      <w:numFmt w:val="bullet"/>
      <w:lvlText w:val="•"/>
      <w:lvlJc w:val="left"/>
      <w:pPr>
        <w:ind w:left="6563" w:hanging="708"/>
      </w:pPr>
      <w:rPr>
        <w:rFonts w:hint="default"/>
        <w:lang w:val="en-US" w:eastAsia="en-US" w:bidi="ar-SA"/>
      </w:rPr>
    </w:lvl>
    <w:lvl w:ilvl="7" w:tplc="F306D792">
      <w:numFmt w:val="bullet"/>
      <w:lvlText w:val="•"/>
      <w:lvlJc w:val="left"/>
      <w:pPr>
        <w:ind w:left="7334" w:hanging="708"/>
      </w:pPr>
      <w:rPr>
        <w:rFonts w:hint="default"/>
        <w:lang w:val="en-US" w:eastAsia="en-US" w:bidi="ar-SA"/>
      </w:rPr>
    </w:lvl>
    <w:lvl w:ilvl="8" w:tplc="85DEF51E">
      <w:numFmt w:val="bullet"/>
      <w:lvlText w:val="•"/>
      <w:lvlJc w:val="left"/>
      <w:pPr>
        <w:ind w:left="8105" w:hanging="708"/>
      </w:pPr>
      <w:rPr>
        <w:rFonts w:hint="default"/>
        <w:lang w:val="en-US" w:eastAsia="en-US" w:bidi="ar-SA"/>
      </w:rPr>
    </w:lvl>
  </w:abstractNum>
  <w:abstractNum w:abstractNumId="9" w15:restartNumberingAfterBreak="0">
    <w:nsid w:val="6A9C317A"/>
    <w:multiLevelType w:val="hybridMultilevel"/>
    <w:tmpl w:val="BB0C50EC"/>
    <w:lvl w:ilvl="0" w:tplc="FEC6AEB0">
      <w:start w:val="1"/>
      <w:numFmt w:val="upperLetter"/>
      <w:lvlText w:val="%1."/>
      <w:lvlJc w:val="left"/>
      <w:pPr>
        <w:ind w:left="805" w:hanging="567"/>
      </w:pPr>
      <w:rPr>
        <w:rFonts w:ascii="Times New Roman" w:eastAsia="Times New Roman" w:hAnsi="Times New Roman" w:cs="Times New Roman" w:hint="default"/>
        <w:b/>
        <w:bCs/>
        <w:spacing w:val="-2"/>
        <w:w w:val="100"/>
        <w:sz w:val="22"/>
        <w:szCs w:val="22"/>
        <w:lang w:val="en-US" w:eastAsia="en-US" w:bidi="ar-SA"/>
      </w:rPr>
    </w:lvl>
    <w:lvl w:ilvl="1" w:tplc="2BCA6D3A">
      <w:start w:val="1"/>
      <w:numFmt w:val="upperLetter"/>
      <w:lvlText w:val="%2."/>
      <w:lvlJc w:val="left"/>
      <w:pPr>
        <w:ind w:left="4254" w:hanging="269"/>
        <w:jc w:val="right"/>
      </w:pPr>
      <w:rPr>
        <w:rFonts w:ascii="Times New Roman" w:eastAsia="Times New Roman" w:hAnsi="Times New Roman" w:cs="Times New Roman" w:hint="default"/>
        <w:b/>
        <w:bCs/>
        <w:spacing w:val="-2"/>
        <w:w w:val="100"/>
        <w:sz w:val="22"/>
        <w:szCs w:val="22"/>
        <w:lang w:val="en-US" w:eastAsia="en-US" w:bidi="ar-SA"/>
      </w:rPr>
    </w:lvl>
    <w:lvl w:ilvl="2" w:tplc="C944E4CA">
      <w:numFmt w:val="bullet"/>
      <w:lvlText w:val="•"/>
      <w:lvlJc w:val="left"/>
      <w:pPr>
        <w:ind w:left="4858" w:hanging="269"/>
      </w:pPr>
      <w:rPr>
        <w:rFonts w:hint="default"/>
        <w:lang w:val="en-US" w:eastAsia="en-US" w:bidi="ar-SA"/>
      </w:rPr>
    </w:lvl>
    <w:lvl w:ilvl="3" w:tplc="ADC4C2F4">
      <w:numFmt w:val="bullet"/>
      <w:lvlText w:val="•"/>
      <w:lvlJc w:val="left"/>
      <w:pPr>
        <w:ind w:left="5456" w:hanging="269"/>
      </w:pPr>
      <w:rPr>
        <w:rFonts w:hint="default"/>
        <w:lang w:val="en-US" w:eastAsia="en-US" w:bidi="ar-SA"/>
      </w:rPr>
    </w:lvl>
    <w:lvl w:ilvl="4" w:tplc="85964702">
      <w:numFmt w:val="bullet"/>
      <w:lvlText w:val="•"/>
      <w:lvlJc w:val="left"/>
      <w:pPr>
        <w:ind w:left="6055" w:hanging="269"/>
      </w:pPr>
      <w:rPr>
        <w:rFonts w:hint="default"/>
        <w:lang w:val="en-US" w:eastAsia="en-US" w:bidi="ar-SA"/>
      </w:rPr>
    </w:lvl>
    <w:lvl w:ilvl="5" w:tplc="AA50339C">
      <w:numFmt w:val="bullet"/>
      <w:lvlText w:val="•"/>
      <w:lvlJc w:val="left"/>
      <w:pPr>
        <w:ind w:left="6653" w:hanging="269"/>
      </w:pPr>
      <w:rPr>
        <w:rFonts w:hint="default"/>
        <w:lang w:val="en-US" w:eastAsia="en-US" w:bidi="ar-SA"/>
      </w:rPr>
    </w:lvl>
    <w:lvl w:ilvl="6" w:tplc="30FEF3BC">
      <w:numFmt w:val="bullet"/>
      <w:lvlText w:val="•"/>
      <w:lvlJc w:val="left"/>
      <w:pPr>
        <w:ind w:left="7252" w:hanging="269"/>
      </w:pPr>
      <w:rPr>
        <w:rFonts w:hint="default"/>
        <w:lang w:val="en-US" w:eastAsia="en-US" w:bidi="ar-SA"/>
      </w:rPr>
    </w:lvl>
    <w:lvl w:ilvl="7" w:tplc="157EDC76">
      <w:numFmt w:val="bullet"/>
      <w:lvlText w:val="•"/>
      <w:lvlJc w:val="left"/>
      <w:pPr>
        <w:ind w:left="7850" w:hanging="269"/>
      </w:pPr>
      <w:rPr>
        <w:rFonts w:hint="default"/>
        <w:lang w:val="en-US" w:eastAsia="en-US" w:bidi="ar-SA"/>
      </w:rPr>
    </w:lvl>
    <w:lvl w:ilvl="8" w:tplc="5C4AE4B6">
      <w:numFmt w:val="bullet"/>
      <w:lvlText w:val="•"/>
      <w:lvlJc w:val="left"/>
      <w:pPr>
        <w:ind w:left="8449" w:hanging="269"/>
      </w:pPr>
      <w:rPr>
        <w:rFonts w:hint="default"/>
        <w:lang w:val="en-US" w:eastAsia="en-US" w:bidi="ar-SA"/>
      </w:rPr>
    </w:lvl>
  </w:abstractNum>
  <w:abstractNum w:abstractNumId="10" w15:restartNumberingAfterBreak="0">
    <w:nsid w:val="75EC2220"/>
    <w:multiLevelType w:val="hybridMultilevel"/>
    <w:tmpl w:val="AE407FF2"/>
    <w:lvl w:ilvl="0" w:tplc="EADE07DA">
      <w:numFmt w:val="bullet"/>
      <w:lvlText w:val=""/>
      <w:lvlJc w:val="left"/>
      <w:pPr>
        <w:ind w:left="805" w:hanging="567"/>
      </w:pPr>
      <w:rPr>
        <w:rFonts w:ascii="Symbol" w:eastAsia="Symbol" w:hAnsi="Symbol" w:cs="Symbol" w:hint="default"/>
        <w:w w:val="100"/>
        <w:sz w:val="22"/>
        <w:szCs w:val="22"/>
        <w:lang w:val="en-US" w:eastAsia="en-US" w:bidi="ar-SA"/>
      </w:rPr>
    </w:lvl>
    <w:lvl w:ilvl="1" w:tplc="7AE63E02">
      <w:numFmt w:val="bullet"/>
      <w:lvlText w:val="•"/>
      <w:lvlJc w:val="left"/>
      <w:pPr>
        <w:ind w:left="1684" w:hanging="567"/>
      </w:pPr>
      <w:rPr>
        <w:rFonts w:hint="default"/>
        <w:lang w:val="en-US" w:eastAsia="en-US" w:bidi="ar-SA"/>
      </w:rPr>
    </w:lvl>
    <w:lvl w:ilvl="2" w:tplc="21C26C94">
      <w:numFmt w:val="bullet"/>
      <w:lvlText w:val="•"/>
      <w:lvlJc w:val="left"/>
      <w:pPr>
        <w:ind w:left="2569" w:hanging="567"/>
      </w:pPr>
      <w:rPr>
        <w:rFonts w:hint="default"/>
        <w:lang w:val="en-US" w:eastAsia="en-US" w:bidi="ar-SA"/>
      </w:rPr>
    </w:lvl>
    <w:lvl w:ilvl="3" w:tplc="DFE0344A">
      <w:numFmt w:val="bullet"/>
      <w:lvlText w:val="•"/>
      <w:lvlJc w:val="left"/>
      <w:pPr>
        <w:ind w:left="3453" w:hanging="567"/>
      </w:pPr>
      <w:rPr>
        <w:rFonts w:hint="default"/>
        <w:lang w:val="en-US" w:eastAsia="en-US" w:bidi="ar-SA"/>
      </w:rPr>
    </w:lvl>
    <w:lvl w:ilvl="4" w:tplc="631217BA">
      <w:numFmt w:val="bullet"/>
      <w:lvlText w:val="•"/>
      <w:lvlJc w:val="left"/>
      <w:pPr>
        <w:ind w:left="4338" w:hanging="567"/>
      </w:pPr>
      <w:rPr>
        <w:rFonts w:hint="default"/>
        <w:lang w:val="en-US" w:eastAsia="en-US" w:bidi="ar-SA"/>
      </w:rPr>
    </w:lvl>
    <w:lvl w:ilvl="5" w:tplc="BD02A696">
      <w:numFmt w:val="bullet"/>
      <w:lvlText w:val="•"/>
      <w:lvlJc w:val="left"/>
      <w:pPr>
        <w:ind w:left="5223" w:hanging="567"/>
      </w:pPr>
      <w:rPr>
        <w:rFonts w:hint="default"/>
        <w:lang w:val="en-US" w:eastAsia="en-US" w:bidi="ar-SA"/>
      </w:rPr>
    </w:lvl>
    <w:lvl w:ilvl="6" w:tplc="43B86290">
      <w:numFmt w:val="bullet"/>
      <w:lvlText w:val="•"/>
      <w:lvlJc w:val="left"/>
      <w:pPr>
        <w:ind w:left="6107" w:hanging="567"/>
      </w:pPr>
      <w:rPr>
        <w:rFonts w:hint="default"/>
        <w:lang w:val="en-US" w:eastAsia="en-US" w:bidi="ar-SA"/>
      </w:rPr>
    </w:lvl>
    <w:lvl w:ilvl="7" w:tplc="B1B63774">
      <w:numFmt w:val="bullet"/>
      <w:lvlText w:val="•"/>
      <w:lvlJc w:val="left"/>
      <w:pPr>
        <w:ind w:left="6992" w:hanging="567"/>
      </w:pPr>
      <w:rPr>
        <w:rFonts w:hint="default"/>
        <w:lang w:val="en-US" w:eastAsia="en-US" w:bidi="ar-SA"/>
      </w:rPr>
    </w:lvl>
    <w:lvl w:ilvl="8" w:tplc="B0CE53DE">
      <w:numFmt w:val="bullet"/>
      <w:lvlText w:val="•"/>
      <w:lvlJc w:val="left"/>
      <w:pPr>
        <w:ind w:left="7877" w:hanging="567"/>
      </w:pPr>
      <w:rPr>
        <w:rFonts w:hint="default"/>
        <w:lang w:val="en-US" w:eastAsia="en-US" w:bidi="ar-SA"/>
      </w:rPr>
    </w:lvl>
  </w:abstractNum>
  <w:abstractNum w:abstractNumId="11" w15:restartNumberingAfterBreak="0">
    <w:nsid w:val="76C06945"/>
    <w:multiLevelType w:val="multilevel"/>
    <w:tmpl w:val="2FAC4524"/>
    <w:lvl w:ilvl="0">
      <w:start w:val="5"/>
      <w:numFmt w:val="decimal"/>
      <w:lvlText w:val="%1"/>
      <w:lvlJc w:val="left"/>
      <w:pPr>
        <w:ind w:left="805" w:hanging="567"/>
      </w:pPr>
      <w:rPr>
        <w:rFonts w:hint="default"/>
        <w:lang w:val="en-US" w:eastAsia="en-US" w:bidi="ar-SA"/>
      </w:rPr>
    </w:lvl>
    <w:lvl w:ilvl="1">
      <w:start w:val="2"/>
      <w:numFmt w:val="decimal"/>
      <w:lvlText w:val="%1.%2"/>
      <w:lvlJc w:val="left"/>
      <w:pPr>
        <w:ind w:left="805" w:hanging="567"/>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569" w:hanging="567"/>
      </w:pPr>
      <w:rPr>
        <w:rFonts w:hint="default"/>
        <w:lang w:val="en-US" w:eastAsia="en-US" w:bidi="ar-SA"/>
      </w:rPr>
    </w:lvl>
    <w:lvl w:ilvl="3">
      <w:numFmt w:val="bullet"/>
      <w:lvlText w:val="•"/>
      <w:lvlJc w:val="left"/>
      <w:pPr>
        <w:ind w:left="3453" w:hanging="567"/>
      </w:pPr>
      <w:rPr>
        <w:rFonts w:hint="default"/>
        <w:lang w:val="en-US" w:eastAsia="en-US" w:bidi="ar-SA"/>
      </w:rPr>
    </w:lvl>
    <w:lvl w:ilvl="4">
      <w:numFmt w:val="bullet"/>
      <w:lvlText w:val="•"/>
      <w:lvlJc w:val="left"/>
      <w:pPr>
        <w:ind w:left="4338" w:hanging="567"/>
      </w:pPr>
      <w:rPr>
        <w:rFonts w:hint="default"/>
        <w:lang w:val="en-US" w:eastAsia="en-US" w:bidi="ar-SA"/>
      </w:rPr>
    </w:lvl>
    <w:lvl w:ilvl="5">
      <w:numFmt w:val="bullet"/>
      <w:lvlText w:val="•"/>
      <w:lvlJc w:val="left"/>
      <w:pPr>
        <w:ind w:left="5223" w:hanging="567"/>
      </w:pPr>
      <w:rPr>
        <w:rFonts w:hint="default"/>
        <w:lang w:val="en-US" w:eastAsia="en-US" w:bidi="ar-SA"/>
      </w:rPr>
    </w:lvl>
    <w:lvl w:ilvl="6">
      <w:numFmt w:val="bullet"/>
      <w:lvlText w:val="•"/>
      <w:lvlJc w:val="left"/>
      <w:pPr>
        <w:ind w:left="6107" w:hanging="567"/>
      </w:pPr>
      <w:rPr>
        <w:rFonts w:hint="default"/>
        <w:lang w:val="en-US" w:eastAsia="en-US" w:bidi="ar-SA"/>
      </w:rPr>
    </w:lvl>
    <w:lvl w:ilvl="7">
      <w:numFmt w:val="bullet"/>
      <w:lvlText w:val="•"/>
      <w:lvlJc w:val="left"/>
      <w:pPr>
        <w:ind w:left="6992" w:hanging="567"/>
      </w:pPr>
      <w:rPr>
        <w:rFonts w:hint="default"/>
        <w:lang w:val="en-US" w:eastAsia="en-US" w:bidi="ar-SA"/>
      </w:rPr>
    </w:lvl>
    <w:lvl w:ilvl="8">
      <w:numFmt w:val="bullet"/>
      <w:lvlText w:val="•"/>
      <w:lvlJc w:val="left"/>
      <w:pPr>
        <w:ind w:left="7877" w:hanging="567"/>
      </w:pPr>
      <w:rPr>
        <w:rFonts w:hint="default"/>
        <w:lang w:val="en-US" w:eastAsia="en-US" w:bidi="ar-SA"/>
      </w:rPr>
    </w:lvl>
  </w:abstractNum>
  <w:abstractNum w:abstractNumId="12" w15:restartNumberingAfterBreak="0">
    <w:nsid w:val="78731FA8"/>
    <w:multiLevelType w:val="hybridMultilevel"/>
    <w:tmpl w:val="5FC8D94E"/>
    <w:lvl w:ilvl="0" w:tplc="3B80EFE2">
      <w:start w:val="1"/>
      <w:numFmt w:val="decimal"/>
      <w:lvlText w:val="%1."/>
      <w:lvlJc w:val="left"/>
      <w:pPr>
        <w:ind w:left="800" w:hanging="562"/>
      </w:pPr>
      <w:rPr>
        <w:rFonts w:ascii="Times New Roman" w:eastAsia="Times New Roman" w:hAnsi="Times New Roman" w:cs="Times New Roman" w:hint="default"/>
        <w:b/>
        <w:bCs/>
        <w:w w:val="100"/>
        <w:sz w:val="22"/>
        <w:szCs w:val="22"/>
        <w:lang w:val="en-US" w:eastAsia="en-US" w:bidi="ar-SA"/>
      </w:rPr>
    </w:lvl>
    <w:lvl w:ilvl="1" w:tplc="44281BF0">
      <w:numFmt w:val="bullet"/>
      <w:lvlText w:val=""/>
      <w:lvlJc w:val="left"/>
      <w:pPr>
        <w:ind w:left="870" w:hanging="219"/>
      </w:pPr>
      <w:rPr>
        <w:rFonts w:ascii="Symbol" w:eastAsia="Symbol" w:hAnsi="Symbol" w:cs="Symbol" w:hint="default"/>
        <w:w w:val="100"/>
        <w:sz w:val="22"/>
        <w:szCs w:val="22"/>
        <w:lang w:val="en-US" w:eastAsia="en-US" w:bidi="ar-SA"/>
      </w:rPr>
    </w:lvl>
    <w:lvl w:ilvl="2" w:tplc="1E282D06">
      <w:numFmt w:val="bullet"/>
      <w:lvlText w:val="•"/>
      <w:lvlJc w:val="left"/>
      <w:pPr>
        <w:ind w:left="1854" w:hanging="219"/>
      </w:pPr>
      <w:rPr>
        <w:rFonts w:hint="default"/>
        <w:lang w:val="en-US" w:eastAsia="en-US" w:bidi="ar-SA"/>
      </w:rPr>
    </w:lvl>
    <w:lvl w:ilvl="3" w:tplc="A5F2CCD4">
      <w:numFmt w:val="bullet"/>
      <w:lvlText w:val="•"/>
      <w:lvlJc w:val="left"/>
      <w:pPr>
        <w:ind w:left="2828" w:hanging="219"/>
      </w:pPr>
      <w:rPr>
        <w:rFonts w:hint="default"/>
        <w:lang w:val="en-US" w:eastAsia="en-US" w:bidi="ar-SA"/>
      </w:rPr>
    </w:lvl>
    <w:lvl w:ilvl="4" w:tplc="8EFE25A0">
      <w:numFmt w:val="bullet"/>
      <w:lvlText w:val="•"/>
      <w:lvlJc w:val="left"/>
      <w:pPr>
        <w:ind w:left="3802" w:hanging="219"/>
      </w:pPr>
      <w:rPr>
        <w:rFonts w:hint="default"/>
        <w:lang w:val="en-US" w:eastAsia="en-US" w:bidi="ar-SA"/>
      </w:rPr>
    </w:lvl>
    <w:lvl w:ilvl="5" w:tplc="C1487A0E">
      <w:numFmt w:val="bullet"/>
      <w:lvlText w:val="•"/>
      <w:lvlJc w:val="left"/>
      <w:pPr>
        <w:ind w:left="4776" w:hanging="219"/>
      </w:pPr>
      <w:rPr>
        <w:rFonts w:hint="default"/>
        <w:lang w:val="en-US" w:eastAsia="en-US" w:bidi="ar-SA"/>
      </w:rPr>
    </w:lvl>
    <w:lvl w:ilvl="6" w:tplc="D266201C">
      <w:numFmt w:val="bullet"/>
      <w:lvlText w:val="•"/>
      <w:lvlJc w:val="left"/>
      <w:pPr>
        <w:ind w:left="5750" w:hanging="219"/>
      </w:pPr>
      <w:rPr>
        <w:rFonts w:hint="default"/>
        <w:lang w:val="en-US" w:eastAsia="en-US" w:bidi="ar-SA"/>
      </w:rPr>
    </w:lvl>
    <w:lvl w:ilvl="7" w:tplc="1A7A2068">
      <w:numFmt w:val="bullet"/>
      <w:lvlText w:val="•"/>
      <w:lvlJc w:val="left"/>
      <w:pPr>
        <w:ind w:left="6724" w:hanging="219"/>
      </w:pPr>
      <w:rPr>
        <w:rFonts w:hint="default"/>
        <w:lang w:val="en-US" w:eastAsia="en-US" w:bidi="ar-SA"/>
      </w:rPr>
    </w:lvl>
    <w:lvl w:ilvl="8" w:tplc="85E8BBB4">
      <w:numFmt w:val="bullet"/>
      <w:lvlText w:val="•"/>
      <w:lvlJc w:val="left"/>
      <w:pPr>
        <w:ind w:left="7698" w:hanging="219"/>
      </w:pPr>
      <w:rPr>
        <w:rFonts w:hint="default"/>
        <w:lang w:val="en-US" w:eastAsia="en-US" w:bidi="ar-SA"/>
      </w:rPr>
    </w:lvl>
  </w:abstractNum>
  <w:num w:numId="1">
    <w:abstractNumId w:val="3"/>
  </w:num>
  <w:num w:numId="2">
    <w:abstractNumId w:val="7"/>
  </w:num>
  <w:num w:numId="3">
    <w:abstractNumId w:val="6"/>
  </w:num>
  <w:num w:numId="4">
    <w:abstractNumId w:val="12"/>
  </w:num>
  <w:num w:numId="5">
    <w:abstractNumId w:val="4"/>
  </w:num>
  <w:num w:numId="6">
    <w:abstractNumId w:val="1"/>
  </w:num>
  <w:num w:numId="7">
    <w:abstractNumId w:val="10"/>
  </w:num>
  <w:num w:numId="8">
    <w:abstractNumId w:val="9"/>
  </w:num>
  <w:num w:numId="9">
    <w:abstractNumId w:val="8"/>
  </w:num>
  <w:num w:numId="10">
    <w:abstractNumId w:val="2"/>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96"/>
    <w:rsid w:val="0001188F"/>
    <w:rsid w:val="000768A0"/>
    <w:rsid w:val="00092A0A"/>
    <w:rsid w:val="000B1606"/>
    <w:rsid w:val="00144D61"/>
    <w:rsid w:val="0015595F"/>
    <w:rsid w:val="001B49C8"/>
    <w:rsid w:val="001D2ABC"/>
    <w:rsid w:val="001E41C5"/>
    <w:rsid w:val="00203792"/>
    <w:rsid w:val="0020439E"/>
    <w:rsid w:val="00282225"/>
    <w:rsid w:val="002A1A59"/>
    <w:rsid w:val="002A5C0E"/>
    <w:rsid w:val="002C6D92"/>
    <w:rsid w:val="00303FB3"/>
    <w:rsid w:val="00346252"/>
    <w:rsid w:val="00376695"/>
    <w:rsid w:val="00387EF5"/>
    <w:rsid w:val="003A2E38"/>
    <w:rsid w:val="003D3A6C"/>
    <w:rsid w:val="00423E95"/>
    <w:rsid w:val="00457196"/>
    <w:rsid w:val="004664D1"/>
    <w:rsid w:val="004743F2"/>
    <w:rsid w:val="004F012C"/>
    <w:rsid w:val="00504092"/>
    <w:rsid w:val="005837A7"/>
    <w:rsid w:val="00590231"/>
    <w:rsid w:val="00592E2B"/>
    <w:rsid w:val="005D690D"/>
    <w:rsid w:val="00606912"/>
    <w:rsid w:val="006537F0"/>
    <w:rsid w:val="006B68E6"/>
    <w:rsid w:val="00785D4C"/>
    <w:rsid w:val="00811500"/>
    <w:rsid w:val="00874E15"/>
    <w:rsid w:val="008B541E"/>
    <w:rsid w:val="008B7310"/>
    <w:rsid w:val="008F7C35"/>
    <w:rsid w:val="009566A0"/>
    <w:rsid w:val="00964733"/>
    <w:rsid w:val="009F3623"/>
    <w:rsid w:val="00A3101A"/>
    <w:rsid w:val="00A510AA"/>
    <w:rsid w:val="00AA5881"/>
    <w:rsid w:val="00B1414C"/>
    <w:rsid w:val="00B34A3D"/>
    <w:rsid w:val="00B95977"/>
    <w:rsid w:val="00B97085"/>
    <w:rsid w:val="00B973F5"/>
    <w:rsid w:val="00BA54E5"/>
    <w:rsid w:val="00BA7FB9"/>
    <w:rsid w:val="00BB7BAE"/>
    <w:rsid w:val="00BD1E70"/>
    <w:rsid w:val="00BF7E72"/>
    <w:rsid w:val="00C14D11"/>
    <w:rsid w:val="00C241F3"/>
    <w:rsid w:val="00C62F4A"/>
    <w:rsid w:val="00CA197F"/>
    <w:rsid w:val="00CD4E37"/>
    <w:rsid w:val="00CE253E"/>
    <w:rsid w:val="00D04273"/>
    <w:rsid w:val="00D272D5"/>
    <w:rsid w:val="00D33407"/>
    <w:rsid w:val="00D80E38"/>
    <w:rsid w:val="00DC32D3"/>
    <w:rsid w:val="00DF353E"/>
    <w:rsid w:val="00DF7AA1"/>
    <w:rsid w:val="00F56A0F"/>
    <w:rsid w:val="00F71712"/>
    <w:rsid w:val="00FB4591"/>
    <w:rsid w:val="00FD5579"/>
    <w:rsid w:val="00FE14F4"/>
    <w:rsid w:val="00FF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4E637"/>
  <w15:docId w15:val="{F831333C-03BA-4FC7-8D85-60BB5626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3623"/>
    <w:rPr>
      <w:rFonts w:ascii="Times New Roman" w:eastAsia="Times New Roman" w:hAnsi="Times New Roman" w:cs="Times New Roman"/>
    </w:rPr>
  </w:style>
  <w:style w:type="paragraph" w:styleId="Heading1">
    <w:name w:val="heading 1"/>
    <w:basedOn w:val="Normal"/>
    <w:uiPriority w:val="1"/>
    <w:qFormat/>
    <w:pPr>
      <w:spacing w:before="20"/>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78" w:hanging="54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5D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D4C"/>
    <w:rPr>
      <w:rFonts w:ascii="Segoe UI" w:eastAsia="Times New Roman" w:hAnsi="Segoe UI" w:cs="Segoe UI"/>
      <w:sz w:val="18"/>
      <w:szCs w:val="18"/>
    </w:rPr>
  </w:style>
  <w:style w:type="paragraph" w:customStyle="1" w:styleId="Default">
    <w:name w:val="Default"/>
    <w:rsid w:val="0020439E"/>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9F36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12822</Words>
  <Characters>73086</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Sutent, INN-sunitinib</vt:lpstr>
    </vt:vector>
  </TitlesOfParts>
  <Company/>
  <LinksUpToDate>false</LinksUpToDate>
  <CharactersWithSpaces>85737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Sutent, INN-sunitinib</dc:title>
  <dc:subject>EPAR</dc:subject>
  <dc:creator>CHMP</dc:creator>
  <cp:keywords>Sutent, INN-sunitinib</cp:keywords>
  <cp:lastModifiedBy>Hristina Nelovska</cp:lastModifiedBy>
  <cp:revision>1</cp:revision>
  <dcterms:created xsi:type="dcterms:W3CDTF">2023-07-28T10:37:00Z</dcterms:created>
  <dcterms:modified xsi:type="dcterms:W3CDTF">2023-07-28T10:37:00Z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LastSaved">
    <vt:filetime>2020-08-10T00:00:00Z</vt:filetime>
  </property>
</Properties>
</file>