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80" w:rsidRPr="00D445B7"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lang w:val="fr-FR"/>
        </w:rPr>
      </w:pPr>
      <w:r w:rsidRPr="00D445B7">
        <w:rPr>
          <w:rFonts w:ascii="Times New Roman" w:hAnsi="Times New Roman"/>
          <w:b/>
          <w:sz w:val="20"/>
          <w:szCs w:val="20"/>
          <w:lang w:val="fr-FR"/>
        </w:rPr>
        <w:t xml:space="preserve">AUTORIZAŢIE DE PUNERE PE PIAŢĂ NR. </w:t>
      </w:r>
      <w:r>
        <w:rPr>
          <w:rFonts w:ascii="Times New Roman" w:hAnsi="Times New Roman"/>
          <w:b/>
          <w:sz w:val="20"/>
          <w:szCs w:val="20"/>
          <w:lang w:val="fr-FR"/>
        </w:rPr>
        <w:t>14103</w:t>
      </w:r>
      <w:r w:rsidRPr="00D445B7">
        <w:rPr>
          <w:rFonts w:ascii="Times New Roman" w:hAnsi="Times New Roman"/>
          <w:b/>
          <w:sz w:val="20"/>
          <w:szCs w:val="20"/>
          <w:lang w:val="fr-FR"/>
        </w:rPr>
        <w:t>/2021/01</w:t>
      </w:r>
      <w:r>
        <w:rPr>
          <w:rFonts w:ascii="Times New Roman" w:hAnsi="Times New Roman"/>
          <w:b/>
          <w:sz w:val="20"/>
          <w:szCs w:val="20"/>
          <w:lang w:val="fr-FR"/>
        </w:rPr>
        <w:t>-02</w:t>
      </w:r>
      <w:r w:rsidRPr="00D445B7">
        <w:rPr>
          <w:rFonts w:ascii="Times New Roman" w:hAnsi="Times New Roman"/>
          <w:b/>
          <w:sz w:val="20"/>
          <w:szCs w:val="20"/>
          <w:lang w:val="fr-FR"/>
        </w:rPr>
        <w:t xml:space="preserve">                          </w:t>
      </w:r>
      <w:r>
        <w:rPr>
          <w:rFonts w:ascii="Times New Roman" w:hAnsi="Times New Roman"/>
          <w:b/>
          <w:sz w:val="20"/>
          <w:szCs w:val="20"/>
          <w:lang w:val="fr-FR"/>
        </w:rPr>
        <w:t xml:space="preserve">                  </w:t>
      </w:r>
      <w:r w:rsidRPr="00D445B7">
        <w:rPr>
          <w:rFonts w:ascii="Times New Roman" w:hAnsi="Times New Roman"/>
          <w:b/>
          <w:sz w:val="20"/>
          <w:szCs w:val="20"/>
          <w:lang w:val="fr-FR"/>
        </w:rPr>
        <w:t xml:space="preserve">                 </w:t>
      </w:r>
      <w:r w:rsidR="00FC613F">
        <w:rPr>
          <w:rFonts w:ascii="Times New Roman" w:hAnsi="Times New Roman"/>
          <w:b/>
          <w:sz w:val="20"/>
          <w:szCs w:val="20"/>
          <w:lang w:val="fr-FR"/>
        </w:rPr>
        <w:t xml:space="preserve">   </w:t>
      </w:r>
      <w:r w:rsidRPr="00D445B7">
        <w:rPr>
          <w:rFonts w:ascii="Times New Roman" w:hAnsi="Times New Roman"/>
          <w:i/>
          <w:sz w:val="20"/>
          <w:szCs w:val="20"/>
          <w:lang w:val="fr-FR"/>
        </w:rPr>
        <w:t>Anexa 1</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00FC613F">
        <w:rPr>
          <w:rFonts w:ascii="Times New Roman" w:hAnsi="Times New Roman"/>
          <w:b/>
          <w:sz w:val="20"/>
          <w:szCs w:val="20"/>
          <w:lang w:val="fr-FR"/>
        </w:rPr>
        <w:t xml:space="preserve"> </w:t>
      </w:r>
      <w:r w:rsidRPr="000C0DDE">
        <w:rPr>
          <w:rFonts w:ascii="Times New Roman" w:hAnsi="Times New Roman"/>
          <w:b/>
          <w:sz w:val="20"/>
          <w:szCs w:val="20"/>
          <w:highlight w:val="lightGray"/>
          <w:lang w:val="fr-FR"/>
        </w:rPr>
        <w:t>NR. 14104/2021/01-02</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00FC613F" w:rsidRPr="000C0DDE">
        <w:rPr>
          <w:rFonts w:ascii="Times New Roman" w:hAnsi="Times New Roman"/>
          <w:b/>
          <w:sz w:val="20"/>
          <w:highlight w:val="lightGray"/>
          <w:lang w:val="fr-FR"/>
        </w:rPr>
        <w:t xml:space="preserve"> </w:t>
      </w:r>
      <w:r w:rsidRPr="000C0DDE">
        <w:rPr>
          <w:rFonts w:ascii="Times New Roman" w:hAnsi="Times New Roman"/>
          <w:b/>
          <w:sz w:val="20"/>
          <w:szCs w:val="20"/>
          <w:highlight w:val="lightGray"/>
          <w:lang w:val="fr-FR"/>
        </w:rPr>
        <w:t>NR. 14105/2021/01-02</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highlight w:val="lightGray"/>
          <w:lang w:val="fr-FR"/>
        </w:rPr>
      </w:pP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00FC613F" w:rsidRPr="000C0DDE">
        <w:rPr>
          <w:rFonts w:ascii="Times New Roman" w:hAnsi="Times New Roman"/>
          <w:b/>
          <w:sz w:val="20"/>
          <w:highlight w:val="lightGray"/>
          <w:lang w:val="fr-FR"/>
        </w:rPr>
        <w:t xml:space="preserve"> </w:t>
      </w:r>
      <w:r w:rsidRPr="000C0DDE">
        <w:rPr>
          <w:rFonts w:ascii="Times New Roman" w:hAnsi="Times New Roman"/>
          <w:b/>
          <w:sz w:val="20"/>
          <w:szCs w:val="20"/>
          <w:highlight w:val="lightGray"/>
          <w:lang w:val="fr-FR"/>
        </w:rPr>
        <w:t>NR. 14106/2021/01</w:t>
      </w:r>
      <w:r w:rsidRPr="000C0DDE">
        <w:rPr>
          <w:rFonts w:ascii="Times New Roman" w:hAnsi="Times New Roman"/>
          <w:b/>
          <w:sz w:val="20"/>
          <w:highlight w:val="lightGray"/>
          <w:lang w:val="fr-FR"/>
        </w:rPr>
        <w:t>-02</w:t>
      </w:r>
    </w:p>
    <w:p w:rsidR="00E10080"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lang w:val="fr-FR"/>
        </w:rPr>
      </w:pP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t xml:space="preserve">             </w:t>
      </w:r>
      <w:r w:rsidRPr="000C0DDE">
        <w:rPr>
          <w:rFonts w:ascii="Times New Roman" w:hAnsi="Times New Roman"/>
          <w:b/>
          <w:sz w:val="20"/>
          <w:szCs w:val="20"/>
          <w:highlight w:val="lightGray"/>
          <w:lang w:val="fr-FR"/>
        </w:rPr>
        <w:tab/>
      </w:r>
      <w:r w:rsidRPr="000C0DDE">
        <w:rPr>
          <w:rFonts w:ascii="Times New Roman" w:hAnsi="Times New Roman"/>
          <w:b/>
          <w:sz w:val="20"/>
          <w:szCs w:val="20"/>
          <w:highlight w:val="lightGray"/>
          <w:lang w:val="fr-FR"/>
        </w:rPr>
        <w:tab/>
      </w:r>
      <w:r w:rsidR="00FC613F" w:rsidRPr="000C0DDE">
        <w:rPr>
          <w:rFonts w:ascii="Times New Roman" w:hAnsi="Times New Roman"/>
          <w:b/>
          <w:sz w:val="20"/>
          <w:szCs w:val="20"/>
          <w:highlight w:val="lightGray"/>
          <w:lang w:val="fr-FR"/>
        </w:rPr>
        <w:t xml:space="preserve"> </w:t>
      </w:r>
      <w:r w:rsidRPr="000C0DDE">
        <w:rPr>
          <w:rFonts w:ascii="Times New Roman" w:hAnsi="Times New Roman"/>
          <w:b/>
          <w:sz w:val="20"/>
          <w:szCs w:val="20"/>
          <w:highlight w:val="lightGray"/>
          <w:lang w:val="fr-FR"/>
        </w:rPr>
        <w:t>NR. 14107/2021/01</w:t>
      </w:r>
    </w:p>
    <w:p w:rsidR="00E10080" w:rsidRPr="00D445B7"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iCs/>
          <w:sz w:val="20"/>
          <w:szCs w:val="20"/>
          <w:lang w:val="fr-FR"/>
        </w:rPr>
      </w:pP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Pr>
          <w:rFonts w:ascii="Times New Roman" w:hAnsi="Times New Roman"/>
          <w:b/>
          <w:sz w:val="20"/>
          <w:szCs w:val="20"/>
          <w:lang w:val="fr-FR"/>
        </w:rPr>
        <w:tab/>
      </w:r>
      <w:r w:rsidRPr="00D445B7">
        <w:rPr>
          <w:rFonts w:ascii="Times New Roman" w:hAnsi="Times New Roman"/>
          <w:b/>
          <w:sz w:val="20"/>
          <w:szCs w:val="20"/>
          <w:lang w:val="fr-FR"/>
        </w:rPr>
        <w:tab/>
      </w:r>
      <w:r w:rsidR="00FC613F">
        <w:rPr>
          <w:rFonts w:ascii="Times New Roman" w:hAnsi="Times New Roman"/>
          <w:b/>
          <w:sz w:val="20"/>
          <w:szCs w:val="20"/>
          <w:lang w:val="fr-FR"/>
        </w:rPr>
        <w:t xml:space="preserve">              </w:t>
      </w:r>
      <w:r w:rsidRPr="00D445B7">
        <w:rPr>
          <w:rFonts w:ascii="Times New Roman" w:hAnsi="Times New Roman"/>
          <w:b/>
          <w:sz w:val="20"/>
          <w:szCs w:val="20"/>
          <w:lang w:val="fr-FR"/>
        </w:rPr>
        <w:t>Prospect</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jc w:val="center"/>
      </w:pPr>
      <w:bookmarkStart w:id="0" w:name="page59"/>
      <w:bookmarkEnd w:id="0"/>
      <w:r w:rsidRPr="000012B4">
        <w:rPr>
          <w:rFonts w:eastAsia="Times New Roman"/>
          <w:b/>
          <w:bCs/>
        </w:rPr>
        <w:t>Prospect: Informaţii pentru utilizator</w:t>
      </w:r>
    </w:p>
    <w:p w:rsidR="00E10080" w:rsidRPr="000012B4" w:rsidRDefault="00E10080" w:rsidP="00E10080">
      <w:pPr>
        <w:tabs>
          <w:tab w:val="left" w:pos="567"/>
        </w:tabs>
      </w:pPr>
    </w:p>
    <w:p w:rsidR="00E10080" w:rsidRPr="000012B4" w:rsidRDefault="00E10080" w:rsidP="00E10080">
      <w:pPr>
        <w:tabs>
          <w:tab w:val="left" w:pos="567"/>
        </w:tabs>
        <w:jc w:val="center"/>
      </w:pPr>
      <w:bookmarkStart w:id="1" w:name="_Hlk76547100"/>
      <w:r>
        <w:rPr>
          <w:rFonts w:eastAsia="Times New Roman"/>
          <w:b/>
          <w:bCs/>
        </w:rPr>
        <w:t>Nodriga</w:t>
      </w:r>
      <w:r w:rsidRPr="000012B4">
        <w:rPr>
          <w:rFonts w:eastAsia="Times New Roman"/>
          <w:b/>
          <w:bCs/>
        </w:rPr>
        <w:t xml:space="preserve"> </w:t>
      </w:r>
      <w:bookmarkEnd w:id="1"/>
      <w:r w:rsidRPr="000012B4">
        <w:rPr>
          <w:rFonts w:eastAsia="Times New Roman"/>
          <w:b/>
          <w:bCs/>
        </w:rPr>
        <w:t>20 mg comprimate filmate</w:t>
      </w:r>
    </w:p>
    <w:p w:rsidR="00E10080" w:rsidRPr="00C61C9E" w:rsidRDefault="00E10080" w:rsidP="00E10080">
      <w:pPr>
        <w:tabs>
          <w:tab w:val="left" w:pos="567"/>
        </w:tabs>
        <w:jc w:val="center"/>
        <w:rPr>
          <w:highlight w:val="lightGray"/>
        </w:rPr>
      </w:pPr>
      <w:r w:rsidRPr="00C61C9E">
        <w:rPr>
          <w:rFonts w:eastAsia="Times New Roman"/>
          <w:b/>
          <w:bCs/>
          <w:highlight w:val="lightGray"/>
        </w:rPr>
        <w:t>Nodriga 50 mg comprimate filmate</w:t>
      </w:r>
    </w:p>
    <w:p w:rsidR="00E10080" w:rsidRPr="00C61C9E" w:rsidRDefault="00E10080" w:rsidP="00E10080">
      <w:pPr>
        <w:tabs>
          <w:tab w:val="left" w:pos="567"/>
        </w:tabs>
        <w:jc w:val="center"/>
        <w:rPr>
          <w:highlight w:val="lightGray"/>
        </w:rPr>
      </w:pPr>
      <w:r w:rsidRPr="00C61C9E">
        <w:rPr>
          <w:rFonts w:eastAsia="Times New Roman"/>
          <w:b/>
          <w:bCs/>
          <w:highlight w:val="lightGray"/>
        </w:rPr>
        <w:t>Nodriga 70 mg comprimate filmate</w:t>
      </w:r>
    </w:p>
    <w:p w:rsidR="00E10080" w:rsidRPr="00C61C9E" w:rsidRDefault="00FC613F" w:rsidP="00E10080">
      <w:pPr>
        <w:tabs>
          <w:tab w:val="left" w:pos="567"/>
        </w:tabs>
        <w:jc w:val="center"/>
        <w:rPr>
          <w:highlight w:val="lightGray"/>
        </w:rPr>
      </w:pPr>
      <w:r w:rsidRPr="00C61C9E">
        <w:rPr>
          <w:rFonts w:eastAsia="Times New Roman"/>
          <w:b/>
          <w:bCs/>
          <w:highlight w:val="lightGray"/>
        </w:rPr>
        <w:t xml:space="preserve">  </w:t>
      </w:r>
      <w:r w:rsidR="00E10080" w:rsidRPr="00C61C9E">
        <w:rPr>
          <w:rFonts w:eastAsia="Times New Roman"/>
          <w:b/>
          <w:bCs/>
          <w:highlight w:val="lightGray"/>
        </w:rPr>
        <w:t>Nodriga 100 mg comprimate filmate</w:t>
      </w:r>
    </w:p>
    <w:p w:rsidR="00E10080" w:rsidRPr="000012B4" w:rsidRDefault="00FC613F" w:rsidP="00E10080">
      <w:pPr>
        <w:tabs>
          <w:tab w:val="left" w:pos="567"/>
        </w:tabs>
        <w:jc w:val="center"/>
      </w:pPr>
      <w:r w:rsidRPr="00C61C9E">
        <w:rPr>
          <w:rFonts w:eastAsia="Times New Roman"/>
          <w:b/>
          <w:bCs/>
          <w:highlight w:val="lightGray"/>
        </w:rPr>
        <w:t xml:space="preserve">  </w:t>
      </w:r>
      <w:r w:rsidR="00E10080" w:rsidRPr="00C61C9E">
        <w:rPr>
          <w:rFonts w:eastAsia="Times New Roman"/>
          <w:b/>
          <w:bCs/>
          <w:highlight w:val="lightGray"/>
        </w:rPr>
        <w:t>Nodriga 140 mg comprimate filmate</w:t>
      </w:r>
    </w:p>
    <w:p w:rsidR="00E10080" w:rsidRPr="000012B4" w:rsidRDefault="00E10080" w:rsidP="00E10080">
      <w:pPr>
        <w:tabs>
          <w:tab w:val="left" w:pos="567"/>
        </w:tabs>
      </w:pPr>
    </w:p>
    <w:p w:rsidR="00E10080" w:rsidRPr="000012B4" w:rsidRDefault="00E10080" w:rsidP="00E10080">
      <w:pPr>
        <w:tabs>
          <w:tab w:val="left" w:pos="567"/>
        </w:tabs>
        <w:jc w:val="center"/>
      </w:pPr>
      <w:r w:rsidRPr="000012B4">
        <w:rPr>
          <w:rFonts w:eastAsia="Times New Roman"/>
        </w:rPr>
        <w:t>dasatinib</w:t>
      </w:r>
    </w:p>
    <w:p w:rsidR="00E10080" w:rsidRDefault="00E10080" w:rsidP="00E10080">
      <w:pPr>
        <w:tabs>
          <w:tab w:val="left" w:pos="567"/>
        </w:tabs>
      </w:pPr>
    </w:p>
    <w:p w:rsidR="00734BAC" w:rsidRPr="000012B4" w:rsidRDefault="00734BAC" w:rsidP="00E10080">
      <w:pPr>
        <w:tabs>
          <w:tab w:val="left" w:pos="567"/>
        </w:tabs>
      </w:pPr>
    </w:p>
    <w:p w:rsidR="00E10080" w:rsidRPr="000012B4" w:rsidRDefault="00E10080" w:rsidP="00E10080">
      <w:pPr>
        <w:tabs>
          <w:tab w:val="left" w:pos="567"/>
        </w:tabs>
      </w:pPr>
      <w:r w:rsidRPr="000012B4">
        <w:rPr>
          <w:rFonts w:eastAsia="Times New Roman"/>
          <w:b/>
          <w:bCs/>
        </w:rPr>
        <w:t>Citiţi cu atenţie şi în întregime acest prospect înainte de a începe să luaţi acest medicament deoarece conţine informaţii importante pentru dumneavoastră.</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Păstraţi acest prospect. S-ar putea să fie necesar să-l recitiţi.</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Dacă aveţi orice întrebări suplimentare, adresaţi-vă medicului dumneavoastră sau farmacistului.</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Acest medicament a fost prescris numai pentru dumneavoastră. Nu trebuie să-l daţi altor persoane. Le poate face rău, chiar dacă au aceleaşi semne de boală ca dumneavoastră.</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Dacă manifestaţi orice reacţii adverse, adresaţi-vă medicului dumneavoastră sau farmacistului. Acestea includ orice posibile reacţii adverse nemenţionate în acest prospect. Vezi pct. 4.</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Ce găsiţi în acest prospect</w:t>
      </w:r>
    </w:p>
    <w:p w:rsidR="00E10080" w:rsidRPr="000012B4" w:rsidRDefault="00E10080" w:rsidP="00E10080">
      <w:pPr>
        <w:tabs>
          <w:tab w:val="left" w:pos="567"/>
        </w:tabs>
      </w:pP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Ce este </w:t>
      </w:r>
      <w:r>
        <w:rPr>
          <w:rFonts w:eastAsia="Times New Roman"/>
        </w:rPr>
        <w:t>Nodriga</w:t>
      </w:r>
      <w:r w:rsidRPr="000012B4">
        <w:rPr>
          <w:rFonts w:eastAsia="Times New Roman"/>
        </w:rPr>
        <w:t xml:space="preserve"> şi pentru ce se utilizează</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Ce trebuie să ştiţi înainte să luaţi </w:t>
      </w:r>
      <w:r>
        <w:rPr>
          <w:rFonts w:eastAsia="Times New Roman"/>
        </w:rPr>
        <w:t>Nodriga</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Cum să luaţi </w:t>
      </w:r>
      <w:r>
        <w:rPr>
          <w:rFonts w:eastAsia="Times New Roman"/>
        </w:rPr>
        <w:t>Nodriga</w:t>
      </w:r>
      <w:r w:rsidRPr="000012B4">
        <w:rPr>
          <w:rFonts w:eastAsia="Times New Roman"/>
        </w:rPr>
        <w:t xml:space="preserve"> </w:t>
      </w:r>
    </w:p>
    <w:p w:rsidR="00E10080" w:rsidRPr="000012B4" w:rsidRDefault="00E10080" w:rsidP="00E10080">
      <w:pPr>
        <w:numPr>
          <w:ilvl w:val="0"/>
          <w:numId w:val="1"/>
        </w:numPr>
        <w:tabs>
          <w:tab w:val="left" w:pos="567"/>
        </w:tabs>
        <w:rPr>
          <w:rFonts w:eastAsia="Times New Roman"/>
        </w:rPr>
      </w:pPr>
      <w:r w:rsidRPr="000012B4">
        <w:rPr>
          <w:rFonts w:eastAsia="Times New Roman"/>
        </w:rPr>
        <w:t>Reacţii adverse posibile</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Cum se păstrează </w:t>
      </w:r>
      <w:r>
        <w:rPr>
          <w:rFonts w:eastAsia="Times New Roman"/>
        </w:rPr>
        <w:t>Nodriga</w:t>
      </w:r>
      <w:r w:rsidRPr="000012B4">
        <w:rPr>
          <w:rFonts w:eastAsia="Times New Roman"/>
        </w:rPr>
        <w:t xml:space="preserve"> </w:t>
      </w:r>
    </w:p>
    <w:p w:rsidR="00E10080" w:rsidRPr="000012B4" w:rsidRDefault="00E10080" w:rsidP="00E10080">
      <w:pPr>
        <w:numPr>
          <w:ilvl w:val="0"/>
          <w:numId w:val="1"/>
        </w:numPr>
        <w:tabs>
          <w:tab w:val="left" w:pos="567"/>
        </w:tabs>
        <w:rPr>
          <w:rFonts w:eastAsia="Times New Roman"/>
        </w:rPr>
      </w:pPr>
      <w:r w:rsidRPr="000012B4">
        <w:rPr>
          <w:rFonts w:eastAsia="Times New Roman"/>
        </w:rPr>
        <w:t>Conţinutul ambalajului şi alte informaţii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2"/>
        </w:numPr>
        <w:tabs>
          <w:tab w:val="left" w:pos="567"/>
          <w:tab w:val="left" w:pos="940"/>
        </w:tabs>
        <w:rPr>
          <w:rFonts w:eastAsia="Times New Roman"/>
          <w:b/>
          <w:bCs/>
        </w:rPr>
      </w:pPr>
      <w:r w:rsidRPr="000012B4">
        <w:rPr>
          <w:rFonts w:eastAsia="Times New Roman"/>
          <w:b/>
          <w:bCs/>
        </w:rPr>
        <w:t xml:space="preserve">Ce este </w:t>
      </w:r>
      <w:r>
        <w:rPr>
          <w:rFonts w:eastAsia="Times New Roman"/>
          <w:b/>
          <w:bCs/>
        </w:rPr>
        <w:t>Nodriga</w:t>
      </w:r>
      <w:r w:rsidRPr="000012B4">
        <w:rPr>
          <w:rFonts w:eastAsia="Times New Roman"/>
          <w:b/>
          <w:bCs/>
        </w:rPr>
        <w:t xml:space="preserve"> şi pentru ce se utilizează</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conține substanța activă dasatinib. Acest medicament este utilizat </w:t>
      </w:r>
      <w:r w:rsidRPr="00FA3994">
        <w:rPr>
          <w:rFonts w:eastAsia="Times New Roman"/>
          <w:highlight w:val="lightGray"/>
        </w:rPr>
        <w:t>pentru a trata leucemia mieloidă cronică (LMC) la adulţi, adolescenți și copii cu vârsta de cel puțin 1 an. Leucemia este un cancer al celulelor albe din sânge. Aceste celule albe ajută de obicei organismul să lupte contra infecţiilor. La persoanele care au LMC, celulele albe numite granulocite încep să se dezvolte necontrolat. Nodriga inhibă dezvoltarea acestor celule leucemice.</w:t>
      </w:r>
    </w:p>
    <w:p w:rsidR="00E10080" w:rsidRPr="000012B4" w:rsidRDefault="00E10080" w:rsidP="00E10080">
      <w:pPr>
        <w:tabs>
          <w:tab w:val="left" w:pos="567"/>
        </w:tabs>
      </w:pPr>
    </w:p>
    <w:p w:rsidR="00E10080" w:rsidRPr="000012B4" w:rsidRDefault="00E10080" w:rsidP="00E10080">
      <w:pPr>
        <w:tabs>
          <w:tab w:val="left" w:pos="567"/>
        </w:tabs>
      </w:pPr>
      <w:r w:rsidRPr="00FA3994">
        <w:rPr>
          <w:rFonts w:eastAsia="Times New Roman"/>
          <w:highlight w:val="lightGray"/>
        </w:rPr>
        <w:t>Nodriga este, de asemenea, utilizat pentru a trata</w:t>
      </w:r>
      <w:r w:rsidRPr="00FC613F">
        <w:rPr>
          <w:rFonts w:eastAsia="Times New Roman"/>
        </w:rPr>
        <w:t xml:space="preserve"> leucemia acută limfoblastică (LAL) cu cromozom Philadelphia pozitiv (Ph+) la adulți, adolescenți și copii cu vârsta de cel puțin 1 an, </w:t>
      </w:r>
      <w:r w:rsidRPr="00FA3994">
        <w:rPr>
          <w:rFonts w:eastAsia="Times New Roman"/>
          <w:highlight w:val="lightGray"/>
        </w:rPr>
        <w:t>şi LMC în fază blastică limfoidă la adulți care nu au avut beneficii în urma terapiilor anterioare.</w:t>
      </w:r>
      <w:r w:rsidRPr="000012B4">
        <w:rPr>
          <w:rFonts w:eastAsia="Times New Roman"/>
        </w:rPr>
        <w:t xml:space="preserve"> La persoanele care au LAL, celulele albe numite limfocite se multiplică prea repede şi trăiesc prea mult. </w:t>
      </w:r>
      <w:r>
        <w:rPr>
          <w:rFonts w:eastAsia="Times New Roman"/>
        </w:rPr>
        <w:t>Nodriga</w:t>
      </w:r>
      <w:r w:rsidRPr="000012B4">
        <w:rPr>
          <w:rFonts w:eastAsia="Times New Roman"/>
        </w:rPr>
        <w:t xml:space="preserve"> inhibă dezvoltarea acestor celule leucemice.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Dacă aveţi întrebări despre modul în care acţionează </w:t>
      </w:r>
      <w:r>
        <w:rPr>
          <w:rFonts w:eastAsia="Times New Roman"/>
        </w:rPr>
        <w:t>Nodriga</w:t>
      </w:r>
      <w:r w:rsidRPr="000012B4">
        <w:rPr>
          <w:rFonts w:eastAsia="Times New Roman"/>
        </w:rPr>
        <w:t xml:space="preserve"> sau despre motivul pentru care vi s-a prescris acest medicament, întrebaţi medicul dumneavoastră.</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3"/>
        </w:numPr>
        <w:tabs>
          <w:tab w:val="left" w:pos="567"/>
          <w:tab w:val="left" w:pos="940"/>
        </w:tabs>
        <w:rPr>
          <w:rFonts w:eastAsia="Times New Roman"/>
          <w:b/>
          <w:bCs/>
        </w:rPr>
      </w:pPr>
      <w:r w:rsidRPr="000012B4">
        <w:rPr>
          <w:rFonts w:eastAsia="Times New Roman"/>
          <w:b/>
          <w:bCs/>
        </w:rPr>
        <w:t xml:space="preserve">Ce trebuie să ştiţi înainte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Nu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numPr>
          <w:ilvl w:val="0"/>
          <w:numId w:val="16"/>
        </w:numPr>
        <w:tabs>
          <w:tab w:val="left" w:pos="567"/>
          <w:tab w:val="left" w:pos="940"/>
        </w:tabs>
        <w:rPr>
          <w:rFonts w:eastAsia="Wingdings"/>
        </w:rPr>
      </w:pPr>
      <w:r w:rsidRPr="000012B4">
        <w:rPr>
          <w:rFonts w:eastAsia="Times New Roman"/>
        </w:rPr>
        <w:t xml:space="preserve">dacă sunteţi </w:t>
      </w:r>
      <w:r w:rsidRPr="000012B4">
        <w:rPr>
          <w:rFonts w:eastAsia="Times New Roman"/>
          <w:b/>
          <w:bCs/>
        </w:rPr>
        <w:t>alergic</w:t>
      </w:r>
      <w:r w:rsidRPr="000012B4">
        <w:rPr>
          <w:rFonts w:eastAsia="Times New Roman"/>
        </w:rPr>
        <w:t xml:space="preserve"> la dasatinib sau la oricare dintre celelalte componente ale acestui medicament (enumerate la pct. 6).</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Dacă aţi putea fi alergic, cereţi sfatul medicului dumneavoastră.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Atenţionări şi precauţii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Înainte să utilizaţi </w:t>
      </w:r>
      <w:r>
        <w:rPr>
          <w:rFonts w:eastAsia="Times New Roman"/>
        </w:rPr>
        <w:t>Nodriga</w:t>
      </w:r>
      <w:r w:rsidRPr="000012B4">
        <w:rPr>
          <w:rFonts w:eastAsia="Times New Roman"/>
        </w:rPr>
        <w:t>, adresaţi-vă medicului dumneavoastră sau farmacistului</w:t>
      </w:r>
    </w:p>
    <w:p w:rsidR="00E10080" w:rsidRPr="000012B4" w:rsidRDefault="00E10080" w:rsidP="00E10080">
      <w:pPr>
        <w:pStyle w:val="ListParagraph"/>
        <w:numPr>
          <w:ilvl w:val="0"/>
          <w:numId w:val="17"/>
        </w:numPr>
        <w:tabs>
          <w:tab w:val="left" w:pos="567"/>
        </w:tabs>
        <w:ind w:left="567" w:hanging="567"/>
        <w:rPr>
          <w:rFonts w:eastAsia="Wingdings"/>
        </w:rPr>
      </w:pPr>
      <w:bookmarkStart w:id="2" w:name="page60"/>
      <w:bookmarkEnd w:id="2"/>
      <w:r w:rsidRPr="000012B4">
        <w:rPr>
          <w:rFonts w:eastAsia="Times New Roman"/>
        </w:rPr>
        <w:t xml:space="preserve">dacă luaţi </w:t>
      </w:r>
      <w:r w:rsidRPr="000012B4">
        <w:rPr>
          <w:rFonts w:eastAsia="Times New Roman"/>
          <w:b/>
          <w:bCs/>
        </w:rPr>
        <w:t>medicamente pentru subţierea sângelui</w:t>
      </w:r>
      <w:r w:rsidRPr="000012B4">
        <w:rPr>
          <w:rFonts w:eastAsia="Times New Roman"/>
        </w:rPr>
        <w:t xml:space="preserve"> sau care previn coagularea (vezi „</w:t>
      </w:r>
      <w:r w:rsidRPr="000012B4">
        <w:t xml:space="preserve"> </w:t>
      </w:r>
      <w:r>
        <w:rPr>
          <w:rFonts w:eastAsia="Times New Roman"/>
        </w:rPr>
        <w:t>Nodriga</w:t>
      </w:r>
      <w:r w:rsidRPr="000012B4">
        <w:rPr>
          <w:rFonts w:eastAsia="Times New Roman"/>
        </w:rPr>
        <w:t xml:space="preserve"> împreună cu alte medicamente”)</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dacă aveţi probleme de ficat sau de inimă sau aţi avut</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începeţi să </w:t>
      </w:r>
      <w:r w:rsidRPr="000012B4">
        <w:rPr>
          <w:rFonts w:eastAsia="Times New Roman"/>
          <w:b/>
          <w:bCs/>
        </w:rPr>
        <w:t>aveți dificultăți de respirație, să aveţi durere în piept sau să tuşiţi</w:t>
      </w:r>
      <w:r w:rsidRPr="000012B4">
        <w:rPr>
          <w:rFonts w:eastAsia="Times New Roman"/>
        </w:rPr>
        <w:t xml:space="preserve"> când luaţi </w:t>
      </w:r>
      <w:r>
        <w:rPr>
          <w:rFonts w:eastAsia="Times New Roman"/>
        </w:rPr>
        <w:t>Nodriga</w:t>
      </w:r>
      <w:r w:rsidRPr="000012B4">
        <w:rPr>
          <w:rFonts w:eastAsia="Times New Roman"/>
        </w:rPr>
        <w:t>: acesta poate fi un semn al acumulării de lichid în plămâni sau la nivel toracic (care poate apărea mai frecvent la pacienţii cu vârsta de 65 ani sau peste) sau al modificărilor în vasele de sânge care alimentează plămânii</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ați avut vreodată sau este posibil să aveți în prezent o infecție cu virus hepatitic B. Acest lucru este necesar deoarece </w:t>
      </w:r>
      <w:r>
        <w:rPr>
          <w:rFonts w:eastAsia="Times New Roman"/>
        </w:rPr>
        <w:t>Nodriga</w:t>
      </w:r>
      <w:r w:rsidRPr="000012B4">
        <w:rPr>
          <w:rFonts w:eastAsia="Times New Roman"/>
        </w:rPr>
        <w:t xml:space="preserve"> poate duce la reactivarea hepatitei B, care poate fi letală, în unele cazuri. Înainte de începerea tratamentului, pacienții vor fi consultați cu atenție de către medic pentru depistarea semnelor acestei infecții.</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aveți vânătăi, sângerări, febră, fatigabilitate și confuzie când luați </w:t>
      </w:r>
      <w:r>
        <w:rPr>
          <w:rFonts w:eastAsia="Times New Roman"/>
        </w:rPr>
        <w:t>Nodriga</w:t>
      </w:r>
      <w:r w:rsidRPr="000012B4">
        <w:rPr>
          <w:rFonts w:eastAsia="Times New Roman"/>
        </w:rPr>
        <w:t>, adresați-vă medicului dumneavoastră. Acesta poate fi un semn al deteriorării vaselor de sânge, cunoscută ca microangiopatie trombotică (MAT).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Medicul dumneavoastră vă va monitoriza regulat starea, pentru a verifica dacă </w:t>
      </w:r>
      <w:r>
        <w:rPr>
          <w:rFonts w:eastAsia="Times New Roman"/>
        </w:rPr>
        <w:t>Nodriga</w:t>
      </w:r>
      <w:r w:rsidRPr="000012B4">
        <w:rPr>
          <w:rFonts w:eastAsia="Times New Roman"/>
        </w:rPr>
        <w:t xml:space="preserve"> are efectul dorit. Vi se vor face analize de sânge regulat cât timp luaţi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Copii şi adolescenţi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Nu administraţi acest medicament copiilor cu vârsta mai mică de un an. Experienţa în utilizarea </w:t>
      </w:r>
      <w:r>
        <w:rPr>
          <w:rFonts w:eastAsia="Times New Roman"/>
        </w:rPr>
        <w:t>Nodriga</w:t>
      </w:r>
      <w:r w:rsidRPr="000012B4">
        <w:rPr>
          <w:rFonts w:eastAsia="Times New Roman"/>
        </w:rPr>
        <w:t xml:space="preserve"> la această grupă de vârstă este limitată. Creşterea şi dezvoltarea osoasă vor fi atent monitorizate la copiii la care se administrează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împreună cu alte medicamente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Spuneţi medicului dumneavoastră </w:t>
      </w:r>
      <w:r w:rsidRPr="000012B4">
        <w:rPr>
          <w:rFonts w:eastAsia="Times New Roman"/>
        </w:rPr>
        <w:t>dacă luaţi, aţi luat recent sau s-ar putea să luaţi orice alte</w:t>
      </w:r>
      <w:r w:rsidRPr="000012B4">
        <w:rPr>
          <w:rFonts w:eastAsia="Times New Roman"/>
          <w:b/>
          <w:bCs/>
        </w:rPr>
        <w:t xml:space="preserve"> </w:t>
      </w:r>
      <w:r w:rsidRPr="000012B4">
        <w:rPr>
          <w:rFonts w:eastAsia="Times New Roman"/>
        </w:rPr>
        <w:t>medicamente.</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este metabolizat în principal de ficat. Anumite medicamente pot interfera cu efectul </w:t>
      </w:r>
      <w:r>
        <w:rPr>
          <w:rFonts w:eastAsia="Times New Roman"/>
        </w:rPr>
        <w:t>Nodriga</w:t>
      </w:r>
      <w:r w:rsidRPr="000012B4">
        <w:rPr>
          <w:rFonts w:eastAsia="Times New Roman"/>
        </w:rPr>
        <w:t xml:space="preserve"> atunci când sunt luate împreună.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Următoarele medicamente nu trebuie utilizate cu </w:t>
      </w:r>
      <w:r>
        <w:rPr>
          <w:rFonts w:eastAsia="Times New Roman"/>
          <w:b/>
          <w:bCs/>
        </w:rPr>
        <w:t>Nodriga</w:t>
      </w:r>
      <w:r w:rsidRPr="000012B4">
        <w:rPr>
          <w:rFonts w:eastAsia="Times New Roman"/>
          <w:b/>
          <w:bCs/>
        </w:rPr>
        <w:t>:</w:t>
      </w:r>
    </w:p>
    <w:p w:rsidR="00E10080" w:rsidRPr="000012B4" w:rsidRDefault="00E10080" w:rsidP="00E10080">
      <w:pPr>
        <w:tabs>
          <w:tab w:val="left" w:pos="567"/>
        </w:tabs>
      </w:pP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ketoconazol, itraconazol – acestea sunt </w:t>
      </w:r>
      <w:r w:rsidRPr="000012B4">
        <w:rPr>
          <w:rFonts w:eastAsia="Times New Roman"/>
          <w:b/>
          <w:bCs/>
        </w:rPr>
        <w:t>medicamente antifungice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eritromicină, claritromicină, telitromicină – acestea sunt </w:t>
      </w:r>
      <w:r w:rsidRPr="000012B4">
        <w:rPr>
          <w:rFonts w:eastAsia="Times New Roman"/>
          <w:b/>
          <w:bCs/>
        </w:rPr>
        <w:t>antibiotice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ritonavir – acesta este un </w:t>
      </w:r>
      <w:r w:rsidRPr="000012B4">
        <w:rPr>
          <w:rFonts w:eastAsia="Times New Roman"/>
          <w:b/>
          <w:bCs/>
        </w:rPr>
        <w:t>medicament antiviral</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fenitoină, carbamazepină, fenobarbital – acestea sunt tratamente pentru </w:t>
      </w:r>
      <w:r w:rsidRPr="000012B4">
        <w:rPr>
          <w:rFonts w:eastAsia="Times New Roman"/>
          <w:b/>
          <w:bCs/>
        </w:rPr>
        <w:t>epilepsie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rifampicină – acesta este un tratament pentru </w:t>
      </w:r>
      <w:r w:rsidRPr="000012B4">
        <w:rPr>
          <w:rFonts w:eastAsia="Times New Roman"/>
          <w:b/>
          <w:bCs/>
        </w:rPr>
        <w:t>tuberculoză</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famotidină, omeprazol – acestea sunt medicamente care </w:t>
      </w:r>
      <w:r w:rsidRPr="000012B4">
        <w:rPr>
          <w:rFonts w:eastAsia="Times New Roman"/>
          <w:b/>
          <w:bCs/>
        </w:rPr>
        <w:t>blochează formarea acidului gastric</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sunătoare – un preparat din plante medicinale obţinut fără prescripţie medicală, folosit pentru a trata </w:t>
      </w:r>
      <w:r w:rsidRPr="000012B4">
        <w:rPr>
          <w:rFonts w:eastAsia="Times New Roman"/>
          <w:b/>
          <w:bCs/>
        </w:rPr>
        <w:t>depresia</w:t>
      </w:r>
      <w:r w:rsidRPr="000012B4">
        <w:rPr>
          <w:rFonts w:eastAsia="Times New Roman"/>
        </w:rPr>
        <w:t xml:space="preserve"> şi alte afecţiuni (cunoscută, de asemenea, ca </w:t>
      </w:r>
      <w:r w:rsidRPr="000012B4">
        <w:rPr>
          <w:rFonts w:eastAsia="Times New Roman"/>
          <w:i/>
          <w:iCs/>
        </w:rPr>
        <w:t>Hypericum perforatum</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Nu luaţi </w:t>
      </w:r>
      <w:r w:rsidRPr="000012B4">
        <w:rPr>
          <w:rFonts w:eastAsia="Times New Roman"/>
        </w:rPr>
        <w:t>medicamente care neutralizează aciditatea gastrică (</w:t>
      </w:r>
      <w:r w:rsidRPr="000012B4">
        <w:rPr>
          <w:rFonts w:eastAsia="Times New Roman"/>
          <w:b/>
          <w:bCs/>
        </w:rPr>
        <w:t>antiacide</w:t>
      </w:r>
      <w:r w:rsidRPr="000012B4">
        <w:rPr>
          <w:rFonts w:eastAsia="Times New Roman"/>
        </w:rPr>
        <w:t>, cum ar fi hidroxidul de</w:t>
      </w:r>
      <w:r w:rsidRPr="000012B4">
        <w:rPr>
          <w:rFonts w:eastAsia="Times New Roman"/>
          <w:b/>
          <w:bCs/>
        </w:rPr>
        <w:t xml:space="preserve"> </w:t>
      </w:r>
      <w:r w:rsidRPr="000012B4">
        <w:rPr>
          <w:rFonts w:eastAsia="Times New Roman"/>
        </w:rPr>
        <w:t xml:space="preserve">aluminiu sau hidroxidul de magneziu) cu </w:t>
      </w:r>
      <w:r w:rsidRPr="000012B4">
        <w:rPr>
          <w:rFonts w:eastAsia="Times New Roman"/>
          <w:b/>
          <w:bCs/>
        </w:rPr>
        <w:t xml:space="preserve">2 ore înainte sau 2 ore după ce luaţi </w:t>
      </w:r>
      <w:r>
        <w:rPr>
          <w:rFonts w:eastAsia="Times New Roman"/>
          <w:b/>
          <w:bCs/>
        </w:rPr>
        <w:t>Nodriga</w:t>
      </w:r>
      <w:r w:rsidRPr="000012B4">
        <w:rPr>
          <w:rFonts w:eastAsia="Times New Roman"/>
          <w:b/>
          <w:bCs/>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Spuneţi medicului dumneavoastră </w:t>
      </w:r>
      <w:r w:rsidRPr="000012B4">
        <w:rPr>
          <w:rFonts w:eastAsia="Times New Roman"/>
        </w:rPr>
        <w:t>dacă luaţi</w:t>
      </w:r>
      <w:r w:rsidRPr="000012B4">
        <w:rPr>
          <w:rFonts w:eastAsia="Times New Roman"/>
          <w:b/>
          <w:bCs/>
        </w:rPr>
        <w:t xml:space="preserve"> medicamente pentru subţierea sângelui </w:t>
      </w:r>
      <w:r w:rsidRPr="000012B4">
        <w:rPr>
          <w:rFonts w:eastAsia="Times New Roman"/>
        </w:rPr>
        <w:t>sau care</w:t>
      </w:r>
      <w:r w:rsidRPr="000012B4">
        <w:rPr>
          <w:rFonts w:eastAsia="Times New Roman"/>
          <w:b/>
          <w:bCs/>
        </w:rPr>
        <w:t xml:space="preserve"> </w:t>
      </w:r>
      <w:r w:rsidRPr="000012B4">
        <w:rPr>
          <w:rFonts w:eastAsia="Times New Roman"/>
        </w:rPr>
        <w:t>previn coagularea.</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împreună cu alimente şi băuturi</w:t>
      </w:r>
    </w:p>
    <w:p w:rsidR="00E10080" w:rsidRPr="000012B4" w:rsidRDefault="00E10080" w:rsidP="00E10080">
      <w:pPr>
        <w:tabs>
          <w:tab w:val="left" w:pos="567"/>
        </w:tabs>
      </w:pPr>
    </w:p>
    <w:p w:rsidR="00E10080" w:rsidRPr="000012B4" w:rsidRDefault="00E10080" w:rsidP="00E10080">
      <w:pPr>
        <w:tabs>
          <w:tab w:val="left" w:pos="567"/>
        </w:tabs>
        <w:rPr>
          <w:rFonts w:eastAsia="Times New Roman"/>
          <w:b/>
          <w:bCs/>
        </w:rPr>
      </w:pPr>
      <w:r w:rsidRPr="000012B4">
        <w:rPr>
          <w:rFonts w:eastAsia="Times New Roman"/>
        </w:rPr>
        <w:t xml:space="preserve">Nu luaţi </w:t>
      </w:r>
      <w:r>
        <w:rPr>
          <w:rFonts w:eastAsia="Times New Roman"/>
        </w:rPr>
        <w:t>Nodriga</w:t>
      </w:r>
      <w:r w:rsidRPr="000012B4">
        <w:rPr>
          <w:rFonts w:eastAsia="Times New Roman"/>
        </w:rPr>
        <w:t xml:space="preserve"> împreună cu grepfrut sau cu suc de grepfrut.</w:t>
      </w:r>
    </w:p>
    <w:p w:rsidR="00E10080" w:rsidRPr="000012B4" w:rsidRDefault="00E10080" w:rsidP="00E10080">
      <w:pPr>
        <w:tabs>
          <w:tab w:val="left" w:pos="567"/>
        </w:tabs>
        <w:rPr>
          <w:rFonts w:eastAsia="Times New Roman"/>
          <w:b/>
          <w:bCs/>
        </w:rPr>
      </w:pPr>
    </w:p>
    <w:p w:rsidR="00E10080" w:rsidRPr="000012B4" w:rsidRDefault="00E10080" w:rsidP="00E10080">
      <w:pPr>
        <w:tabs>
          <w:tab w:val="left" w:pos="567"/>
        </w:tabs>
      </w:pPr>
      <w:r w:rsidRPr="000012B4">
        <w:rPr>
          <w:rFonts w:eastAsia="Times New Roman"/>
          <w:b/>
          <w:bCs/>
        </w:rPr>
        <w:t>Sarcina şi alăptarea</w:t>
      </w:r>
    </w:p>
    <w:p w:rsidR="00E10080" w:rsidRPr="000012B4" w:rsidRDefault="00E10080" w:rsidP="00E10080">
      <w:pPr>
        <w:tabs>
          <w:tab w:val="left" w:pos="567"/>
        </w:tabs>
      </w:pPr>
    </w:p>
    <w:p w:rsidR="00E10080" w:rsidRPr="000012B4" w:rsidRDefault="00E10080" w:rsidP="00E10080">
      <w:pPr>
        <w:tabs>
          <w:tab w:val="left" w:pos="567"/>
        </w:tabs>
        <w:jc w:val="both"/>
      </w:pPr>
      <w:r w:rsidRPr="000012B4">
        <w:rPr>
          <w:rFonts w:eastAsia="Times New Roman"/>
          <w:b/>
          <w:bCs/>
        </w:rPr>
        <w:t xml:space="preserve">Dacă sunteţi gravidă </w:t>
      </w:r>
      <w:r w:rsidRPr="000012B4">
        <w:rPr>
          <w:rFonts w:eastAsia="Times New Roman"/>
        </w:rPr>
        <w:t>sau credeţi că aţi putea fi gravidă,</w:t>
      </w:r>
      <w:r w:rsidRPr="000012B4">
        <w:rPr>
          <w:rFonts w:eastAsia="Times New Roman"/>
          <w:b/>
          <w:bCs/>
        </w:rPr>
        <w:t xml:space="preserve"> informaţi imediat medicul dumneavoastră. </w:t>
      </w:r>
      <w:r>
        <w:rPr>
          <w:rFonts w:eastAsia="Times New Roman"/>
          <w:b/>
          <w:bCs/>
        </w:rPr>
        <w:t>Nodriga</w:t>
      </w:r>
      <w:r w:rsidRPr="000012B4">
        <w:rPr>
          <w:rFonts w:eastAsia="Times New Roman"/>
          <w:b/>
          <w:bCs/>
        </w:rPr>
        <w:t xml:space="preserve"> nu trebuie folosit în timpul sarcinii </w:t>
      </w:r>
      <w:r w:rsidRPr="000012B4">
        <w:rPr>
          <w:rFonts w:eastAsia="Times New Roman"/>
        </w:rPr>
        <w:t>decât dacă este neapărat necesar. Medicul va discuta</w:t>
      </w:r>
      <w:r w:rsidRPr="000012B4">
        <w:rPr>
          <w:rFonts w:eastAsia="Times New Roman"/>
          <w:b/>
          <w:bCs/>
        </w:rPr>
        <w:t xml:space="preserve"> </w:t>
      </w:r>
      <w:r w:rsidRPr="000012B4">
        <w:rPr>
          <w:rFonts w:eastAsia="Times New Roman"/>
        </w:rPr>
        <w:t xml:space="preserve">cu dumneavoastră potenţialele riscuri de a lua </w:t>
      </w:r>
      <w:r>
        <w:rPr>
          <w:rFonts w:eastAsia="Times New Roman"/>
        </w:rPr>
        <w:t>Nodriga</w:t>
      </w:r>
      <w:r w:rsidRPr="000012B4">
        <w:rPr>
          <w:rFonts w:eastAsia="Times New Roman"/>
        </w:rPr>
        <w:t xml:space="preserve"> în timpul sarcinii.</w:t>
      </w:r>
    </w:p>
    <w:p w:rsidR="00E10080" w:rsidRPr="000012B4" w:rsidRDefault="00E10080" w:rsidP="00E10080">
      <w:pPr>
        <w:tabs>
          <w:tab w:val="left" w:pos="567"/>
        </w:tabs>
      </w:pPr>
    </w:p>
    <w:p w:rsidR="00E10080" w:rsidRPr="000012B4" w:rsidRDefault="00E10080" w:rsidP="00E10080">
      <w:pPr>
        <w:tabs>
          <w:tab w:val="left" w:pos="567"/>
        </w:tabs>
        <w:rPr>
          <w:rFonts w:eastAsia="Times New Roman"/>
        </w:rPr>
      </w:pPr>
      <w:r w:rsidRPr="000012B4">
        <w:rPr>
          <w:rFonts w:eastAsia="Times New Roman"/>
        </w:rPr>
        <w:t xml:space="preserve">Şi femeile şi bărbaţii care iau </w:t>
      </w:r>
      <w:r>
        <w:rPr>
          <w:rFonts w:eastAsia="Times New Roman"/>
        </w:rPr>
        <w:t>Nodriga</w:t>
      </w:r>
      <w:r w:rsidRPr="000012B4">
        <w:rPr>
          <w:rFonts w:eastAsia="Times New Roman"/>
        </w:rPr>
        <w:t xml:space="preserve"> vor fi sfătuiţi să folosească metode contraceptive eficace în timpul tratamentului.</w:t>
      </w:r>
      <w:bookmarkStart w:id="3" w:name="page61"/>
      <w:bookmarkEnd w:id="3"/>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r w:rsidRPr="000012B4">
        <w:rPr>
          <w:rFonts w:eastAsia="Times New Roman"/>
          <w:b/>
          <w:bCs/>
        </w:rPr>
        <w:t xml:space="preserve">Dacă alăptaţi, informaţi medicul dumneavoastră. </w:t>
      </w:r>
      <w:r w:rsidRPr="000012B4">
        <w:rPr>
          <w:rFonts w:eastAsia="Times New Roman"/>
        </w:rPr>
        <w:t>Trebuie să opriţi alăptarea în timpul tratamentului</w:t>
      </w:r>
      <w:r w:rsidRPr="000012B4">
        <w:rPr>
          <w:rFonts w:eastAsia="Times New Roman"/>
          <w:b/>
          <w:bCs/>
        </w:rPr>
        <w:t xml:space="preserve"> </w:t>
      </w:r>
      <w:r w:rsidRPr="000012B4">
        <w:rPr>
          <w:rFonts w:eastAsia="Times New Roman"/>
        </w:rPr>
        <w:t xml:space="preserve">cu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Conducerea vehiculelor şi folosirea utilajelor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Luaţi precauţii speciale când conduceţi vehicule sau folosiţi utilaje, dacă aveţi reacţii adverse cum sunt ameţeli şi vedere încețoșată.</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conţine lactoză</w:t>
      </w:r>
    </w:p>
    <w:p w:rsidR="00E10080" w:rsidRPr="000012B4" w:rsidRDefault="00E10080" w:rsidP="00E10080">
      <w:pPr>
        <w:tabs>
          <w:tab w:val="left" w:pos="567"/>
        </w:tabs>
      </w:pPr>
    </w:p>
    <w:p w:rsidR="00E10080" w:rsidRPr="000012B4" w:rsidRDefault="00E10080" w:rsidP="00E10080">
      <w:pPr>
        <w:tabs>
          <w:tab w:val="left" w:pos="567"/>
        </w:tabs>
        <w:rPr>
          <w:rFonts w:eastAsia="Times New Roman"/>
        </w:rPr>
      </w:pPr>
      <w:r w:rsidRPr="000012B4">
        <w:rPr>
          <w:rFonts w:eastAsia="Times New Roman"/>
        </w:rPr>
        <w:t>Dacă medicul dumneavoastră v-a atenționat că aveți intoleranţă la unele categorii de glucide,</w:t>
      </w:r>
      <w:r>
        <w:rPr>
          <w:rFonts w:eastAsia="Times New Roman"/>
        </w:rPr>
        <w:t xml:space="preserve"> </w:t>
      </w:r>
      <w:r w:rsidR="00985A86">
        <w:rPr>
          <w:rFonts w:eastAsia="Times New Roman"/>
        </w:rPr>
        <w:t xml:space="preserve"> contactați</w:t>
      </w:r>
      <w:r w:rsidR="00FA2777">
        <w:rPr>
          <w:rFonts w:eastAsia="Times New Roman"/>
        </w:rPr>
        <w:t>-l pe acesta</w:t>
      </w:r>
      <w:r>
        <w:t xml:space="preserve"> </w:t>
      </w:r>
      <w:r w:rsidRPr="000012B4">
        <w:rPr>
          <w:rFonts w:eastAsia="Times New Roman"/>
        </w:rPr>
        <w:t xml:space="preserve">înainte de a lua acest medicament. </w:t>
      </w:r>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r w:rsidRPr="000012B4">
        <w:t>Acest medicament conţine sodiu mai puţin de 1 mmol (23 mg) per doză, adică practic „nu conţine sodiu”.</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4"/>
        </w:numPr>
        <w:tabs>
          <w:tab w:val="left" w:pos="567"/>
          <w:tab w:val="left" w:pos="940"/>
        </w:tabs>
        <w:rPr>
          <w:rFonts w:eastAsia="Times New Roman"/>
          <w:b/>
          <w:bCs/>
        </w:rPr>
      </w:pPr>
      <w:r w:rsidRPr="000012B4">
        <w:rPr>
          <w:rFonts w:eastAsia="Times New Roman"/>
          <w:b/>
          <w:bCs/>
        </w:rPr>
        <w:t xml:space="preserve">Cum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vi se va prescrie doar de către un medic cu experienţă în tratamentul leucemiei. Luaţi întotdeauna acest medicament exact aşa cum v-a spus medicul. Discutaţi cu medicul dumneavoastră sau cu farmacistul dacă nu sunteţi sigur. </w:t>
      </w:r>
      <w:r>
        <w:rPr>
          <w:rFonts w:eastAsia="Times New Roman"/>
        </w:rPr>
        <w:t>Nodriga</w:t>
      </w:r>
      <w:r w:rsidRPr="000012B4">
        <w:rPr>
          <w:rFonts w:eastAsia="Times New Roman"/>
        </w:rPr>
        <w:t xml:space="preserve"> este prescris pentru adulţi şi copii cu vârsta de cel puţin 1 an.</w:t>
      </w:r>
    </w:p>
    <w:p w:rsidR="00E10080" w:rsidRPr="000012B4" w:rsidRDefault="00E10080" w:rsidP="00E10080">
      <w:pPr>
        <w:tabs>
          <w:tab w:val="left" w:pos="567"/>
        </w:tabs>
      </w:pPr>
    </w:p>
    <w:p w:rsidR="00E10080" w:rsidRPr="000012B4" w:rsidRDefault="00E10080" w:rsidP="00E10080">
      <w:pPr>
        <w:tabs>
          <w:tab w:val="left" w:pos="567"/>
        </w:tabs>
      </w:pPr>
      <w:r w:rsidRPr="00FA3994">
        <w:rPr>
          <w:rFonts w:eastAsia="Times New Roman"/>
          <w:b/>
          <w:bCs/>
          <w:highlight w:val="lightGray"/>
        </w:rPr>
        <w:t>Doza inițială recomandată pentru pacienţii adulţi cu LMC în fază cronică este de 100 mg o dată pe zi.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Doza inițială recomandată pentru pacienţii adulţi </w:t>
      </w:r>
      <w:r w:rsidRPr="00FA3994">
        <w:rPr>
          <w:rFonts w:eastAsia="Times New Roman"/>
          <w:b/>
          <w:bCs/>
          <w:highlight w:val="lightGray"/>
        </w:rPr>
        <w:t>cu LMC în fază accelerată sau blastică sau</w:t>
      </w:r>
      <w:r w:rsidRPr="000012B4">
        <w:rPr>
          <w:rFonts w:eastAsia="Times New Roman"/>
          <w:b/>
          <w:bCs/>
        </w:rPr>
        <w:t xml:space="preserve"> cu LAL Ph+ este de 140 mg o dată pe zi.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Dozele pentru copii cu </w:t>
      </w:r>
      <w:r w:rsidRPr="00FA3994">
        <w:rPr>
          <w:rFonts w:eastAsia="Times New Roman"/>
          <w:b/>
          <w:bCs/>
          <w:highlight w:val="lightGray"/>
        </w:rPr>
        <w:t>LMC în fază cronică sau</w:t>
      </w:r>
      <w:r w:rsidRPr="000012B4">
        <w:rPr>
          <w:rFonts w:eastAsia="Times New Roman"/>
          <w:b/>
          <w:bCs/>
        </w:rPr>
        <w:t xml:space="preserve"> cu LAL Ph+ se stabilesc pe baza greutăţii corporale. </w:t>
      </w:r>
      <w:r>
        <w:rPr>
          <w:rFonts w:eastAsia="Times New Roman"/>
        </w:rPr>
        <w:t>Nodriga</w:t>
      </w:r>
      <w:r w:rsidRPr="000012B4">
        <w:rPr>
          <w:rFonts w:eastAsia="Times New Roman"/>
        </w:rPr>
        <w:t xml:space="preserve"> se administrează pe cale orală o dată pe zi fie sub formă de </w:t>
      </w:r>
      <w:r>
        <w:rPr>
          <w:rFonts w:eastAsia="Times New Roman"/>
        </w:rPr>
        <w:t>Nodriga</w:t>
      </w:r>
      <w:r w:rsidRPr="000012B4">
        <w:rPr>
          <w:rFonts w:eastAsia="Times New Roman"/>
        </w:rPr>
        <w:t xml:space="preserve"> comprimate sau sub formă de </w:t>
      </w:r>
      <w:r>
        <w:rPr>
          <w:rFonts w:eastAsia="Times New Roman"/>
        </w:rPr>
        <w:t>Nodriga</w:t>
      </w:r>
      <w:r w:rsidRPr="000012B4">
        <w:rPr>
          <w:rFonts w:eastAsia="Times New Roman"/>
        </w:rPr>
        <w:t xml:space="preserve"> pulbere pentru suspensie orală. Administrarea </w:t>
      </w:r>
      <w:r>
        <w:rPr>
          <w:rFonts w:eastAsia="Times New Roman"/>
        </w:rPr>
        <w:t>Nodriga</w:t>
      </w:r>
      <w:r w:rsidRPr="000012B4">
        <w:rPr>
          <w:rFonts w:eastAsia="Times New Roman"/>
        </w:rPr>
        <w:t xml:space="preserve"> sub formă de comprimate nu este recomandată pentru pacienţii cu greutate corporală mai mică de 10 kg. La pacienţii cu greutate corporală mai mică de 10 kg și la pacienții care nu pot înghiți comprimate trebuie utilizată pulberea pentru suspensie orală. La schimbarea între formulări (adică, comprimate și pulbere pentru suspensie orală) poate să apară o modificare a dozei, astfel încât nu trebuie să treceți de la una la alta.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Medicul dumneavoastră va stabili formularea și doza corecte pe baza greutăţii corporale, oricăror reacții adverse și răspunsului la tratament. Doza inițială de </w:t>
      </w:r>
      <w:r>
        <w:rPr>
          <w:rFonts w:eastAsia="Times New Roman"/>
        </w:rPr>
        <w:t>Nodriga</w:t>
      </w:r>
      <w:r w:rsidRPr="000012B4">
        <w:rPr>
          <w:rFonts w:eastAsia="Times New Roman"/>
        </w:rPr>
        <w:t xml:space="preserve"> pentru copii se calculează în funcţie de greutatea corporală după cum este prezentat mai jos:</w:t>
      </w:r>
    </w:p>
    <w:p w:rsidR="00E10080" w:rsidRPr="000012B4" w:rsidRDefault="00E10080" w:rsidP="00E10080">
      <w:pPr>
        <w:tabs>
          <w:tab w:val="left" w:pos="567"/>
        </w:tabs>
      </w:pPr>
    </w:p>
    <w:tbl>
      <w:tblPr>
        <w:tblW w:w="9127" w:type="dxa"/>
        <w:tblInd w:w="420" w:type="dxa"/>
        <w:tblLayout w:type="fixed"/>
        <w:tblCellMar>
          <w:left w:w="0" w:type="dxa"/>
          <w:right w:w="0" w:type="dxa"/>
        </w:tblCellMar>
        <w:tblLook w:val="04A0" w:firstRow="1" w:lastRow="0" w:firstColumn="1" w:lastColumn="0" w:noHBand="0" w:noVBand="1"/>
      </w:tblPr>
      <w:tblGrid>
        <w:gridCol w:w="3629"/>
        <w:gridCol w:w="5498"/>
      </w:tblGrid>
      <w:tr w:rsidR="00E10080" w:rsidRPr="000012B4" w:rsidTr="00DE0409">
        <w:trPr>
          <w:trHeight w:val="348"/>
        </w:trPr>
        <w:tc>
          <w:tcPr>
            <w:tcW w:w="3629" w:type="dxa"/>
            <w:tcBorders>
              <w:top w:val="single" w:sz="8" w:space="0" w:color="auto"/>
              <w:bottom w:val="single" w:sz="8" w:space="0" w:color="auto"/>
            </w:tcBorders>
            <w:vAlign w:val="bottom"/>
          </w:tcPr>
          <w:p w:rsidR="00E10080" w:rsidRPr="000012B4" w:rsidRDefault="00E10080" w:rsidP="00F50874">
            <w:pPr>
              <w:tabs>
                <w:tab w:val="left" w:pos="567"/>
              </w:tabs>
            </w:pPr>
            <w:r w:rsidRPr="000012B4">
              <w:rPr>
                <w:rFonts w:eastAsia="Times New Roman"/>
                <w:b/>
                <w:bCs/>
              </w:rPr>
              <w:t>Greutate corporală (kg)</w:t>
            </w:r>
            <w:r w:rsidRPr="000012B4">
              <w:rPr>
                <w:rFonts w:eastAsia="Times New Roman"/>
                <w:vertAlign w:val="superscript"/>
              </w:rPr>
              <w:t>a</w:t>
            </w:r>
          </w:p>
        </w:tc>
        <w:tc>
          <w:tcPr>
            <w:tcW w:w="5498" w:type="dxa"/>
            <w:tcBorders>
              <w:top w:val="single" w:sz="8" w:space="0" w:color="auto"/>
              <w:bottom w:val="single" w:sz="8" w:space="0" w:color="auto"/>
            </w:tcBorders>
            <w:vAlign w:val="bottom"/>
          </w:tcPr>
          <w:p w:rsidR="00E10080" w:rsidRPr="000012B4" w:rsidRDefault="00E10080" w:rsidP="00F50874">
            <w:pPr>
              <w:tabs>
                <w:tab w:val="left" w:pos="567"/>
              </w:tabs>
            </w:pPr>
            <w:r w:rsidRPr="000012B4">
              <w:rPr>
                <w:rFonts w:eastAsia="Times New Roman"/>
                <w:b/>
                <w:bCs/>
              </w:rPr>
              <w:t>Doză zilnică (mg)</w:t>
            </w:r>
          </w:p>
        </w:tc>
      </w:tr>
      <w:tr w:rsidR="00E10080" w:rsidRPr="000012B4" w:rsidTr="00DE0409">
        <w:trPr>
          <w:trHeight w:val="313"/>
        </w:trPr>
        <w:tc>
          <w:tcPr>
            <w:tcW w:w="3629" w:type="dxa"/>
            <w:vAlign w:val="bottom"/>
          </w:tcPr>
          <w:p w:rsidR="00E10080" w:rsidRPr="000012B4" w:rsidRDefault="00E10080" w:rsidP="00F50874">
            <w:pPr>
              <w:tabs>
                <w:tab w:val="left" w:pos="567"/>
              </w:tabs>
            </w:pPr>
            <w:r w:rsidRPr="000012B4">
              <w:rPr>
                <w:rFonts w:eastAsia="Times New Roman"/>
              </w:rPr>
              <w:t>10 până la mai puţin de 20 kg</w:t>
            </w:r>
          </w:p>
        </w:tc>
        <w:tc>
          <w:tcPr>
            <w:tcW w:w="5498" w:type="dxa"/>
            <w:vAlign w:val="bottom"/>
          </w:tcPr>
          <w:p w:rsidR="00E10080" w:rsidRPr="000012B4" w:rsidRDefault="00E10080" w:rsidP="00F50874">
            <w:pPr>
              <w:tabs>
                <w:tab w:val="left" w:pos="567"/>
              </w:tabs>
            </w:pPr>
            <w:r w:rsidRPr="000012B4">
              <w:rPr>
                <w:rFonts w:eastAsia="Times New Roman"/>
              </w:rPr>
              <w:t>40 mg</w:t>
            </w:r>
          </w:p>
        </w:tc>
      </w:tr>
      <w:tr w:rsidR="00E10080" w:rsidRPr="000012B4" w:rsidTr="00DE0409">
        <w:trPr>
          <w:trHeight w:val="353"/>
        </w:trPr>
        <w:tc>
          <w:tcPr>
            <w:tcW w:w="3629" w:type="dxa"/>
            <w:vAlign w:val="bottom"/>
          </w:tcPr>
          <w:p w:rsidR="00E10080" w:rsidRPr="000012B4" w:rsidRDefault="00E10080" w:rsidP="00F50874">
            <w:pPr>
              <w:tabs>
                <w:tab w:val="left" w:pos="567"/>
              </w:tabs>
            </w:pPr>
            <w:r w:rsidRPr="000012B4">
              <w:rPr>
                <w:rFonts w:eastAsia="Times New Roman"/>
              </w:rPr>
              <w:t>20 până la mai puţin de 30 kg</w:t>
            </w:r>
          </w:p>
        </w:tc>
        <w:tc>
          <w:tcPr>
            <w:tcW w:w="5498" w:type="dxa"/>
            <w:vAlign w:val="bottom"/>
          </w:tcPr>
          <w:p w:rsidR="00E10080" w:rsidRPr="000012B4" w:rsidRDefault="00E10080" w:rsidP="00F50874">
            <w:pPr>
              <w:tabs>
                <w:tab w:val="left" w:pos="567"/>
              </w:tabs>
            </w:pPr>
            <w:r w:rsidRPr="000012B4">
              <w:rPr>
                <w:rFonts w:eastAsia="Times New Roman"/>
              </w:rPr>
              <w:t>60 mg</w:t>
            </w:r>
          </w:p>
        </w:tc>
      </w:tr>
      <w:tr w:rsidR="00E10080" w:rsidRPr="000012B4" w:rsidTr="00DE0409">
        <w:trPr>
          <w:trHeight w:val="354"/>
        </w:trPr>
        <w:tc>
          <w:tcPr>
            <w:tcW w:w="3629" w:type="dxa"/>
            <w:vAlign w:val="bottom"/>
          </w:tcPr>
          <w:p w:rsidR="00E10080" w:rsidRPr="000012B4" w:rsidRDefault="00E10080" w:rsidP="00F50874">
            <w:pPr>
              <w:tabs>
                <w:tab w:val="left" w:pos="567"/>
              </w:tabs>
            </w:pPr>
            <w:r w:rsidRPr="000012B4">
              <w:rPr>
                <w:rFonts w:eastAsia="Times New Roman"/>
              </w:rPr>
              <w:t>30 până la mai puţin de 45 kg</w:t>
            </w:r>
          </w:p>
        </w:tc>
        <w:tc>
          <w:tcPr>
            <w:tcW w:w="5498" w:type="dxa"/>
            <w:vAlign w:val="bottom"/>
          </w:tcPr>
          <w:p w:rsidR="00E10080" w:rsidRPr="000012B4" w:rsidRDefault="00E10080" w:rsidP="00F50874">
            <w:pPr>
              <w:tabs>
                <w:tab w:val="left" w:pos="567"/>
              </w:tabs>
            </w:pPr>
            <w:r w:rsidRPr="000012B4">
              <w:rPr>
                <w:rFonts w:eastAsia="Times New Roman"/>
              </w:rPr>
              <w:t>70 mg</w:t>
            </w:r>
          </w:p>
        </w:tc>
      </w:tr>
      <w:tr w:rsidR="00E10080" w:rsidRPr="000012B4" w:rsidTr="00DE0409">
        <w:trPr>
          <w:trHeight w:val="380"/>
        </w:trPr>
        <w:tc>
          <w:tcPr>
            <w:tcW w:w="3629" w:type="dxa"/>
            <w:vAlign w:val="bottom"/>
          </w:tcPr>
          <w:p w:rsidR="00E10080" w:rsidRPr="000012B4" w:rsidRDefault="00E10080" w:rsidP="00F50874">
            <w:pPr>
              <w:tabs>
                <w:tab w:val="left" w:pos="567"/>
              </w:tabs>
            </w:pPr>
            <w:r w:rsidRPr="000012B4">
              <w:rPr>
                <w:rFonts w:eastAsia="Times New Roman"/>
              </w:rPr>
              <w:t>cel puţin 45 kg</w:t>
            </w:r>
          </w:p>
        </w:tc>
        <w:tc>
          <w:tcPr>
            <w:tcW w:w="5498" w:type="dxa"/>
            <w:vAlign w:val="bottom"/>
          </w:tcPr>
          <w:p w:rsidR="00E10080" w:rsidRPr="000012B4" w:rsidRDefault="00E10080" w:rsidP="00F50874">
            <w:pPr>
              <w:tabs>
                <w:tab w:val="left" w:pos="567"/>
              </w:tabs>
            </w:pPr>
            <w:r w:rsidRPr="000012B4">
              <w:rPr>
                <w:rFonts w:eastAsia="Times New Roman"/>
              </w:rPr>
              <w:t>100 mg</w:t>
            </w:r>
          </w:p>
        </w:tc>
      </w:tr>
    </w:tbl>
    <w:p w:rsidR="00E10080" w:rsidRPr="000012B4" w:rsidRDefault="00E10080" w:rsidP="00E10080">
      <w:pPr>
        <w:numPr>
          <w:ilvl w:val="0"/>
          <w:numId w:val="5"/>
        </w:numPr>
        <w:tabs>
          <w:tab w:val="left" w:pos="580"/>
        </w:tabs>
        <w:rPr>
          <w:rFonts w:eastAsia="Times New Roman"/>
          <w:vertAlign w:val="superscript"/>
        </w:rPr>
      </w:pPr>
      <w:r w:rsidRPr="000012B4">
        <w:rPr>
          <w:rFonts w:eastAsia="Times New Roman"/>
        </w:rPr>
        <w:t>Administrarea sub formă de comprimate nu este recomandată pentru pacienții cu greutate corporală mai mică de 10 kg; la aceşti pacienți trebuie utilizată pulberea pentru suspensie orală.</w:t>
      </w:r>
    </w:p>
    <w:p w:rsidR="00E10080" w:rsidRPr="000012B4" w:rsidRDefault="00E10080" w:rsidP="00E10080">
      <w:pPr>
        <w:tabs>
          <w:tab w:val="left" w:pos="567"/>
        </w:tabs>
      </w:pPr>
      <w:r w:rsidRPr="000012B4">
        <w:rPr>
          <w:noProof/>
        </w:rPr>
        <mc:AlternateContent>
          <mc:Choice Requires="wps">
            <w:drawing>
              <wp:anchor distT="0" distB="0" distL="114300" distR="114300" simplePos="0" relativeHeight="251659264" behindDoc="1" locked="0" layoutInCell="0" allowOverlap="1" wp14:anchorId="7EE8DB23" wp14:editId="462BC78C">
                <wp:simplePos x="0" y="0"/>
                <wp:positionH relativeFrom="column">
                  <wp:posOffset>254000</wp:posOffset>
                </wp:positionH>
                <wp:positionV relativeFrom="paragraph">
                  <wp:posOffset>-255270</wp:posOffset>
                </wp:positionV>
                <wp:extent cx="5729605" cy="0"/>
                <wp:effectExtent l="0" t="0" r="0" b="0"/>
                <wp:wrapNone/>
                <wp:docPr id="641" name="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4763"/>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2E6F6948" id="Shape 64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pt,-20.1pt" to="471.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" o:allowincell="f" filled="t" strokeweight=".14814mm">
                <v:stroke joinstyle="miter"/>
                <o:lock v:ext="edit" shapetype="f"/>
              </v:line>
            </w:pict>
          </mc:Fallback>
        </mc:AlternateContent>
      </w:r>
    </w:p>
    <w:p w:rsidR="00E10080" w:rsidRPr="000012B4" w:rsidRDefault="00E10080" w:rsidP="00E10080">
      <w:pPr>
        <w:tabs>
          <w:tab w:val="left" w:pos="567"/>
        </w:tabs>
      </w:pPr>
      <w:r w:rsidRPr="000012B4">
        <w:rPr>
          <w:rFonts w:eastAsia="Times New Roman"/>
        </w:rPr>
        <w:t xml:space="preserve">Nu există nicio recomandare privind dozele pentru </w:t>
      </w:r>
      <w:r>
        <w:rPr>
          <w:rFonts w:eastAsia="Times New Roman"/>
        </w:rPr>
        <w:t>Nodriga</w:t>
      </w:r>
      <w:r w:rsidRPr="000012B4">
        <w:rPr>
          <w:rFonts w:eastAsia="Times New Roman"/>
        </w:rPr>
        <w:t xml:space="preserve"> la copii cu vârsta mai mică de 1 an.</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În funcţie de modul în care răspundeţi la tratament, medicul dumneavoastră vă poate sugera o doză mai mare sau mai mică sau poate chiar să vă întrerupă tratamentul pentru o perioadă scurtă. Pentru doze mai mari sau mai mici, este posibil să aveţi nevoie să luaţi combinaţii de comprimate de diferite concentraţii.</w:t>
      </w:r>
    </w:p>
    <w:p w:rsidR="00E10080" w:rsidRPr="000012B4" w:rsidRDefault="00E10080" w:rsidP="00E10080">
      <w:pPr>
        <w:tabs>
          <w:tab w:val="left" w:pos="567"/>
        </w:tabs>
        <w:rPr>
          <w:rFonts w:eastAsia="Times New Roman"/>
          <w:b/>
          <w:bCs/>
        </w:rPr>
      </w:pPr>
      <w:bookmarkStart w:id="4" w:name="page62"/>
      <w:bookmarkEnd w:id="4"/>
    </w:p>
    <w:p w:rsidR="00E10080" w:rsidRPr="000012B4" w:rsidRDefault="00E10080" w:rsidP="00E10080">
      <w:pPr>
        <w:tabs>
          <w:tab w:val="left" w:pos="567"/>
        </w:tabs>
      </w:pPr>
      <w:r w:rsidRPr="000012B4">
        <w:rPr>
          <w:rFonts w:eastAsia="Times New Roman"/>
          <w:b/>
          <w:bCs/>
        </w:rPr>
        <w:t xml:space="preserve">Cum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Luaţi comprimatele dumneavoastră în fiecare zi la aceeaşi oră. </w:t>
      </w:r>
      <w:r w:rsidRPr="000012B4">
        <w:rPr>
          <w:rFonts w:eastAsia="Times New Roman"/>
        </w:rPr>
        <w:t xml:space="preserve">Înghiţiţi comprimatele întregi. </w:t>
      </w:r>
      <w:r w:rsidRPr="000012B4">
        <w:rPr>
          <w:rFonts w:eastAsia="Times New Roman"/>
          <w:b/>
        </w:rPr>
        <w:t>Nu</w:t>
      </w:r>
      <w:r w:rsidRPr="000012B4">
        <w:rPr>
          <w:rFonts w:eastAsia="Times New Roman"/>
          <w:b/>
          <w:bCs/>
        </w:rPr>
        <w:t xml:space="preserve"> </w:t>
      </w:r>
      <w:r w:rsidRPr="000012B4">
        <w:rPr>
          <w:rFonts w:eastAsia="Times New Roman"/>
          <w:b/>
        </w:rPr>
        <w:t>le sfărâmaţi, tăiaţi sau mestecaţi.</w:t>
      </w:r>
      <w:r w:rsidRPr="000012B4">
        <w:rPr>
          <w:rFonts w:eastAsia="Times New Roman"/>
        </w:rPr>
        <w:t xml:space="preserve"> Nu administraţi comprimate dizolvate. Nu puteți fi sigur că veți primi doza corectă dacă zdrobiți, tăiați, mestecați sau dizolvați comprimatele. Comprimatele de </w:t>
      </w:r>
      <w:r>
        <w:rPr>
          <w:rFonts w:eastAsia="Times New Roman"/>
        </w:rPr>
        <w:t>Nodriga</w:t>
      </w:r>
      <w:r w:rsidRPr="000012B4">
        <w:rPr>
          <w:rFonts w:eastAsia="Times New Roman"/>
        </w:rPr>
        <w:t xml:space="preserve"> pot fi luate cu sau fără alimente. </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Instrucţiuni speciale de manipulare a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Este puţin probabil ca </w:t>
      </w:r>
      <w:r>
        <w:rPr>
          <w:rFonts w:eastAsia="Times New Roman"/>
        </w:rPr>
        <w:t>Nodriga</w:t>
      </w:r>
      <w:r w:rsidRPr="000012B4">
        <w:rPr>
          <w:rFonts w:eastAsia="Times New Roman"/>
        </w:rPr>
        <w:t xml:space="preserve"> comprimate să se spargă. În cazul în care se sparg, alte persoane decât pacientul trebuie să folosească mănuşi de protecţie când manipulează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Cât timp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Luaţi </w:t>
      </w:r>
      <w:r>
        <w:rPr>
          <w:rFonts w:eastAsia="Times New Roman"/>
        </w:rPr>
        <w:t>Nodriga</w:t>
      </w:r>
      <w:r w:rsidRPr="000012B4">
        <w:rPr>
          <w:rFonts w:eastAsia="Times New Roman"/>
        </w:rPr>
        <w:t xml:space="preserve"> în fiecare zi până când medicul dumneavoastră vă spune să vă opriţi. Asiguraţi-vă că luaţi </w:t>
      </w:r>
      <w:r>
        <w:rPr>
          <w:rFonts w:eastAsia="Times New Roman"/>
        </w:rPr>
        <w:t>Nodriga</w:t>
      </w:r>
      <w:r w:rsidRPr="000012B4">
        <w:rPr>
          <w:rFonts w:eastAsia="Times New Roman"/>
        </w:rPr>
        <w:t xml:space="preserve"> atât timp cât vă este prescris.</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Dacă luaţi mai mult </w:t>
      </w:r>
      <w:r>
        <w:rPr>
          <w:rFonts w:eastAsia="Times New Roman"/>
          <w:b/>
          <w:bCs/>
        </w:rPr>
        <w:t>Nodriga</w:t>
      </w:r>
      <w:r w:rsidRPr="000012B4">
        <w:rPr>
          <w:rFonts w:eastAsia="Times New Roman"/>
          <w:b/>
          <w:bCs/>
        </w:rPr>
        <w:t xml:space="preserve"> decât trebuie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Dacă, în mod accidental, aţi luat prea multe comprimate, discutaţi cu medicul dumneavoastră </w:t>
      </w:r>
      <w:r w:rsidRPr="000012B4">
        <w:rPr>
          <w:rFonts w:eastAsia="Times New Roman"/>
          <w:b/>
          <w:bCs/>
        </w:rPr>
        <w:t>imediat</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Puteţi avea nevoie de îngrijire medicală.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Dacă uitaţi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luaţi o doză dublă pentru a compensa comprimatul uitat. Luaţi următoarea doză programată la momentul potrivit.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Dacă aveţi orice întrebări suplimentare cu privire la acest medicament, adresaţi-vă medicului dumneavoastră sau farmacistului.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6"/>
        </w:numPr>
        <w:tabs>
          <w:tab w:val="left" w:pos="567"/>
          <w:tab w:val="left" w:pos="940"/>
        </w:tabs>
        <w:rPr>
          <w:rFonts w:eastAsia="Times New Roman"/>
          <w:b/>
          <w:bCs/>
        </w:rPr>
      </w:pPr>
      <w:r w:rsidRPr="000012B4">
        <w:rPr>
          <w:rFonts w:eastAsia="Times New Roman"/>
          <w:b/>
          <w:bCs/>
        </w:rPr>
        <w:t>Reacţii adverse posibile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Ca toate medicamentele, acest medicament poate provoca reacţii adverse, cu toate că nu apar la toate persoanele.</w:t>
      </w:r>
    </w:p>
    <w:p w:rsidR="00E10080" w:rsidRPr="000012B4" w:rsidRDefault="00E10080" w:rsidP="00E10080">
      <w:pPr>
        <w:tabs>
          <w:tab w:val="left" w:pos="567"/>
        </w:tabs>
      </w:pPr>
    </w:p>
    <w:p w:rsidR="00E10080" w:rsidRPr="000012B4" w:rsidRDefault="00E10080" w:rsidP="00E10080">
      <w:pPr>
        <w:tabs>
          <w:tab w:val="left" w:pos="567"/>
          <w:tab w:val="left" w:pos="940"/>
        </w:tabs>
        <w:rPr>
          <w:rFonts w:eastAsia="Wingdings"/>
        </w:rPr>
      </w:pPr>
      <w:r w:rsidRPr="000012B4">
        <w:rPr>
          <w:rFonts w:eastAsia="Times New Roman"/>
          <w:b/>
          <w:bCs/>
        </w:rPr>
        <w:t>Următoarele pot fi semne ale reacţiilor adverse grave:</w:t>
      </w:r>
    </w:p>
    <w:p w:rsidR="00E10080" w:rsidRPr="000012B4" w:rsidRDefault="00E10080" w:rsidP="00E10080">
      <w:pPr>
        <w:tabs>
          <w:tab w:val="left" w:pos="567"/>
        </w:tabs>
        <w:rPr>
          <w:rFonts w:eastAsia="Wingdings"/>
        </w:rPr>
      </w:pP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aveţi durere în piept, dificultăţi de respiraţie, tuse şi leşin</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 xml:space="preserve">dacă aveţi </w:t>
      </w:r>
      <w:r w:rsidRPr="000012B4">
        <w:rPr>
          <w:rFonts w:eastAsia="Times New Roman"/>
          <w:b/>
          <w:bCs/>
        </w:rPr>
        <w:t>sângerări neaşteptate sau vânătăi</w:t>
      </w:r>
      <w:r w:rsidRPr="000012B4">
        <w:rPr>
          <w:rFonts w:eastAsia="Times New Roman"/>
        </w:rPr>
        <w:t xml:space="preserve"> fără să vă fi rănit</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observaţi sânge când vomitaţi, în scaune sau urină, sau aveţi scaune negre</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 xml:space="preserve">dacă aveţi </w:t>
      </w:r>
      <w:r w:rsidRPr="000012B4">
        <w:rPr>
          <w:rFonts w:eastAsia="Times New Roman"/>
          <w:b/>
          <w:bCs/>
        </w:rPr>
        <w:t>semne de infecţii</w:t>
      </w:r>
      <w:r w:rsidRPr="000012B4">
        <w:rPr>
          <w:rFonts w:eastAsia="Times New Roman"/>
        </w:rPr>
        <w:t>, cum sunt febră, frisoane severe</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aveţi febră, inflamaţie la nivelul gurii sau gâtului, vezicule sau descuamare a pielii şi/sau</w:t>
      </w:r>
    </w:p>
    <w:p w:rsidR="00E10080" w:rsidRPr="000012B4" w:rsidRDefault="00E10080" w:rsidP="00E10080">
      <w:pPr>
        <w:tabs>
          <w:tab w:val="left" w:pos="567"/>
        </w:tabs>
      </w:pPr>
      <w:r w:rsidRPr="000012B4">
        <w:rPr>
          <w:rFonts w:eastAsia="Times New Roman"/>
        </w:rPr>
        <w:t>mucoaselor.</w:t>
      </w:r>
    </w:p>
    <w:p w:rsidR="00E10080" w:rsidRPr="000012B4" w:rsidRDefault="00E10080" w:rsidP="00E10080">
      <w:pPr>
        <w:tabs>
          <w:tab w:val="left" w:pos="567"/>
        </w:tabs>
      </w:pPr>
      <w:r w:rsidRPr="000012B4">
        <w:rPr>
          <w:rFonts w:eastAsia="Times New Roman"/>
          <w:b/>
          <w:bCs/>
        </w:rPr>
        <w:t xml:space="preserve">Adresaţi-vă imediat medicului dumneavoastră </w:t>
      </w:r>
      <w:r w:rsidRPr="000012B4">
        <w:rPr>
          <w:rFonts w:eastAsia="Times New Roman"/>
        </w:rPr>
        <w:t>dacă observaţi oricare dintre cele de mai sus.</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foarte frecvente (pot afecta mai mult de 1 din 10 persoane)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Infecţii </w:t>
      </w:r>
      <w:r w:rsidRPr="000012B4">
        <w:rPr>
          <w:rFonts w:eastAsia="Times New Roman"/>
        </w:rPr>
        <w:t>(incluzând infecţii bacteriene, virale şi fungice)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dificultăți de respiraţie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Probleme digestive: </w:t>
      </w:r>
      <w:r w:rsidRPr="000012B4">
        <w:rPr>
          <w:rFonts w:eastAsia="Times New Roman"/>
        </w:rPr>
        <w:t>diaree, senzaţie sau stare de rău (greaţă, vărsături)</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erupţii pe piele, febră, tumefiere la nivelul feţei, mâinilor şi</w:t>
      </w:r>
      <w:r w:rsidRPr="000012B4">
        <w:rPr>
          <w:rFonts w:eastAsia="Times New Roman"/>
          <w:b/>
          <w:bCs/>
        </w:rPr>
        <w:t xml:space="preserve"> </w:t>
      </w:r>
      <w:r w:rsidRPr="000012B4">
        <w:rPr>
          <w:rFonts w:eastAsia="Times New Roman"/>
        </w:rPr>
        <w:t>picioarelor, durere de cap, senzaţie de oboseală sau slăbiciune, sângerări</w:t>
      </w:r>
    </w:p>
    <w:p w:rsidR="00E10080" w:rsidRPr="002106FC" w:rsidRDefault="00E10080" w:rsidP="00E10080">
      <w:pPr>
        <w:pStyle w:val="ListParagraph"/>
        <w:numPr>
          <w:ilvl w:val="0"/>
          <w:numId w:val="10"/>
        </w:numPr>
        <w:tabs>
          <w:tab w:val="left" w:pos="567"/>
          <w:tab w:val="left" w:pos="940"/>
        </w:tabs>
        <w:ind w:left="0" w:firstLine="0"/>
        <w:rPr>
          <w:rFonts w:eastAsia="Wingdings"/>
        </w:rPr>
      </w:pPr>
      <w:r w:rsidRPr="002106FC">
        <w:rPr>
          <w:rFonts w:eastAsia="Times New Roman"/>
          <w:b/>
          <w:bCs/>
        </w:rPr>
        <w:t xml:space="preserve">Dureri: </w:t>
      </w:r>
      <w:r w:rsidRPr="002106FC">
        <w:rPr>
          <w:rFonts w:eastAsia="Times New Roman"/>
        </w:rPr>
        <w:t>durere la nivelul mușchilor (în timpul sau după oprirea tratamentului), durere de burtă</w:t>
      </w:r>
      <w:r w:rsidRPr="002106FC">
        <w:rPr>
          <w:rFonts w:eastAsia="Times New Roman"/>
          <w:b/>
          <w:bCs/>
        </w:rPr>
        <w:t xml:space="preserve"> </w:t>
      </w:r>
      <w:r w:rsidRPr="002106FC">
        <w:rPr>
          <w:rFonts w:eastAsia="Times New Roman"/>
        </w:rPr>
        <w:t>(abdominală)</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Testele pot evidenţia: </w:t>
      </w:r>
      <w:r w:rsidRPr="000012B4">
        <w:rPr>
          <w:rFonts w:eastAsia="Times New Roman"/>
        </w:rPr>
        <w:t>număr scăzut de trombocite, număr scăzut de celule albe din sânge</w:t>
      </w:r>
      <w:r w:rsidRPr="000012B4">
        <w:rPr>
          <w:rFonts w:eastAsia="Times New Roman"/>
          <w:b/>
          <w:bCs/>
        </w:rPr>
        <w:t xml:space="preserve"> </w:t>
      </w:r>
      <w:r w:rsidRPr="000012B4">
        <w:rPr>
          <w:rFonts w:eastAsia="Times New Roman"/>
        </w:rPr>
        <w:t>(neutropenie), anemie, lichid în jurul plămânilor.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frecvente (pot afecta până la 1 din 10 persoane)</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Infecţii: </w:t>
      </w:r>
      <w:r w:rsidRPr="002106FC">
        <w:rPr>
          <w:rFonts w:eastAsia="Times New Roman"/>
        </w:rPr>
        <w:t>pneumonie, infecţie virală cu herpes (inclusiv cu citomegalovirus - CMV), infecţie a</w:t>
      </w:r>
      <w:r w:rsidRPr="002106FC">
        <w:rPr>
          <w:rFonts w:eastAsia="Times New Roman"/>
          <w:b/>
          <w:bCs/>
        </w:rPr>
        <w:t xml:space="preserve"> </w:t>
      </w:r>
      <w:r w:rsidRPr="002106FC">
        <w:rPr>
          <w:rFonts w:eastAsia="Times New Roman"/>
        </w:rPr>
        <w:t>căilor respiratorii superioare, infecţii grave ale sângelui sau ţesuturilor (inclusiv cazuri mai puţin frecvente cu evoluţie letală)</w:t>
      </w:r>
    </w:p>
    <w:p w:rsidR="00E10080" w:rsidRPr="000012B4" w:rsidRDefault="00E10080" w:rsidP="00E10080">
      <w:pPr>
        <w:pStyle w:val="ListParagraph"/>
        <w:numPr>
          <w:ilvl w:val="0"/>
          <w:numId w:val="11"/>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palpitaţii, bătăi neregulate ale inimii, insuficienţă cardiacă congestivă,</w:t>
      </w:r>
      <w:r w:rsidRPr="000012B4">
        <w:rPr>
          <w:rFonts w:eastAsia="Times New Roman"/>
          <w:b/>
          <w:bCs/>
        </w:rPr>
        <w:t xml:space="preserve"> </w:t>
      </w:r>
      <w:r w:rsidRPr="000012B4">
        <w:rPr>
          <w:rFonts w:eastAsia="Times New Roman"/>
        </w:rPr>
        <w:t>slăbirea muşchiului inimii, tensiune arterială mare, creșterea tensiunii arteriale în plămâni, tuse</w:t>
      </w:r>
    </w:p>
    <w:p w:rsidR="00E10080" w:rsidRPr="002106FC" w:rsidRDefault="00E10080" w:rsidP="00E10080">
      <w:pPr>
        <w:pStyle w:val="ListParagraph"/>
        <w:numPr>
          <w:ilvl w:val="0"/>
          <w:numId w:val="11"/>
        </w:numPr>
        <w:tabs>
          <w:tab w:val="left" w:pos="567"/>
          <w:tab w:val="left" w:pos="940"/>
        </w:tabs>
        <w:ind w:left="0" w:firstLine="0"/>
        <w:rPr>
          <w:rFonts w:eastAsia="Wingdings"/>
        </w:rPr>
      </w:pPr>
      <w:bookmarkStart w:id="5" w:name="page63"/>
      <w:bookmarkEnd w:id="5"/>
      <w:r w:rsidRPr="002106FC">
        <w:rPr>
          <w:rFonts w:eastAsia="Times New Roman"/>
          <w:b/>
          <w:bCs/>
        </w:rPr>
        <w:t xml:space="preserve">Probleme digestive: </w:t>
      </w:r>
      <w:r w:rsidRPr="002106FC">
        <w:rPr>
          <w:rFonts w:eastAsia="Times New Roman"/>
        </w:rPr>
        <w:t>tulburări de apetit alimentar, tulburări de gust, burtă (abdomen) balonată</w:t>
      </w:r>
      <w:r w:rsidRPr="002106FC">
        <w:rPr>
          <w:rFonts w:eastAsia="Times New Roman"/>
          <w:b/>
          <w:bCs/>
        </w:rPr>
        <w:t xml:space="preserve"> </w:t>
      </w:r>
      <w:r w:rsidRPr="002106FC">
        <w:rPr>
          <w:rFonts w:eastAsia="Times New Roman"/>
        </w:rPr>
        <w:t>sau umflată, inflamaţie a colonului, constipaţie, arsuri în capul pieptului, ulceraţii în gură, creştere în greutate, scădere în greutate, gastrită</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Piele, păr, ochi, general: </w:t>
      </w:r>
      <w:r w:rsidRPr="002106FC">
        <w:rPr>
          <w:rFonts w:eastAsia="Times New Roman"/>
        </w:rPr>
        <w:t>furnicături pe piele, mâncărimi, uscăciune a pielii, acnee, inflamație a</w:t>
      </w:r>
      <w:r w:rsidRPr="002106FC">
        <w:rPr>
          <w:rFonts w:eastAsia="Times New Roman"/>
          <w:b/>
          <w:bCs/>
        </w:rPr>
        <w:t xml:space="preserve"> </w:t>
      </w:r>
      <w:r w:rsidRPr="002106FC">
        <w:rPr>
          <w:rFonts w:eastAsia="Times New Roman"/>
        </w:rPr>
        <w:t>pielii, zgomot persistent în urechi, cădere a părului, transpiraţie excesivă, tulburări de vedere (incluzând înceţoşarea vederii şi perturbarea vederii), uscăciune a ochiului, vânătăi, depresie, insomnie, înroșire temporară a feţei, ameţeli, contuzii (vânătăi), lipsă a poftei de mâncare, somnolenţă, edem generalizat</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Dureri: </w:t>
      </w:r>
      <w:r w:rsidRPr="002106FC">
        <w:rPr>
          <w:rFonts w:eastAsia="Times New Roman"/>
        </w:rPr>
        <w:t>durere la nivelul articulațiilor, slăbiciune musculară, durere în piept, durere la nivelul</w:t>
      </w:r>
      <w:r w:rsidRPr="002106FC">
        <w:rPr>
          <w:rFonts w:eastAsia="Times New Roman"/>
          <w:b/>
          <w:bCs/>
        </w:rPr>
        <w:t xml:space="preserve"> </w:t>
      </w:r>
      <w:r w:rsidRPr="002106FC">
        <w:rPr>
          <w:rFonts w:eastAsia="Times New Roman"/>
        </w:rPr>
        <w:t>mâinilor şi picioarelor, frisoane, rigiditate la nivelul muşchilor şi articulaţiilor, spasm muscular</w:t>
      </w:r>
    </w:p>
    <w:p w:rsidR="00E10080" w:rsidRPr="00B130F9" w:rsidRDefault="00E10080" w:rsidP="00E10080">
      <w:pPr>
        <w:pStyle w:val="ListParagraph"/>
        <w:numPr>
          <w:ilvl w:val="0"/>
          <w:numId w:val="11"/>
        </w:numPr>
        <w:tabs>
          <w:tab w:val="left" w:pos="567"/>
          <w:tab w:val="left" w:pos="940"/>
        </w:tabs>
        <w:ind w:left="0" w:firstLine="0"/>
        <w:jc w:val="both"/>
        <w:rPr>
          <w:rFonts w:eastAsia="Wingdings"/>
        </w:rPr>
      </w:pPr>
      <w:r w:rsidRPr="000012B4">
        <w:rPr>
          <w:rFonts w:eastAsia="Times New Roman"/>
          <w:b/>
          <w:bCs/>
        </w:rPr>
        <w:t xml:space="preserve">Testele pot evidenţia: </w:t>
      </w:r>
      <w:r w:rsidRPr="000012B4">
        <w:rPr>
          <w:rFonts w:eastAsia="Times New Roman"/>
        </w:rPr>
        <w:t>lichid în jurul inimii, lichid în plămâni, ritm neregulat al inimii,</w:t>
      </w:r>
      <w:r w:rsidRPr="000012B4">
        <w:rPr>
          <w:rFonts w:eastAsia="Times New Roman"/>
          <w:b/>
          <w:bCs/>
        </w:rPr>
        <w:t xml:space="preserve"> </w:t>
      </w:r>
      <w:r w:rsidRPr="000012B4">
        <w:rPr>
          <w:rFonts w:eastAsia="Times New Roman"/>
        </w:rPr>
        <w:t>neutropenie febrilă, sângerări gastro-intestinale, concentraţii mari de acid uric în sânge.</w:t>
      </w:r>
    </w:p>
    <w:p w:rsidR="00F22F90" w:rsidRDefault="00F22F90" w:rsidP="00E10080">
      <w:pPr>
        <w:tabs>
          <w:tab w:val="left" w:pos="567"/>
        </w:tabs>
        <w:rPr>
          <w:rFonts w:eastAsia="Times New Roman"/>
          <w:b/>
          <w:bCs/>
        </w:rPr>
      </w:pPr>
    </w:p>
    <w:p w:rsidR="006B2F79" w:rsidRDefault="006B2F79" w:rsidP="00E10080">
      <w:pPr>
        <w:tabs>
          <w:tab w:val="left" w:pos="567"/>
        </w:tabs>
        <w:rPr>
          <w:rFonts w:eastAsia="Times New Roman"/>
          <w:b/>
          <w:bCs/>
        </w:rPr>
      </w:pPr>
    </w:p>
    <w:p w:rsidR="00F22F90" w:rsidRPr="00F22F90" w:rsidRDefault="00E10080" w:rsidP="00E10080">
      <w:pPr>
        <w:tabs>
          <w:tab w:val="left" w:pos="567"/>
        </w:tabs>
        <w:rPr>
          <w:rFonts w:eastAsia="Times New Roman"/>
          <w:b/>
          <w:bCs/>
        </w:rPr>
      </w:pPr>
      <w:r w:rsidRPr="000012B4">
        <w:rPr>
          <w:rFonts w:eastAsia="Times New Roman"/>
          <w:b/>
          <w:bCs/>
        </w:rPr>
        <w:t>Reacţii adverse mai puţin frecvente (pot afecta până la 1 din 100 persoane)</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infarct miocardic (inclusiv cu evoluţie letală), inflamaţie a învelişului (sac</w:t>
      </w:r>
      <w:r w:rsidRPr="000012B4">
        <w:rPr>
          <w:rFonts w:eastAsia="Times New Roman"/>
          <w:b/>
          <w:bCs/>
        </w:rPr>
        <w:t xml:space="preserve"> </w:t>
      </w:r>
      <w:r w:rsidRPr="000012B4">
        <w:rPr>
          <w:rFonts w:eastAsia="Times New Roman"/>
        </w:rPr>
        <w:t>fibros) din jurul inimii, bătăi neregulate ale inimii, durere în piept din cauza lipsei alimentării cu sânge a inimii (angină pectorală), tensiune arterială mică, îngustare a căilor respiratorii care poate duce la dificultăţi de respiraţie, astm bronşic, creşterea tensiunii arteriale în arterele (vase de sânge) de la nivelul plămânilor</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Probleme digestive: </w:t>
      </w:r>
      <w:r w:rsidRPr="000012B4">
        <w:rPr>
          <w:rFonts w:eastAsia="Times New Roman"/>
        </w:rPr>
        <w:t>inflamaţie a pancreasului, ulcer peptic, inflamaţie la nivelul tubului</w:t>
      </w:r>
      <w:r w:rsidRPr="000012B4">
        <w:rPr>
          <w:rFonts w:eastAsia="Times New Roman"/>
          <w:b/>
          <w:bCs/>
        </w:rPr>
        <w:t xml:space="preserve"> </w:t>
      </w:r>
      <w:r w:rsidRPr="000012B4">
        <w:rPr>
          <w:rFonts w:eastAsia="Times New Roman"/>
        </w:rPr>
        <w:t>digestiv, umflare a burţii (abdomenului), ruptură a pielii la nivelul anusului, dificultate la înghiţire, inflamaţie a vezicii biliare, blocaj al căilor biliare, reflux gastro-esofagian (o boală în care sucul gastric şi alt conţinut al stomacului se întorc în esofag)</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reacţie alergică incluzând noduli roşii, dureroşi pe piele (eritem</w:t>
      </w:r>
      <w:r w:rsidRPr="000012B4">
        <w:rPr>
          <w:rFonts w:eastAsia="Times New Roman"/>
          <w:b/>
          <w:bCs/>
        </w:rPr>
        <w:t xml:space="preserve"> </w:t>
      </w:r>
      <w:r w:rsidRPr="000012B4">
        <w:rPr>
          <w:rFonts w:eastAsia="Times New Roman"/>
        </w:rPr>
        <w:t>nodos), senzaţie de teamă, confuzie, modificări ale dispoziţiei, scăderea libidoului, leşin, tremurături, inflamaţie a ochiului care determină înroșire sau durere, o afecţiune a pielii caracterizată prin pete bine definite, roşii, dureroase, cu debut brusc al febrei şi număr crescut de celule albe din sânge (dermatoză neutrofilică), pierderea auzului, sensibilitate la lumină, deficienţe de vedere, creşterea secreției lacrimale, modificări ale culorii pielii, inflamaţie a ţesutului gras de sub piele, ulcerații ale pielii, apariţia de vezicule pe piele, afecţiuni ale unghiilor, afecțiuni ale firului de păr, sindrom mână-picior, insuficienţă renală, urinare frecventă, mărirea sânilor la bărbaţi, tulburări menstruale, disconfort şi slăbiciune generale, scăderea funcţiei glandei tiroide, pierderea echilibrului în timpul mersului, osteonecroză (o boală în care scade aportul de sânge la nivelul oaselor, ceea ce poate determina pierderea ţesutului osos şi moartea osului), inflamație a articulaţiilor, tumefierea pielii oriunde pe suprafaţa corpului</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Dureri: </w:t>
      </w:r>
      <w:r w:rsidRPr="000012B4">
        <w:rPr>
          <w:rFonts w:eastAsia="Times New Roman"/>
        </w:rPr>
        <w:t>inflamaţie a unei vene care poate determina înroșire, durere şi tumefiere, inflamaţie a</w:t>
      </w:r>
      <w:r w:rsidRPr="000012B4">
        <w:rPr>
          <w:rFonts w:eastAsia="Times New Roman"/>
          <w:b/>
          <w:bCs/>
        </w:rPr>
        <w:t xml:space="preserve"> </w:t>
      </w:r>
      <w:r w:rsidRPr="000012B4">
        <w:rPr>
          <w:rFonts w:eastAsia="Times New Roman"/>
        </w:rPr>
        <w:t>unui tendon</w:t>
      </w:r>
    </w:p>
    <w:p w:rsidR="00E10080" w:rsidRPr="000012B4"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Creier: </w:t>
      </w:r>
      <w:r w:rsidRPr="000012B4">
        <w:rPr>
          <w:rFonts w:eastAsia="Times New Roman"/>
        </w:rPr>
        <w:t>pierderea memoriei</w:t>
      </w:r>
    </w:p>
    <w:p w:rsidR="00E10080" w:rsidRPr="000012B4"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Testele pot evidenţia: </w:t>
      </w:r>
      <w:r w:rsidRPr="000012B4">
        <w:rPr>
          <w:rFonts w:eastAsia="Times New Roman"/>
        </w:rPr>
        <w:t>rezultate anormale ale analizelor de sânge şi funcţie renală posibil</w:t>
      </w:r>
      <w:r w:rsidRPr="000012B4">
        <w:rPr>
          <w:rFonts w:eastAsia="Times New Roman"/>
          <w:b/>
          <w:bCs/>
        </w:rPr>
        <w:t xml:space="preserve"> </w:t>
      </w:r>
      <w:r w:rsidRPr="000012B4">
        <w:rPr>
          <w:rFonts w:eastAsia="Times New Roman"/>
        </w:rPr>
        <w:t>afectată din cauza produşilor de degradare ai tumorii distruse (sindrom de liză tumorală), concentraţii mici de albumină în sânge, valori mici ale limfocitelor (un tip de celule albe din sânge) în sânge, valori mari ale colesterolului în sânge, tumefierea ganglionilor limfatici, sângerări la nivelul creierului, neregularitate a activităţii electrice a inimii, creştere în dimensiuni a inimii, inflamaţie a ficatului, proteine în urină, valoare crescută a creatin-fosfokinazei (o enzimă care se găseşte în principal în inimă, creier şi muşchii scheletici), valoare crescută a troponinei (o enzimă care se găseşte în principal în inimă şi în muşchii scheletici), valoare crescută a gamma-glutamiltransferazei (o enzimă care se găseşte în principal în ficat)</w:t>
      </w:r>
      <w:r>
        <w:rPr>
          <w:rFonts w:eastAsia="Times New Roman"/>
        </w:rPr>
        <w:t>,</w:t>
      </w:r>
      <w:r w:rsidRPr="00306396">
        <w:t xml:space="preserve"> </w:t>
      </w:r>
      <w:r w:rsidRPr="00FC613F">
        <w:rPr>
          <w:rFonts w:eastAsia="Times New Roman"/>
        </w:rPr>
        <w:t>lichid cu aspect lăptos în jurul plămânilor (chilotorax</w:t>
      </w:r>
      <w:r w:rsidRPr="00FA2777">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rare (pot afecta până la 1 din 1000 persoane)</w:t>
      </w:r>
    </w:p>
    <w:p w:rsidR="00E10080" w:rsidRPr="000012B4" w:rsidRDefault="00E10080" w:rsidP="00E10080">
      <w:pPr>
        <w:pStyle w:val="ListParagraph"/>
        <w:numPr>
          <w:ilvl w:val="0"/>
          <w:numId w:val="13"/>
        </w:numPr>
        <w:tabs>
          <w:tab w:val="left" w:pos="567"/>
          <w:tab w:val="left" w:pos="940"/>
        </w:tabs>
        <w:ind w:left="0" w:firstLine="0"/>
      </w:pPr>
      <w:r w:rsidRPr="000012B4">
        <w:rPr>
          <w:rFonts w:eastAsia="Times New Roman"/>
          <w:b/>
          <w:bCs/>
        </w:rPr>
        <w:t xml:space="preserve">Inimă şi plămâni: </w:t>
      </w:r>
      <w:r w:rsidRPr="000012B4">
        <w:rPr>
          <w:rFonts w:eastAsia="Times New Roman"/>
        </w:rPr>
        <w:t>mărirea ventriculului drept al inimii, inflamaţie a muşchiului inimii, cumul</w:t>
      </w:r>
      <w:r w:rsidRPr="000012B4">
        <w:rPr>
          <w:rFonts w:eastAsia="Times New Roman"/>
          <w:b/>
          <w:bCs/>
        </w:rPr>
        <w:t xml:space="preserve"> </w:t>
      </w:r>
      <w:r w:rsidRPr="000012B4">
        <w:rPr>
          <w:rFonts w:eastAsia="Times New Roman"/>
        </w:rPr>
        <w:t>de simptome ce rezultă din blocarea alimentării cu sânge a muşchiului inimii (sindrom coronarian acut), stop cardiac (oprirea fluxului de sânge la nivelul inimii), boală coronariană (de inimă), inflamaţie a ţesutului care acoperă inima şi plămânii, cheaguri de sânge, cheaguri de sânge în plămâni</w:t>
      </w:r>
    </w:p>
    <w:p w:rsidR="00E10080" w:rsidRPr="00F22F90" w:rsidRDefault="00E10080" w:rsidP="00E10080">
      <w:pPr>
        <w:pStyle w:val="ListParagraph"/>
        <w:numPr>
          <w:ilvl w:val="0"/>
          <w:numId w:val="13"/>
        </w:numPr>
        <w:tabs>
          <w:tab w:val="left" w:pos="567"/>
          <w:tab w:val="left" w:pos="940"/>
        </w:tabs>
        <w:ind w:left="0" w:firstLine="0"/>
        <w:rPr>
          <w:rFonts w:eastAsia="Wingdings"/>
        </w:rPr>
      </w:pPr>
      <w:bookmarkStart w:id="6" w:name="page64"/>
      <w:bookmarkEnd w:id="6"/>
      <w:r w:rsidRPr="000012B4">
        <w:rPr>
          <w:rFonts w:eastAsia="Times New Roman"/>
          <w:b/>
          <w:bCs/>
        </w:rPr>
        <w:t xml:space="preserve">Probleme digestive: </w:t>
      </w:r>
      <w:r w:rsidRPr="000012B4">
        <w:rPr>
          <w:rFonts w:eastAsia="Times New Roman"/>
        </w:rPr>
        <w:t>pierdere de substanţe nutritive vitale, cum sunt proteinele din tubul</w:t>
      </w:r>
      <w:r w:rsidRPr="000012B4">
        <w:rPr>
          <w:rFonts w:eastAsia="Times New Roman"/>
          <w:b/>
          <w:bCs/>
        </w:rPr>
        <w:t xml:space="preserve"> </w:t>
      </w:r>
      <w:r w:rsidRPr="000012B4">
        <w:rPr>
          <w:rFonts w:eastAsia="Times New Roman"/>
        </w:rPr>
        <w:t>digestiv, obstrucţie intestinală, fistulă anală (formarea unui canal anormal din anus spre pielea din jurul anusului), afectarea funcţiei rinichilor, diabet zaharat</w:t>
      </w:r>
    </w:p>
    <w:p w:rsidR="00E10080" w:rsidRPr="00F22F90"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convulsii, inflamaţie a nervului optic care poate duce la pierderea</w:t>
      </w:r>
      <w:r w:rsidRPr="000012B4">
        <w:rPr>
          <w:rFonts w:eastAsia="Times New Roman"/>
          <w:b/>
          <w:bCs/>
        </w:rPr>
        <w:t xml:space="preserve"> </w:t>
      </w:r>
      <w:r w:rsidRPr="000012B4">
        <w:rPr>
          <w:rFonts w:eastAsia="Times New Roman"/>
        </w:rPr>
        <w:t>parţială sau completă a vederii, erupţii pe piele de forme diferite şi culoare albastru-violet, funcţie anormal crescută a glandei tiroide, inflamaţie a glandei tiroide, ataxie (o boală asociată cu absenţa coordonării musculare), dificultăţi de mers, avort spontan, inflamaţie a vaselor de sânge de la nivelul pielii, fibroză a pielii</w:t>
      </w:r>
    </w:p>
    <w:p w:rsidR="00E10080" w:rsidRPr="00F22F90"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Creier: </w:t>
      </w:r>
      <w:r w:rsidRPr="000012B4">
        <w:rPr>
          <w:rFonts w:eastAsia="Times New Roman"/>
        </w:rPr>
        <w:t>accident vascular cerebral, episod trecător de afectare neurologică determinat de lipsa</w:t>
      </w:r>
      <w:r w:rsidRPr="000012B4">
        <w:rPr>
          <w:rFonts w:eastAsia="Times New Roman"/>
          <w:b/>
          <w:bCs/>
        </w:rPr>
        <w:t xml:space="preserve"> </w:t>
      </w:r>
      <w:r w:rsidRPr="000012B4">
        <w:rPr>
          <w:rFonts w:eastAsia="Times New Roman"/>
        </w:rPr>
        <w:t>alimentării cu sânge, paralizie a nervului facial, demenţă</w:t>
      </w:r>
    </w:p>
    <w:p w:rsidR="00E10080" w:rsidRPr="000012B4"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Sistem imunitar: </w:t>
      </w:r>
      <w:r w:rsidRPr="000012B4">
        <w:rPr>
          <w:rFonts w:eastAsia="Times New Roman"/>
        </w:rPr>
        <w:t>reacţie alergică severă</w:t>
      </w:r>
    </w:p>
    <w:p w:rsidR="00E10080" w:rsidRPr="006B2F79"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Ţesut musculo-scheletic şi conjunctiv: </w:t>
      </w:r>
      <w:r w:rsidRPr="000012B4">
        <w:rPr>
          <w:rFonts w:eastAsia="Times New Roman"/>
        </w:rPr>
        <w:t>fuziune întârziată a capetelor rotunjite care formează</w:t>
      </w:r>
      <w:r w:rsidRPr="000012B4">
        <w:rPr>
          <w:rFonts w:eastAsia="Times New Roman"/>
          <w:b/>
          <w:bCs/>
        </w:rPr>
        <w:t xml:space="preserve"> </w:t>
      </w:r>
      <w:r w:rsidRPr="000012B4">
        <w:rPr>
          <w:rFonts w:eastAsia="Times New Roman"/>
        </w:rPr>
        <w:t>articulaţiile (epifizele), creştere lentă sau întârziată.</w:t>
      </w:r>
    </w:p>
    <w:p w:rsidR="00F22F90" w:rsidRPr="00F22F90" w:rsidRDefault="00E10080" w:rsidP="00E10080">
      <w:pPr>
        <w:tabs>
          <w:tab w:val="left" w:pos="567"/>
        </w:tabs>
        <w:rPr>
          <w:rFonts w:eastAsia="Times New Roman"/>
          <w:b/>
          <w:bCs/>
        </w:rPr>
      </w:pPr>
      <w:r w:rsidRPr="000012B4">
        <w:rPr>
          <w:rFonts w:eastAsia="Times New Roman"/>
          <w:b/>
          <w:bCs/>
        </w:rPr>
        <w:t>Alte reacţii adverse care au fost raportate cu frecvenţă necunoscută (care nu poate fi estimată din datele disponibile)</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Inflamaţie a plămânilor</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Sângerări la nivelul stomacului sau intestinelor care pot duce la deces</w:t>
      </w:r>
    </w:p>
    <w:p w:rsidR="00E10080" w:rsidRPr="002106FC" w:rsidRDefault="00E10080" w:rsidP="00E10080">
      <w:pPr>
        <w:pStyle w:val="ListParagraph"/>
        <w:numPr>
          <w:ilvl w:val="0"/>
          <w:numId w:val="14"/>
        </w:numPr>
        <w:tabs>
          <w:tab w:val="left" w:pos="567"/>
          <w:tab w:val="left" w:pos="940"/>
        </w:tabs>
        <w:ind w:left="0" w:firstLine="0"/>
        <w:rPr>
          <w:rFonts w:eastAsia="Wingdings"/>
        </w:rPr>
      </w:pPr>
      <w:r w:rsidRPr="002106FC">
        <w:rPr>
          <w:rFonts w:eastAsia="Times New Roman"/>
        </w:rPr>
        <w:t>Reapariție (reactivare) a infecției cu virusul hepatitic B dacă ați avut în trecut hepatită B (o infecție a ficatului)</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Reacţie cu febră, apariţia de vezicule pe piele şi ulceraţii la nivelul mucoaselor</w:t>
      </w:r>
    </w:p>
    <w:p w:rsidR="00E10080" w:rsidRPr="002106FC" w:rsidRDefault="00E10080" w:rsidP="00E10080">
      <w:pPr>
        <w:pStyle w:val="ListParagraph"/>
        <w:numPr>
          <w:ilvl w:val="0"/>
          <w:numId w:val="14"/>
        </w:numPr>
        <w:tabs>
          <w:tab w:val="left" w:pos="567"/>
          <w:tab w:val="left" w:pos="940"/>
        </w:tabs>
        <w:ind w:left="0" w:firstLine="0"/>
        <w:rPr>
          <w:rFonts w:eastAsia="Wingdings"/>
        </w:rPr>
      </w:pPr>
      <w:r w:rsidRPr="002106FC">
        <w:rPr>
          <w:rFonts w:eastAsia="Times New Roman"/>
        </w:rPr>
        <w:t>Boală a rinichilor cu simptome care includ edem și rezultate anormale ale testelor de laborator, cum sunt prezența de proteine în urină și valori mici ale concentrațiilor de proteine în sânge</w:t>
      </w:r>
    </w:p>
    <w:p w:rsidR="00E10080" w:rsidRPr="000012B4" w:rsidRDefault="00E10080" w:rsidP="00E10080">
      <w:pPr>
        <w:pStyle w:val="ListParagraph"/>
        <w:numPr>
          <w:ilvl w:val="0"/>
          <w:numId w:val="14"/>
        </w:numPr>
        <w:tabs>
          <w:tab w:val="left" w:pos="567"/>
          <w:tab w:val="left" w:pos="920"/>
        </w:tabs>
        <w:ind w:left="0" w:firstLine="0"/>
        <w:rPr>
          <w:rFonts w:eastAsia="Wingdings"/>
        </w:rPr>
      </w:pPr>
      <w:r w:rsidRPr="000012B4">
        <w:rPr>
          <w:rFonts w:eastAsia="Times New Roman"/>
        </w:rPr>
        <w:t>Deteriorarea vaselor de sânge, cunoscută ca microangiopatie trombotică (MAT), incluzând scăderea numărului de celule roșii din sânge, scăderea trombocitelor și formarea cheagurilor de sânge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Medicul va verifica unele dintre aceste reacţii în timpul tratamentului dumneavoastră.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Raportarea reacţiilor adverse</w:t>
      </w:r>
    </w:p>
    <w:p w:rsidR="00E10080" w:rsidRPr="000012B4" w:rsidRDefault="00E10080" w:rsidP="00E10080">
      <w:pPr>
        <w:tabs>
          <w:tab w:val="left" w:pos="567"/>
        </w:tabs>
      </w:pPr>
    </w:p>
    <w:p w:rsidR="00DD7F71" w:rsidRPr="00BF4498" w:rsidRDefault="00DD7F71" w:rsidP="00DD7F71">
      <w:pPr>
        <w:rPr>
          <w:lang w:val="ro-RO"/>
        </w:rPr>
      </w:pPr>
      <w:r w:rsidRPr="00BF4498">
        <w:rPr>
          <w:lang w:val="ro-RO"/>
        </w:rPr>
        <w:t>Dacă manifestaţi orice reacţii adverse, adresaţi-vă medicului dumneavoastră sau farmacistului. Acestea includ orice posibile reacţii adverse nemenţionate în acest prospect. De asemenea, puteţi raporta reacţiile adverse direct la Agenţia Naţională a Medicamentului şi a Dispozitivelor Medicale din România</w:t>
      </w:r>
    </w:p>
    <w:p w:rsidR="00DD7F71" w:rsidRPr="00BF4498" w:rsidRDefault="00DD7F71" w:rsidP="00DD7F71">
      <w:pPr>
        <w:rPr>
          <w:lang w:val="ro-RO"/>
        </w:rPr>
      </w:pPr>
      <w:r w:rsidRPr="00BF4498">
        <w:rPr>
          <w:lang w:val="ro-RO"/>
        </w:rPr>
        <w:t>Str. Aviator Sănătescu nr. 48, sector 1</w:t>
      </w:r>
    </w:p>
    <w:p w:rsidR="00DD7F71" w:rsidRPr="00BF4498" w:rsidRDefault="00DD7F71" w:rsidP="00DD7F71">
      <w:pPr>
        <w:rPr>
          <w:lang w:val="ro-RO"/>
        </w:rPr>
      </w:pPr>
      <w:r w:rsidRPr="00BF4498">
        <w:rPr>
          <w:lang w:val="ro-RO"/>
        </w:rPr>
        <w:t>Bucuresti 011478- RO</w:t>
      </w:r>
    </w:p>
    <w:p w:rsidR="00DD7F71" w:rsidRPr="00BF4498" w:rsidRDefault="00DD7F71" w:rsidP="00DD7F71">
      <w:pPr>
        <w:rPr>
          <w:u w:val="single"/>
          <w:lang w:val="it-IT"/>
        </w:rPr>
      </w:pPr>
      <w:r w:rsidRPr="00BF4498">
        <w:rPr>
          <w:lang w:val="it-IT"/>
        </w:rPr>
        <w:t xml:space="preserve">e-mail: </w:t>
      </w:r>
      <w:hyperlink r:id="rId7" w:history="1">
        <w:r w:rsidRPr="00BF4498">
          <w:rPr>
            <w:rStyle w:val="Hyperlink"/>
            <w:lang w:val="it-IT"/>
          </w:rPr>
          <w:t>adr@anm.ro</w:t>
        </w:r>
      </w:hyperlink>
    </w:p>
    <w:p w:rsidR="00DD7F71" w:rsidRPr="00BF4498" w:rsidRDefault="00DD7F71" w:rsidP="00DD7F71">
      <w:pPr>
        <w:rPr>
          <w:lang w:val="nl-NL"/>
        </w:rPr>
      </w:pPr>
      <w:r w:rsidRPr="00BF4498">
        <w:rPr>
          <w:lang w:val="nl-NL"/>
        </w:rPr>
        <w:t xml:space="preserve">Website: </w:t>
      </w:r>
      <w:hyperlink r:id="rId8" w:history="1">
        <w:r w:rsidRPr="00BF4498">
          <w:rPr>
            <w:rStyle w:val="Hyperlink"/>
            <w:lang w:val="nl-NL"/>
          </w:rPr>
          <w:t>www.anm.ro</w:t>
        </w:r>
      </w:hyperlink>
    </w:p>
    <w:p w:rsidR="00DD7F71" w:rsidRPr="00B13889" w:rsidRDefault="00DD7F71" w:rsidP="00DD7F71">
      <w:pPr>
        <w:rPr>
          <w:lang w:val="ro-RO"/>
        </w:rPr>
      </w:pPr>
      <w:r w:rsidRPr="00BF4498">
        <w:rPr>
          <w:lang w:val="ro-RO"/>
        </w:rPr>
        <w:t>Raportând reacţiile adverse, puteţi contribui la furnizarea de informaţii suplimentare privind siguranţa acestui medicament</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7"/>
        </w:numPr>
        <w:tabs>
          <w:tab w:val="left" w:pos="567"/>
          <w:tab w:val="left" w:pos="940"/>
        </w:tabs>
        <w:rPr>
          <w:rFonts w:eastAsia="Times New Roman"/>
          <w:b/>
          <w:bCs/>
        </w:rPr>
      </w:pPr>
      <w:r w:rsidRPr="000012B4">
        <w:rPr>
          <w:rFonts w:eastAsia="Times New Roman"/>
          <w:b/>
          <w:bCs/>
        </w:rPr>
        <w:t xml:space="preserve">Cum se păstrează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lăsaţi acest medicament la vederea şi îndemâna copiilor.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utilizaţi acest medicament după data de expirare înscrisă pe eticheta flaconului, blister sau cutie după EXP. Data de expirare se referă la ultima zi a lunii respective.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Acest medicament nu necesită condiţii speciale de păstrare.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aruncaţi niciun medicament pe calea apei sau a reziduurilor menajere. Întrebaţi farmacistul cum să aruncaţi medicamentele pe care nu le mai folosiţi. Aceste măsuri vor ajuta la protejarea mediului.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8"/>
        </w:numPr>
        <w:tabs>
          <w:tab w:val="left" w:pos="567"/>
          <w:tab w:val="left" w:pos="940"/>
        </w:tabs>
        <w:rPr>
          <w:rFonts w:eastAsia="Times New Roman"/>
          <w:b/>
          <w:bCs/>
        </w:rPr>
      </w:pPr>
      <w:r w:rsidRPr="000012B4">
        <w:rPr>
          <w:rFonts w:eastAsia="Times New Roman"/>
          <w:b/>
          <w:bCs/>
        </w:rPr>
        <w:t>Conţinutul ambalajului şi alte informaţii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Ce conţine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 w:val="left" w:pos="940"/>
        </w:tabs>
        <w:rPr>
          <w:rFonts w:eastAsia="Wingdings"/>
        </w:rPr>
      </w:pPr>
      <w:r w:rsidRPr="000012B4">
        <w:rPr>
          <w:rFonts w:eastAsia="Times New Roman"/>
        </w:rPr>
        <w:t xml:space="preserve">Substanţa activă este dasatinib. Fiecare comprimat filmat conţine 20 mg, </w:t>
      </w:r>
      <w:r w:rsidRPr="00C53E7A">
        <w:rPr>
          <w:rFonts w:eastAsia="Times New Roman"/>
          <w:highlight w:val="lightGray"/>
        </w:rPr>
        <w:t>50 mg, 70 mg, 100 mg sau 140 mg</w:t>
      </w:r>
      <w:r w:rsidRPr="000012B4">
        <w:rPr>
          <w:rFonts w:eastAsia="Times New Roman"/>
        </w:rPr>
        <w:t xml:space="preserve"> dasatinib (sub formă de monohidrat).</w:t>
      </w:r>
    </w:p>
    <w:p w:rsidR="00E10080" w:rsidRPr="000012B4" w:rsidRDefault="00E10080" w:rsidP="00E10080">
      <w:pPr>
        <w:tabs>
          <w:tab w:val="left" w:pos="567"/>
        </w:tabs>
        <w:rPr>
          <w:rFonts w:eastAsia="Wingdings"/>
        </w:rPr>
      </w:pPr>
    </w:p>
    <w:p w:rsidR="00E10080" w:rsidRDefault="00E10080" w:rsidP="00E10080">
      <w:pPr>
        <w:tabs>
          <w:tab w:val="left" w:pos="567"/>
          <w:tab w:val="left" w:pos="940"/>
        </w:tabs>
        <w:sectPr w:rsidR="00E10080" w:rsidSect="00E10080">
          <w:headerReference w:type="default" r:id="rId9"/>
          <w:footerReference w:type="default" r:id="rId10"/>
          <w:pgSz w:w="12240" w:h="15840"/>
          <w:pgMar w:top="1134" w:right="1418" w:bottom="1134" w:left="1418" w:header="0" w:footer="0" w:gutter="0"/>
          <w:cols w:space="720" w:equalWidth="0">
            <w:col w:w="9382"/>
          </w:cols>
          <w:docGrid w:linePitch="299"/>
        </w:sectPr>
      </w:pPr>
      <w:r w:rsidRPr="000012B4">
        <w:rPr>
          <w:rFonts w:eastAsia="Times New Roman"/>
        </w:rPr>
        <w:t xml:space="preserve">       Celelalte componente sunt:</w:t>
      </w:r>
      <w:r w:rsidRPr="000012B4">
        <w:rPr>
          <w:rFonts w:eastAsia="Wingdings"/>
        </w:rPr>
        <w:t xml:space="preserve">   </w:t>
      </w:r>
    </w:p>
    <w:p w:rsidR="00E10080" w:rsidRPr="000012B4" w:rsidRDefault="00E10080" w:rsidP="00E10080">
      <w:pPr>
        <w:tabs>
          <w:tab w:val="left" w:pos="567"/>
          <w:tab w:val="left" w:pos="1480"/>
        </w:tabs>
        <w:rPr>
          <w:rFonts w:eastAsia="Wingdings"/>
        </w:rPr>
      </w:pPr>
      <w:bookmarkStart w:id="7" w:name="page65"/>
      <w:bookmarkEnd w:id="7"/>
      <w:r w:rsidRPr="000012B4">
        <w:rPr>
          <w:rFonts w:eastAsia="Times New Roman"/>
          <w:i/>
          <w:iCs/>
        </w:rPr>
        <w:t xml:space="preserve">       Nucleul comprimatului: </w:t>
      </w:r>
      <w:r w:rsidR="00FC613F">
        <w:rPr>
          <w:rFonts w:eastAsia="Times New Roman"/>
        </w:rPr>
        <w:t>lactoză monohidrat</w:t>
      </w:r>
      <w:r w:rsidRPr="000012B4">
        <w:rPr>
          <w:rFonts w:eastAsia="Times New Roman"/>
        </w:rPr>
        <w:t>,</w:t>
      </w:r>
      <w:r w:rsidRPr="000012B4">
        <w:rPr>
          <w:rFonts w:eastAsia="Times New Roman"/>
          <w:i/>
          <w:iCs/>
        </w:rPr>
        <w:t xml:space="preserve"> </w:t>
      </w:r>
      <w:r w:rsidRPr="000012B4">
        <w:rPr>
          <w:rFonts w:eastAsia="Times New Roman"/>
        </w:rPr>
        <w:t>celuloză microcristalină; croscarmeloză sodică;      hidroxipropil celuloză; stearat de magneziu.</w:t>
      </w:r>
    </w:p>
    <w:p w:rsidR="00E10080" w:rsidRPr="000012B4" w:rsidRDefault="00E10080" w:rsidP="00E10080">
      <w:pPr>
        <w:tabs>
          <w:tab w:val="left" w:pos="567"/>
          <w:tab w:val="left" w:pos="1480"/>
        </w:tabs>
        <w:rPr>
          <w:rFonts w:eastAsia="Wingdings"/>
        </w:rPr>
      </w:pPr>
      <w:r w:rsidRPr="000012B4">
        <w:rPr>
          <w:rFonts w:eastAsia="Times New Roman"/>
          <w:i/>
          <w:iCs/>
        </w:rPr>
        <w:t xml:space="preserve">      Film: </w:t>
      </w:r>
      <w:r w:rsidRPr="000012B4">
        <w:rPr>
          <w:rFonts w:eastAsia="Times New Roman"/>
        </w:rPr>
        <w:t>lactoză monohidrat, hipromeloză; dioxid de titan (E171); triacetin. (vezi pct. 2 “</w:t>
      </w:r>
      <w:r>
        <w:rPr>
          <w:rFonts w:eastAsia="Times New Roman"/>
        </w:rPr>
        <w:t>Nodriga</w:t>
      </w:r>
      <w:r w:rsidRPr="000012B4">
        <w:rPr>
          <w:rFonts w:eastAsia="Times New Roman"/>
        </w:rPr>
        <w:t xml:space="preserve"> conţine lactoză și sodiu”)</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Cum arată </w:t>
      </w:r>
      <w:r>
        <w:rPr>
          <w:rFonts w:eastAsia="Times New Roman"/>
          <w:b/>
          <w:bCs/>
        </w:rPr>
        <w:t>Nodriga</w:t>
      </w:r>
      <w:r w:rsidRPr="000012B4">
        <w:rPr>
          <w:rFonts w:eastAsia="Times New Roman"/>
          <w:b/>
          <w:bCs/>
        </w:rPr>
        <w:t xml:space="preserve"> şi conţinutul ambalajului</w:t>
      </w:r>
    </w:p>
    <w:p w:rsidR="00E10080" w:rsidRPr="000012B4" w:rsidRDefault="00E10080" w:rsidP="00E10080">
      <w:pPr>
        <w:tabs>
          <w:tab w:val="left" w:pos="567"/>
        </w:tabs>
      </w:pPr>
    </w:p>
    <w:p w:rsidR="00E10080" w:rsidRPr="000012B4" w:rsidRDefault="00E10080" w:rsidP="00E10080">
      <w:pPr>
        <w:tabs>
          <w:tab w:val="left" w:pos="567"/>
        </w:tabs>
        <w:jc w:val="both"/>
      </w:pPr>
      <w:r>
        <w:rPr>
          <w:rFonts w:eastAsia="Times New Roman"/>
        </w:rPr>
        <w:t>Nodriga</w:t>
      </w:r>
      <w:r w:rsidRPr="000012B4">
        <w:rPr>
          <w:rFonts w:eastAsia="Times New Roman"/>
        </w:rPr>
        <w:t xml:space="preserve"> 20 mg: comprimatul filmat este alb sau aproape alb, biconvex, rotund cu un diametru de aproximativ 5,6 mm, cu „D7SB” </w:t>
      </w:r>
      <w:r>
        <w:rPr>
          <w:rFonts w:eastAsia="Times New Roman"/>
        </w:rPr>
        <w:t>marcat</w:t>
      </w:r>
      <w:r w:rsidRPr="000012B4">
        <w:rPr>
          <w:rFonts w:eastAsia="Times New Roman"/>
        </w:rPr>
        <w:t xml:space="preserve"> pe o parte și „20” pe cealaltă parte.</w:t>
      </w:r>
    </w:p>
    <w:p w:rsidR="00E10080" w:rsidRPr="000012B4" w:rsidRDefault="00E10080" w:rsidP="00E10080">
      <w:pPr>
        <w:tabs>
          <w:tab w:val="left" w:pos="567"/>
        </w:tabs>
      </w:pPr>
    </w:p>
    <w:p w:rsidR="00E10080" w:rsidRPr="00C53E7A" w:rsidRDefault="00E10080" w:rsidP="00E10080">
      <w:pPr>
        <w:tabs>
          <w:tab w:val="left" w:pos="567"/>
        </w:tabs>
        <w:rPr>
          <w:highlight w:val="lightGray"/>
        </w:rPr>
      </w:pPr>
      <w:r w:rsidRPr="00C53E7A">
        <w:rPr>
          <w:rFonts w:eastAsia="Times New Roman"/>
          <w:highlight w:val="lightGray"/>
        </w:rPr>
        <w:t>Nodriga 50 mg: comprimatul filmat este alb sau aproape alb, biconvex, oval cu un diametru de aproximativ 11 mm și o lățime de aproximativ 6,0 mm , cu „D7SB” marcat pe o parte și „50” pe cealaltă parte.</w:t>
      </w:r>
    </w:p>
    <w:p w:rsidR="00E10080" w:rsidRPr="00C53E7A" w:rsidRDefault="00E10080" w:rsidP="00E10080">
      <w:pPr>
        <w:tabs>
          <w:tab w:val="left" w:pos="567"/>
        </w:tabs>
        <w:rPr>
          <w:highlight w:val="lightGray"/>
        </w:rPr>
      </w:pPr>
    </w:p>
    <w:p w:rsidR="00E10080" w:rsidRPr="00C53E7A" w:rsidRDefault="00E10080" w:rsidP="00E10080">
      <w:pPr>
        <w:tabs>
          <w:tab w:val="left" w:pos="567"/>
        </w:tabs>
        <w:jc w:val="both"/>
        <w:rPr>
          <w:highlight w:val="lightGray"/>
        </w:rPr>
      </w:pPr>
      <w:r w:rsidRPr="00C53E7A">
        <w:rPr>
          <w:rFonts w:eastAsia="Times New Roman"/>
          <w:highlight w:val="lightGray"/>
        </w:rPr>
        <w:t xml:space="preserve">Nodriga 70 mg: </w:t>
      </w:r>
      <w:bookmarkStart w:id="8" w:name="_Hlk76552482"/>
      <w:r w:rsidRPr="00C53E7A">
        <w:rPr>
          <w:rFonts w:eastAsia="Times New Roman"/>
          <w:highlight w:val="lightGray"/>
        </w:rPr>
        <w:t>comprimatul filmat este alb sau aproape alb, biconvex, rotund cu un diametru de aproximativ 9,1 mm, cu „D7SB” marcat pe o parte și „70” pe cealaltă parte.</w:t>
      </w:r>
      <w:bookmarkEnd w:id="8"/>
    </w:p>
    <w:p w:rsidR="00E10080" w:rsidRPr="00C53E7A" w:rsidRDefault="00E10080" w:rsidP="00E10080">
      <w:pPr>
        <w:tabs>
          <w:tab w:val="left" w:pos="567"/>
        </w:tabs>
        <w:rPr>
          <w:highlight w:val="lightGray"/>
        </w:rPr>
      </w:pPr>
    </w:p>
    <w:p w:rsidR="00E10080" w:rsidRPr="00C53E7A" w:rsidRDefault="00E10080" w:rsidP="00E10080">
      <w:pPr>
        <w:tabs>
          <w:tab w:val="left" w:pos="567"/>
        </w:tabs>
        <w:rPr>
          <w:highlight w:val="lightGray"/>
        </w:rPr>
      </w:pPr>
      <w:r w:rsidRPr="00C53E7A">
        <w:rPr>
          <w:rFonts w:eastAsia="Times New Roman"/>
          <w:highlight w:val="lightGray"/>
        </w:rPr>
        <w:t xml:space="preserve">Nodriga 100 mg: </w:t>
      </w:r>
      <w:bookmarkStart w:id="9" w:name="_Hlk76552495"/>
      <w:r w:rsidRPr="00C53E7A">
        <w:rPr>
          <w:rFonts w:eastAsia="Times New Roman"/>
          <w:highlight w:val="lightGray"/>
        </w:rPr>
        <w:t>comprimatul filmat este alb sau aproape alb, biconvex, oval cu un diametru de aproximativ 15,1 mm și o lățime de aproximativ 7,1 mm , cu „D7SB” marcat pe o parte și „100” pe cealaltă parte.</w:t>
      </w:r>
      <w:bookmarkEnd w:id="9"/>
    </w:p>
    <w:p w:rsidR="00E10080" w:rsidRPr="00C53E7A" w:rsidRDefault="00E10080" w:rsidP="00E10080">
      <w:pPr>
        <w:tabs>
          <w:tab w:val="left" w:pos="567"/>
        </w:tabs>
        <w:rPr>
          <w:highlight w:val="lightGray"/>
        </w:rPr>
      </w:pPr>
    </w:p>
    <w:p w:rsidR="00E10080" w:rsidRPr="000012B4" w:rsidRDefault="00E10080" w:rsidP="00E10080">
      <w:pPr>
        <w:tabs>
          <w:tab w:val="left" w:pos="567"/>
        </w:tabs>
      </w:pPr>
      <w:r w:rsidRPr="00C53E7A">
        <w:rPr>
          <w:rFonts w:eastAsia="Times New Roman"/>
          <w:highlight w:val="lightGray"/>
        </w:rPr>
        <w:t xml:space="preserve">Nodriga 140 mg: </w:t>
      </w:r>
      <w:bookmarkStart w:id="10" w:name="_Hlk76552512"/>
      <w:r w:rsidRPr="00C53E7A">
        <w:rPr>
          <w:rFonts w:eastAsia="Times New Roman"/>
          <w:highlight w:val="lightGray"/>
        </w:rPr>
        <w:t>comprimatul filmat este alb sau aproape alb, biconvex, rotund cu un diametru de aproximativ 11,7 mm, cu „D7SB” marcat pe o parte și „140” pe cealaltă parte</w:t>
      </w:r>
      <w:bookmarkEnd w:id="10"/>
      <w:r w:rsidRPr="00C53E7A">
        <w:rPr>
          <w:rFonts w:eastAsia="Times New Roman"/>
          <w:highlight w:val="lightGray"/>
        </w:rPr>
        <w:t>.</w:t>
      </w:r>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bookmarkStart w:id="11" w:name="_Hlk76554058"/>
      <w:r>
        <w:rPr>
          <w:rFonts w:eastAsia="Times New Roman"/>
        </w:rPr>
        <w:t>Nodriga</w:t>
      </w:r>
      <w:r w:rsidRPr="000012B4">
        <w:rPr>
          <w:rFonts w:eastAsia="Times New Roman"/>
        </w:rPr>
        <w:t xml:space="preserve"> 20 mg, 50 mg sau 70 mg comprimate filmate </w:t>
      </w:r>
      <w:bookmarkEnd w:id="11"/>
      <w:r w:rsidRPr="000012B4">
        <w:rPr>
          <w:rFonts w:eastAsia="Times New Roman"/>
        </w:rPr>
        <w:t xml:space="preserve">sunt disponibile în cutii care conțin </w:t>
      </w:r>
      <w:bookmarkStart w:id="12" w:name="_Hlk76554103"/>
      <w:r w:rsidRPr="000012B4">
        <w:rPr>
          <w:rFonts w:eastAsia="Times New Roman"/>
        </w:rPr>
        <w:t>60 comprimate filmate în blistere sau conținând 60 x 1 comprimate filmate în blistere cu unidoză.</w:t>
      </w:r>
    </w:p>
    <w:bookmarkEnd w:id="12"/>
    <w:p w:rsidR="00E10080" w:rsidRPr="000012B4" w:rsidRDefault="00E10080" w:rsidP="00E10080">
      <w:pPr>
        <w:tabs>
          <w:tab w:val="left" w:pos="567"/>
        </w:tabs>
      </w:pPr>
    </w:p>
    <w:p w:rsidR="00E10080" w:rsidRPr="00C53E7A" w:rsidRDefault="00E10080" w:rsidP="00E10080">
      <w:pPr>
        <w:tabs>
          <w:tab w:val="left" w:pos="567"/>
        </w:tabs>
        <w:rPr>
          <w:rFonts w:eastAsia="Times New Roman"/>
          <w:highlight w:val="lightGray"/>
        </w:rPr>
      </w:pPr>
      <w:bookmarkStart w:id="13" w:name="_Hlk76554112"/>
      <w:r w:rsidRPr="00C53E7A">
        <w:rPr>
          <w:rFonts w:eastAsia="Times New Roman"/>
          <w:highlight w:val="lightGray"/>
        </w:rPr>
        <w:t xml:space="preserve">Nodriga 100 mg comprimate filmate </w:t>
      </w:r>
      <w:bookmarkEnd w:id="13"/>
      <w:r w:rsidRPr="00C53E7A">
        <w:rPr>
          <w:rFonts w:eastAsia="Times New Roman"/>
          <w:highlight w:val="lightGray"/>
        </w:rPr>
        <w:t xml:space="preserve">sunt disponibile în cutii care conțin </w:t>
      </w:r>
      <w:bookmarkStart w:id="14" w:name="_Hlk76554135"/>
      <w:r w:rsidRPr="00C53E7A">
        <w:rPr>
          <w:rFonts w:eastAsia="Times New Roman"/>
          <w:highlight w:val="lightGray"/>
        </w:rPr>
        <w:t>30 comprimate filmate în blistere sau conținând 30 x 1 comprimate filmate în blistere cu unidoză.</w:t>
      </w:r>
      <w:bookmarkEnd w:id="14"/>
    </w:p>
    <w:p w:rsidR="00E10080" w:rsidRPr="00C53E7A" w:rsidRDefault="00E10080" w:rsidP="00E10080">
      <w:pPr>
        <w:tabs>
          <w:tab w:val="left" w:pos="567"/>
        </w:tabs>
        <w:rPr>
          <w:rFonts w:eastAsia="Times New Roman"/>
          <w:highlight w:val="lightGray"/>
        </w:rPr>
      </w:pPr>
    </w:p>
    <w:p w:rsidR="00E10080" w:rsidRPr="000012B4" w:rsidRDefault="00E10080" w:rsidP="00E10080">
      <w:pPr>
        <w:tabs>
          <w:tab w:val="left" w:pos="567"/>
        </w:tabs>
      </w:pPr>
      <w:bookmarkStart w:id="15" w:name="_Hlk76554146"/>
      <w:r w:rsidRPr="00C53E7A">
        <w:rPr>
          <w:rFonts w:eastAsia="Times New Roman"/>
          <w:highlight w:val="lightGray"/>
        </w:rPr>
        <w:t xml:space="preserve">Nodriga 140 mg comprimate filmate </w:t>
      </w:r>
      <w:bookmarkEnd w:id="15"/>
      <w:r w:rsidRPr="00C53E7A">
        <w:rPr>
          <w:rFonts w:eastAsia="Times New Roman"/>
          <w:highlight w:val="lightGray"/>
        </w:rPr>
        <w:t xml:space="preserve">sunt disponibile în cutii care conțin </w:t>
      </w:r>
      <w:bookmarkStart w:id="16" w:name="_Hlk76554161"/>
      <w:r w:rsidRPr="00C53E7A">
        <w:rPr>
          <w:rFonts w:eastAsia="Times New Roman"/>
          <w:highlight w:val="lightGray"/>
        </w:rPr>
        <w:t>30 comprimate filmate în blistere.</w:t>
      </w:r>
    </w:p>
    <w:bookmarkEnd w:id="16"/>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Este posibil ca nu toate mărimile de ambalaj să fie comercializate.</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Deţinătorul autorizaţiei de punere pe piaţă</w:t>
      </w:r>
      <w:r>
        <w:rPr>
          <w:rFonts w:eastAsia="Times New Roman"/>
          <w:b/>
          <w:bCs/>
        </w:rPr>
        <w:t xml:space="preserve"> şi fabricantul</w:t>
      </w:r>
    </w:p>
    <w:p w:rsidR="00E10080" w:rsidRPr="000012B4" w:rsidRDefault="00E10080" w:rsidP="00E10080">
      <w:pPr>
        <w:tabs>
          <w:tab w:val="left" w:pos="567"/>
        </w:tabs>
      </w:pPr>
    </w:p>
    <w:p w:rsidR="00E10080" w:rsidRPr="000012B4" w:rsidRDefault="00E10080" w:rsidP="00E10080">
      <w:pPr>
        <w:tabs>
          <w:tab w:val="left" w:pos="567"/>
        </w:tabs>
        <w:rPr>
          <w:rFonts w:eastAsia="Times New Roman"/>
          <w:b/>
          <w:bCs/>
        </w:rPr>
      </w:pPr>
      <w:bookmarkStart w:id="17" w:name="_Hlk76554180"/>
    </w:p>
    <w:p w:rsidR="00E10080" w:rsidRPr="000012B4" w:rsidRDefault="00E10080" w:rsidP="00E10080">
      <w:pPr>
        <w:tabs>
          <w:tab w:val="left" w:pos="567"/>
        </w:tabs>
        <w:rPr>
          <w:rFonts w:eastAsia="Times New Roman"/>
        </w:rPr>
      </w:pPr>
      <w:r w:rsidRPr="000012B4">
        <w:rPr>
          <w:rFonts w:eastAsia="Times New Roman"/>
          <w:b/>
          <w:bCs/>
        </w:rPr>
        <w:t xml:space="preserve">        </w:t>
      </w:r>
      <w:r w:rsidRPr="000012B4">
        <w:rPr>
          <w:rFonts w:eastAsia="Times New Roman"/>
        </w:rPr>
        <w:t xml:space="preserve">Alkaloid – INT d.o.o., </w:t>
      </w:r>
    </w:p>
    <w:p w:rsidR="00E10080" w:rsidRPr="000012B4" w:rsidRDefault="00E10080" w:rsidP="00E10080">
      <w:pPr>
        <w:tabs>
          <w:tab w:val="left" w:pos="567"/>
        </w:tabs>
        <w:rPr>
          <w:rFonts w:eastAsia="Times New Roman"/>
        </w:rPr>
      </w:pPr>
      <w:r w:rsidRPr="000012B4">
        <w:rPr>
          <w:rFonts w:eastAsia="Times New Roman"/>
        </w:rPr>
        <w:t xml:space="preserve">        Šlandrova ulica 4, 1231 Ljubljana – Črnuče, </w:t>
      </w:r>
    </w:p>
    <w:p w:rsidR="00E10080" w:rsidRPr="000012B4" w:rsidRDefault="00E10080" w:rsidP="00E10080">
      <w:pPr>
        <w:tabs>
          <w:tab w:val="left" w:pos="567"/>
        </w:tabs>
        <w:rPr>
          <w:rFonts w:eastAsia="Times New Roman"/>
        </w:rPr>
      </w:pPr>
      <w:r w:rsidRPr="000012B4">
        <w:rPr>
          <w:rFonts w:eastAsia="Times New Roman"/>
        </w:rPr>
        <w:t xml:space="preserve">        Slovenia</w:t>
      </w:r>
    </w:p>
    <w:p w:rsidR="00E10080" w:rsidRPr="000012B4" w:rsidRDefault="00E10080" w:rsidP="00E10080">
      <w:pPr>
        <w:tabs>
          <w:tab w:val="left" w:pos="567"/>
        </w:tabs>
        <w:rPr>
          <w:rFonts w:eastAsia="Times New Roman"/>
        </w:rPr>
      </w:pPr>
      <w:r w:rsidRPr="000012B4">
        <w:rPr>
          <w:rFonts w:eastAsia="Times New Roman"/>
        </w:rPr>
        <w:t xml:space="preserve">        </w:t>
      </w:r>
      <w:r>
        <w:rPr>
          <w:rFonts w:eastAsia="Times New Roman"/>
        </w:rPr>
        <w:t>t</w:t>
      </w:r>
      <w:r w:rsidRPr="000012B4">
        <w:rPr>
          <w:rFonts w:eastAsia="Times New Roman"/>
        </w:rPr>
        <w:t>el</w:t>
      </w:r>
      <w:r>
        <w:rPr>
          <w:rFonts w:eastAsia="Times New Roman"/>
        </w:rPr>
        <w:t>efon</w:t>
      </w:r>
      <w:r w:rsidRPr="000012B4">
        <w:rPr>
          <w:rFonts w:eastAsia="Times New Roman"/>
        </w:rPr>
        <w:t>: + 386 1 300 42 90</w:t>
      </w:r>
    </w:p>
    <w:p w:rsidR="00E10080" w:rsidRPr="000012B4" w:rsidRDefault="00E10080" w:rsidP="00E10080">
      <w:pPr>
        <w:tabs>
          <w:tab w:val="left" w:pos="567"/>
        </w:tabs>
        <w:rPr>
          <w:rFonts w:eastAsia="Times New Roman"/>
        </w:rPr>
      </w:pPr>
      <w:r w:rsidRPr="000012B4">
        <w:rPr>
          <w:rFonts w:eastAsia="Times New Roman"/>
        </w:rPr>
        <w:t xml:space="preserve">        </w:t>
      </w:r>
      <w:r>
        <w:rPr>
          <w:rFonts w:eastAsia="Times New Roman"/>
        </w:rPr>
        <w:t>f</w:t>
      </w:r>
      <w:r w:rsidRPr="000012B4">
        <w:rPr>
          <w:rFonts w:eastAsia="Times New Roman"/>
        </w:rPr>
        <w:t>ax: + 386 1 300 42 91</w:t>
      </w:r>
    </w:p>
    <w:p w:rsidR="00E10080" w:rsidRPr="000012B4" w:rsidRDefault="00E10080" w:rsidP="00E10080">
      <w:pPr>
        <w:tabs>
          <w:tab w:val="left" w:pos="567"/>
        </w:tabs>
      </w:pPr>
      <w:r w:rsidRPr="000012B4">
        <w:rPr>
          <w:rFonts w:eastAsia="Times New Roman"/>
        </w:rPr>
        <w:t xml:space="preserve">        e</w:t>
      </w:r>
      <w:r>
        <w:rPr>
          <w:rFonts w:eastAsia="Times New Roman"/>
        </w:rPr>
        <w:t>-</w:t>
      </w:r>
      <w:r w:rsidRPr="000012B4">
        <w:rPr>
          <w:rFonts w:eastAsia="Times New Roman"/>
        </w:rPr>
        <w:t>mail: info@alkaloid.si</w:t>
      </w:r>
    </w:p>
    <w:bookmarkEnd w:id="17"/>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spacing w:val="-1"/>
        </w:rPr>
        <w:t xml:space="preserve">Acest medicament este autorizat în </w:t>
      </w:r>
      <w:r>
        <w:rPr>
          <w:rFonts w:eastAsia="Times New Roman"/>
          <w:b/>
          <w:bCs/>
          <w:spacing w:val="-1"/>
        </w:rPr>
        <w:t>s</w:t>
      </w:r>
      <w:r w:rsidRPr="000012B4">
        <w:rPr>
          <w:rFonts w:eastAsia="Times New Roman"/>
          <w:b/>
          <w:bCs/>
          <w:spacing w:val="-1"/>
        </w:rPr>
        <w:t xml:space="preserve">tatele </w:t>
      </w:r>
      <w:r>
        <w:rPr>
          <w:rFonts w:eastAsia="Times New Roman"/>
          <w:b/>
          <w:bCs/>
          <w:spacing w:val="-1"/>
        </w:rPr>
        <w:t>m</w:t>
      </w:r>
      <w:r w:rsidRPr="000012B4">
        <w:rPr>
          <w:rFonts w:eastAsia="Times New Roman"/>
          <w:b/>
          <w:bCs/>
          <w:spacing w:val="-1"/>
        </w:rPr>
        <w:t>embre ale Spaț</w:t>
      </w:r>
      <w:r w:rsidR="00F22F90">
        <w:rPr>
          <w:rFonts w:eastAsia="Times New Roman"/>
          <w:b/>
          <w:bCs/>
          <w:spacing w:val="-1"/>
        </w:rPr>
        <w:t xml:space="preserve">iului Economic European sub </w:t>
      </w:r>
      <w:r w:rsidRPr="000012B4">
        <w:rPr>
          <w:rFonts w:eastAsia="Times New Roman"/>
          <w:b/>
          <w:bCs/>
          <w:spacing w:val="-1"/>
        </w:rPr>
        <w:t>următoarele denumiri comerciale:</w:t>
      </w:r>
    </w:p>
    <w:p w:rsidR="00E10080" w:rsidRPr="000012B4" w:rsidRDefault="00E10080" w:rsidP="00E10080">
      <w:pPr>
        <w:tabs>
          <w:tab w:val="left" w:pos="567"/>
        </w:tabs>
      </w:pPr>
    </w:p>
    <w:p w:rsidR="00E10080" w:rsidRPr="000012B4" w:rsidRDefault="00E10080" w:rsidP="00E10080">
      <w:pPr>
        <w:tabs>
          <w:tab w:val="left" w:pos="567"/>
        </w:tabs>
      </w:pPr>
    </w:p>
    <w:p w:rsidR="00E10080" w:rsidRDefault="00E10080" w:rsidP="00E10080">
      <w:pPr>
        <w:tabs>
          <w:tab w:val="left" w:pos="567"/>
        </w:tabs>
      </w:pPr>
      <w:r w:rsidRPr="000012B4">
        <w:rPr>
          <w:b/>
          <w:bCs/>
        </w:rPr>
        <w:t xml:space="preserve">Croatia </w:t>
      </w:r>
      <w:r w:rsidRPr="000012B4">
        <w:t xml:space="preserve">   </w:t>
      </w:r>
      <w:r w:rsidRPr="000012B4">
        <w:tab/>
      </w:r>
      <w:r w:rsidRPr="000012B4">
        <w:tab/>
      </w:r>
      <w:r w:rsidRPr="000012B4">
        <w:tab/>
      </w:r>
    </w:p>
    <w:p w:rsidR="00E10080" w:rsidRPr="000012B4" w:rsidRDefault="0068346B" w:rsidP="00E10080">
      <w:pPr>
        <w:tabs>
          <w:tab w:val="left" w:pos="567"/>
        </w:tabs>
      </w:pPr>
      <w:r>
        <w:t>Nodriga</w:t>
      </w:r>
      <w:r w:rsidR="00E10080" w:rsidRPr="000012B4">
        <w:t xml:space="preserve"> 20 mg filmom obložene tablete </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50 mg filmom obložene tablete</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70 mg filmom obložene tablete</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100 mg filmom obložene tablete</w:t>
      </w:r>
    </w:p>
    <w:p w:rsidR="00E10080" w:rsidRPr="000012B4" w:rsidRDefault="0068346B" w:rsidP="00E10080">
      <w:pPr>
        <w:tabs>
          <w:tab w:val="left" w:pos="567"/>
        </w:tabs>
      </w:pPr>
      <w:r w:rsidRPr="00C53E7A">
        <w:rPr>
          <w:highlight w:val="lightGray"/>
        </w:rPr>
        <w:t>Nodriga</w:t>
      </w:r>
      <w:r w:rsidRPr="00C53E7A">
        <w:rPr>
          <w:highlight w:val="lightGray"/>
          <w:lang w:val="mk-MK"/>
        </w:rPr>
        <w:t xml:space="preserve"> </w:t>
      </w:r>
      <w:r w:rsidR="00E10080" w:rsidRPr="00C53E7A">
        <w:rPr>
          <w:highlight w:val="lightGray"/>
        </w:rPr>
        <w:t>140 mg filmom obložene tablete</w:t>
      </w:r>
    </w:p>
    <w:p w:rsidR="00E10080" w:rsidRPr="000012B4" w:rsidRDefault="00E10080" w:rsidP="00E10080">
      <w:pPr>
        <w:tabs>
          <w:tab w:val="left" w:pos="567"/>
        </w:tabs>
      </w:pPr>
    </w:p>
    <w:p w:rsidR="00E10080" w:rsidRDefault="00E10080" w:rsidP="00E10080">
      <w:pPr>
        <w:tabs>
          <w:tab w:val="left" w:pos="567"/>
        </w:tabs>
      </w:pPr>
      <w:r w:rsidRPr="000012B4">
        <w:rPr>
          <w:b/>
          <w:bCs/>
        </w:rPr>
        <w:t xml:space="preserve">Bulgaria </w:t>
      </w:r>
      <w:r w:rsidRPr="000012B4">
        <w:t xml:space="preserve">                                    </w:t>
      </w:r>
    </w:p>
    <w:p w:rsidR="00E10080" w:rsidRPr="000012B4" w:rsidRDefault="0068346B" w:rsidP="00E10080">
      <w:pPr>
        <w:tabs>
          <w:tab w:val="left" w:pos="567"/>
        </w:tabs>
      </w:pPr>
      <w:r>
        <w:t xml:space="preserve">Nodriga </w:t>
      </w:r>
      <w:r w:rsidR="00E10080" w:rsidRPr="000012B4">
        <w:t>20 mg film-coated tablets/</w:t>
      </w:r>
    </w:p>
    <w:p w:rsidR="00E10080" w:rsidRPr="000012B4" w:rsidRDefault="0068346B" w:rsidP="00E10080">
      <w:pPr>
        <w:tabs>
          <w:tab w:val="left" w:pos="567"/>
        </w:tabs>
      </w:pPr>
      <w:r>
        <w:rPr>
          <w:lang w:val="mk-MK"/>
        </w:rPr>
        <w:t>Нодрига</w:t>
      </w:r>
      <w:r w:rsidR="00E10080" w:rsidRPr="000012B4">
        <w:t xml:space="preserve"> 20 mg филмирани таблетки</w:t>
      </w:r>
    </w:p>
    <w:p w:rsidR="00E10080" w:rsidRPr="000012B4" w:rsidRDefault="00E10080" w:rsidP="00E10080">
      <w:pPr>
        <w:tabs>
          <w:tab w:val="left" w:pos="567"/>
        </w:tabs>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50 mg film-coated tablets/</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50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70 mg film-coated tablets/</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70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100 mg film-coated tablets/ </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100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140 mg film-coated tablets/</w:t>
      </w:r>
    </w:p>
    <w:p w:rsidR="00E10080" w:rsidRPr="000012B4" w:rsidRDefault="0068346B" w:rsidP="00E10080">
      <w:pPr>
        <w:tabs>
          <w:tab w:val="left" w:pos="567"/>
        </w:tabs>
      </w:pPr>
      <w:r w:rsidRPr="00C53E7A">
        <w:rPr>
          <w:highlight w:val="lightGray"/>
          <w:lang w:val="mk-MK"/>
        </w:rPr>
        <w:t>Нодрига</w:t>
      </w:r>
      <w:r w:rsidR="00E10080" w:rsidRPr="00C53E7A">
        <w:rPr>
          <w:highlight w:val="lightGray"/>
        </w:rPr>
        <w:t xml:space="preserve"> 140 mg филмирани таблетки</w:t>
      </w:r>
    </w:p>
    <w:p w:rsidR="00E10080" w:rsidRPr="000012B4" w:rsidRDefault="00E10080" w:rsidP="00E10080">
      <w:pPr>
        <w:tabs>
          <w:tab w:val="left" w:pos="567"/>
        </w:tabs>
        <w:rPr>
          <w:b/>
          <w:bCs/>
        </w:rPr>
      </w:pPr>
    </w:p>
    <w:p w:rsidR="00E10080" w:rsidRDefault="00E10080" w:rsidP="00E10080">
      <w:pPr>
        <w:tabs>
          <w:tab w:val="left" w:pos="567"/>
        </w:tabs>
      </w:pPr>
      <w:r w:rsidRPr="000012B4">
        <w:rPr>
          <w:b/>
          <w:bCs/>
        </w:rPr>
        <w:t>Romania</w:t>
      </w:r>
      <w:r w:rsidRPr="000012B4">
        <w:t xml:space="preserve">                         </w:t>
      </w:r>
      <w:r w:rsidRPr="000012B4">
        <w:tab/>
      </w:r>
    </w:p>
    <w:p w:rsidR="00E10080" w:rsidRPr="000012B4" w:rsidRDefault="00E10080" w:rsidP="00E10080">
      <w:pPr>
        <w:tabs>
          <w:tab w:val="left" w:pos="567"/>
        </w:tabs>
      </w:pPr>
      <w:r>
        <w:t>Nodriga</w:t>
      </w:r>
      <w:r w:rsidRPr="000012B4">
        <w:t xml:space="preserve"> 20 mg comprimate filmate</w:t>
      </w:r>
    </w:p>
    <w:p w:rsidR="00E10080" w:rsidRPr="00C53E7A" w:rsidRDefault="00E10080" w:rsidP="00E10080">
      <w:pPr>
        <w:tabs>
          <w:tab w:val="left" w:pos="567"/>
        </w:tabs>
        <w:rPr>
          <w:highlight w:val="lightGray"/>
        </w:rPr>
      </w:pPr>
      <w:r w:rsidRPr="00C53E7A">
        <w:rPr>
          <w:highlight w:val="lightGray"/>
        </w:rPr>
        <w:t>Nodriga 50 mg comprimate filmate</w:t>
      </w:r>
    </w:p>
    <w:p w:rsidR="00E10080" w:rsidRPr="00C53E7A" w:rsidRDefault="00E10080" w:rsidP="00E10080">
      <w:pPr>
        <w:tabs>
          <w:tab w:val="left" w:pos="567"/>
        </w:tabs>
        <w:rPr>
          <w:highlight w:val="lightGray"/>
        </w:rPr>
      </w:pPr>
      <w:r w:rsidRPr="00C53E7A">
        <w:rPr>
          <w:highlight w:val="lightGray"/>
        </w:rPr>
        <w:t>Nodriga 70 mg comprimate filmate</w:t>
      </w:r>
    </w:p>
    <w:p w:rsidR="00E10080" w:rsidRPr="00C53E7A" w:rsidRDefault="00E10080" w:rsidP="00E10080">
      <w:pPr>
        <w:tabs>
          <w:tab w:val="left" w:pos="567"/>
        </w:tabs>
        <w:rPr>
          <w:highlight w:val="lightGray"/>
        </w:rPr>
      </w:pPr>
      <w:r w:rsidRPr="00C53E7A">
        <w:rPr>
          <w:highlight w:val="lightGray"/>
        </w:rPr>
        <w:t>Nodriga 100 mg comprimate filmate</w:t>
      </w:r>
    </w:p>
    <w:p w:rsidR="00E10080" w:rsidRPr="000012B4" w:rsidRDefault="00E10080" w:rsidP="00E10080">
      <w:pPr>
        <w:tabs>
          <w:tab w:val="left" w:pos="567"/>
        </w:tabs>
      </w:pPr>
      <w:r w:rsidRPr="00C53E7A">
        <w:rPr>
          <w:highlight w:val="lightGray"/>
        </w:rPr>
        <w:t>Nodriga 140 mg comprimate filmate</w:t>
      </w:r>
    </w:p>
    <w:p w:rsidR="00E10080" w:rsidRPr="000012B4" w:rsidRDefault="00E10080" w:rsidP="00E10080">
      <w:pPr>
        <w:tabs>
          <w:tab w:val="left" w:pos="567"/>
        </w:tabs>
      </w:pPr>
    </w:p>
    <w:p w:rsidR="00E10080" w:rsidRDefault="00E10080" w:rsidP="00E10080">
      <w:pPr>
        <w:tabs>
          <w:tab w:val="left" w:pos="567"/>
        </w:tabs>
      </w:pPr>
      <w:r w:rsidRPr="000012B4">
        <w:rPr>
          <w:b/>
          <w:bCs/>
        </w:rPr>
        <w:t>Slovenia</w:t>
      </w:r>
      <w:r w:rsidRPr="000012B4">
        <w:t xml:space="preserve">                              </w:t>
      </w:r>
      <w:r w:rsidRPr="000012B4">
        <w:tab/>
      </w:r>
    </w:p>
    <w:p w:rsidR="00E10080" w:rsidRPr="000012B4" w:rsidRDefault="0068346B" w:rsidP="00E10080">
      <w:pPr>
        <w:tabs>
          <w:tab w:val="left" w:pos="567"/>
        </w:tabs>
      </w:pPr>
      <w:r>
        <w:t xml:space="preserve">Nodriga </w:t>
      </w:r>
      <w:r w:rsidR="00E10080" w:rsidRPr="000012B4">
        <w:t>20 mg filmsko obložene tablete</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50 mg filmsko obložene tablete </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70 mg filmsko obložene tablete </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100 mg filmsko obložene tablete </w:t>
      </w:r>
    </w:p>
    <w:p w:rsidR="00E10080" w:rsidRPr="000012B4" w:rsidRDefault="0068346B" w:rsidP="00E10080">
      <w:pPr>
        <w:tabs>
          <w:tab w:val="left" w:pos="567"/>
        </w:tabs>
      </w:pPr>
      <w:r w:rsidRPr="00C53E7A">
        <w:rPr>
          <w:highlight w:val="lightGray"/>
        </w:rPr>
        <w:t xml:space="preserve">Nodriga </w:t>
      </w:r>
      <w:r w:rsidR="00E10080" w:rsidRPr="00C53E7A">
        <w:rPr>
          <w:highlight w:val="lightGray"/>
        </w:rPr>
        <w:t>140 mg filmsko obložene tablete</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spacing w:val="-1"/>
        </w:rPr>
        <w:t>Acest prospect a fost revizuit în</w:t>
      </w:r>
      <w:r>
        <w:rPr>
          <w:rFonts w:eastAsia="Times New Roman"/>
          <w:b/>
          <w:bCs/>
          <w:spacing w:val="-1"/>
        </w:rPr>
        <w:t xml:space="preserve"> </w:t>
      </w:r>
      <w:r w:rsidR="000C0DDE">
        <w:rPr>
          <w:rFonts w:eastAsia="Times New Roman"/>
          <w:b/>
          <w:bCs/>
          <w:spacing w:val="-1"/>
        </w:rPr>
        <w:t xml:space="preserve">Iulie </w:t>
      </w:r>
      <w:r>
        <w:rPr>
          <w:rFonts w:eastAsia="Times New Roman"/>
          <w:b/>
          <w:bCs/>
          <w:spacing w:val="-1"/>
        </w:rPr>
        <w:t>2022</w:t>
      </w:r>
    </w:p>
    <w:p w:rsidR="00E10080" w:rsidRPr="000012B4" w:rsidRDefault="00E10080" w:rsidP="00E10080">
      <w:pPr>
        <w:tabs>
          <w:tab w:val="left" w:pos="567"/>
        </w:tabs>
      </w:pPr>
    </w:p>
    <w:p w:rsidR="00E10080" w:rsidRPr="000012B4" w:rsidRDefault="00E10080" w:rsidP="00E10080">
      <w:pPr>
        <w:tabs>
          <w:tab w:val="left" w:pos="567"/>
        </w:tabs>
      </w:pPr>
    </w:p>
    <w:p w:rsidR="00610EBB" w:rsidRDefault="00610EBB"/>
    <w:sectPr w:rsidR="00610EBB" w:rsidSect="00D445B7">
      <w:type w:val="continuous"/>
      <w:pgSz w:w="12240" w:h="15840"/>
      <w:pgMar w:top="1134" w:right="1418" w:bottom="1134" w:left="1418" w:header="0" w:footer="0" w:gutter="0"/>
      <w:cols w:space="720" w:equalWidth="0">
        <w:col w:w="938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64F" w:rsidRDefault="00DC564F">
      <w:r>
        <w:separator/>
      </w:r>
    </w:p>
  </w:endnote>
  <w:endnote w:type="continuationSeparator" w:id="0">
    <w:p w:rsidR="00DC564F" w:rsidRDefault="00DC564F">
      <w:r>
        <w:continuationSeparator/>
      </w:r>
    </w:p>
  </w:endnote>
  <w:endnote w:type="continuationNotice" w:id="1">
    <w:p w:rsidR="00DC564F" w:rsidRDefault="00DC5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80146"/>
      <w:docPartObj>
        <w:docPartGallery w:val="Page Numbers (Bottom of Page)"/>
        <w:docPartUnique/>
      </w:docPartObj>
    </w:sdtPr>
    <w:sdtEndPr>
      <w:rPr>
        <w:noProof/>
      </w:rPr>
    </w:sdtEndPr>
    <w:sdtContent>
      <w:p w:rsidR="000012B4" w:rsidRPr="00D445B7" w:rsidRDefault="00E10080">
        <w:pPr>
          <w:pStyle w:val="Footer"/>
          <w:jc w:val="center"/>
          <w:rPr>
            <w:sz w:val="20"/>
            <w:szCs w:val="20"/>
          </w:rPr>
        </w:pPr>
        <w:r w:rsidRPr="00D445B7">
          <w:rPr>
            <w:sz w:val="20"/>
            <w:szCs w:val="20"/>
          </w:rPr>
          <w:fldChar w:fldCharType="begin"/>
        </w:r>
        <w:r w:rsidRPr="00D445B7">
          <w:rPr>
            <w:sz w:val="20"/>
            <w:szCs w:val="20"/>
          </w:rPr>
          <w:instrText xml:space="preserve"> PAGE   \* MERGEFORMAT </w:instrText>
        </w:r>
        <w:r w:rsidRPr="00D445B7">
          <w:rPr>
            <w:sz w:val="20"/>
            <w:szCs w:val="20"/>
          </w:rPr>
          <w:fldChar w:fldCharType="separate"/>
        </w:r>
        <w:r w:rsidR="00FF6E1A">
          <w:rPr>
            <w:noProof/>
            <w:sz w:val="20"/>
            <w:szCs w:val="20"/>
          </w:rPr>
          <w:t>1</w:t>
        </w:r>
        <w:r w:rsidRPr="00D445B7">
          <w:rPr>
            <w:noProof/>
            <w:sz w:val="20"/>
            <w:szCs w:val="20"/>
          </w:rPr>
          <w:fldChar w:fldCharType="end"/>
        </w:r>
      </w:p>
    </w:sdtContent>
  </w:sdt>
  <w:p w:rsidR="000012B4" w:rsidRDefault="00DC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64F" w:rsidRDefault="00DC564F">
      <w:r>
        <w:separator/>
      </w:r>
    </w:p>
  </w:footnote>
  <w:footnote w:type="continuationSeparator" w:id="0">
    <w:p w:rsidR="00DC564F" w:rsidRDefault="00DC564F">
      <w:r>
        <w:continuationSeparator/>
      </w:r>
    </w:p>
  </w:footnote>
  <w:footnote w:type="continuationNotice" w:id="1">
    <w:p w:rsidR="00DC564F" w:rsidRDefault="00DC56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54" w:rsidRDefault="00BE0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A31"/>
    <w:multiLevelType w:val="hybridMultilevel"/>
    <w:tmpl w:val="6CBC0064"/>
    <w:lvl w:ilvl="0" w:tplc="5948BB40">
      <w:start w:val="3"/>
      <w:numFmt w:val="decimal"/>
      <w:lvlText w:val="%1."/>
      <w:lvlJc w:val="left"/>
    </w:lvl>
    <w:lvl w:ilvl="1" w:tplc="218449A4">
      <w:numFmt w:val="decimal"/>
      <w:lvlText w:val=""/>
      <w:lvlJc w:val="left"/>
    </w:lvl>
    <w:lvl w:ilvl="2" w:tplc="9FBC857C">
      <w:numFmt w:val="decimal"/>
      <w:lvlText w:val=""/>
      <w:lvlJc w:val="left"/>
    </w:lvl>
    <w:lvl w:ilvl="3" w:tplc="7272E7C4">
      <w:numFmt w:val="decimal"/>
      <w:lvlText w:val=""/>
      <w:lvlJc w:val="left"/>
    </w:lvl>
    <w:lvl w:ilvl="4" w:tplc="07908C84">
      <w:numFmt w:val="decimal"/>
      <w:lvlText w:val=""/>
      <w:lvlJc w:val="left"/>
    </w:lvl>
    <w:lvl w:ilvl="5" w:tplc="076C21FE">
      <w:numFmt w:val="decimal"/>
      <w:lvlText w:val=""/>
      <w:lvlJc w:val="left"/>
    </w:lvl>
    <w:lvl w:ilvl="6" w:tplc="7E2269F8">
      <w:numFmt w:val="decimal"/>
      <w:lvlText w:val=""/>
      <w:lvlJc w:val="left"/>
    </w:lvl>
    <w:lvl w:ilvl="7" w:tplc="ED02116A">
      <w:numFmt w:val="decimal"/>
      <w:lvlText w:val=""/>
      <w:lvlJc w:val="left"/>
    </w:lvl>
    <w:lvl w:ilvl="8" w:tplc="7118497A">
      <w:numFmt w:val="decimal"/>
      <w:lvlText w:val=""/>
      <w:lvlJc w:val="left"/>
    </w:lvl>
  </w:abstractNum>
  <w:abstractNum w:abstractNumId="1" w15:restartNumberingAfterBreak="0">
    <w:nsid w:val="0C9A11F5"/>
    <w:multiLevelType w:val="hybridMultilevel"/>
    <w:tmpl w:val="9E5247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03BCC"/>
    <w:multiLevelType w:val="hybridMultilevel"/>
    <w:tmpl w:val="67B27B26"/>
    <w:lvl w:ilvl="0" w:tplc="7EB69A5E">
      <w:start w:val="5"/>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4744A3E"/>
    <w:multiLevelType w:val="hybridMultilevel"/>
    <w:tmpl w:val="D3F04250"/>
    <w:lvl w:ilvl="0" w:tplc="7EB69A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3625"/>
    <w:multiLevelType w:val="hybridMultilevel"/>
    <w:tmpl w:val="277063C4"/>
    <w:lvl w:ilvl="0" w:tplc="D892E832">
      <w:start w:val="5"/>
      <w:numFmt w:val="decimal"/>
      <w:lvlText w:val="%1."/>
      <w:lvlJc w:val="left"/>
    </w:lvl>
    <w:lvl w:ilvl="1" w:tplc="6AFA8566">
      <w:numFmt w:val="decimal"/>
      <w:lvlText w:val=""/>
      <w:lvlJc w:val="left"/>
    </w:lvl>
    <w:lvl w:ilvl="2" w:tplc="23A2691A">
      <w:numFmt w:val="decimal"/>
      <w:lvlText w:val=""/>
      <w:lvlJc w:val="left"/>
    </w:lvl>
    <w:lvl w:ilvl="3" w:tplc="7C8EDB84">
      <w:numFmt w:val="decimal"/>
      <w:lvlText w:val=""/>
      <w:lvlJc w:val="left"/>
    </w:lvl>
    <w:lvl w:ilvl="4" w:tplc="1560847C">
      <w:numFmt w:val="decimal"/>
      <w:lvlText w:val=""/>
      <w:lvlJc w:val="left"/>
    </w:lvl>
    <w:lvl w:ilvl="5" w:tplc="18E8EDF0">
      <w:numFmt w:val="decimal"/>
      <w:lvlText w:val=""/>
      <w:lvlJc w:val="left"/>
    </w:lvl>
    <w:lvl w:ilvl="6" w:tplc="8E3C3B98">
      <w:numFmt w:val="decimal"/>
      <w:lvlText w:val=""/>
      <w:lvlJc w:val="left"/>
    </w:lvl>
    <w:lvl w:ilvl="7" w:tplc="A508C77E">
      <w:numFmt w:val="decimal"/>
      <w:lvlText w:val=""/>
      <w:lvlJc w:val="left"/>
    </w:lvl>
    <w:lvl w:ilvl="8" w:tplc="C4ACA89A">
      <w:numFmt w:val="decimal"/>
      <w:lvlText w:val=""/>
      <w:lvlJc w:val="left"/>
    </w:lvl>
  </w:abstractNum>
  <w:abstractNum w:abstractNumId="5" w15:restartNumberingAfterBreak="0">
    <w:nsid w:val="1CB75952"/>
    <w:multiLevelType w:val="hybridMultilevel"/>
    <w:tmpl w:val="FC76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B8B53"/>
    <w:multiLevelType w:val="hybridMultilevel"/>
    <w:tmpl w:val="E91A2E18"/>
    <w:lvl w:ilvl="0" w:tplc="D3502BF8">
      <w:start w:val="2"/>
      <w:numFmt w:val="decimal"/>
      <w:lvlText w:val="%1."/>
      <w:lvlJc w:val="left"/>
    </w:lvl>
    <w:lvl w:ilvl="1" w:tplc="34B6B770">
      <w:numFmt w:val="decimal"/>
      <w:lvlText w:val=""/>
      <w:lvlJc w:val="left"/>
    </w:lvl>
    <w:lvl w:ilvl="2" w:tplc="E0084996">
      <w:numFmt w:val="decimal"/>
      <w:lvlText w:val=""/>
      <w:lvlJc w:val="left"/>
    </w:lvl>
    <w:lvl w:ilvl="3" w:tplc="8B7CB3A6">
      <w:numFmt w:val="decimal"/>
      <w:lvlText w:val=""/>
      <w:lvlJc w:val="left"/>
    </w:lvl>
    <w:lvl w:ilvl="4" w:tplc="9BC0C222">
      <w:numFmt w:val="decimal"/>
      <w:lvlText w:val=""/>
      <w:lvlJc w:val="left"/>
    </w:lvl>
    <w:lvl w:ilvl="5" w:tplc="0C36F3E6">
      <w:numFmt w:val="decimal"/>
      <w:lvlText w:val=""/>
      <w:lvlJc w:val="left"/>
    </w:lvl>
    <w:lvl w:ilvl="6" w:tplc="8564DC24">
      <w:numFmt w:val="decimal"/>
      <w:lvlText w:val=""/>
      <w:lvlJc w:val="left"/>
    </w:lvl>
    <w:lvl w:ilvl="7" w:tplc="D9E4C1F4">
      <w:numFmt w:val="decimal"/>
      <w:lvlText w:val=""/>
      <w:lvlJc w:val="left"/>
    </w:lvl>
    <w:lvl w:ilvl="8" w:tplc="681C864C">
      <w:numFmt w:val="decimal"/>
      <w:lvlText w:val=""/>
      <w:lvlJc w:val="left"/>
    </w:lvl>
  </w:abstractNum>
  <w:abstractNum w:abstractNumId="7" w15:restartNumberingAfterBreak="0">
    <w:nsid w:val="3CA88ECF"/>
    <w:multiLevelType w:val="hybridMultilevel"/>
    <w:tmpl w:val="8DC69056"/>
    <w:lvl w:ilvl="0" w:tplc="D20A5ADE">
      <w:start w:val="6"/>
      <w:numFmt w:val="decimal"/>
      <w:lvlText w:val="%1."/>
      <w:lvlJc w:val="left"/>
    </w:lvl>
    <w:lvl w:ilvl="1" w:tplc="6FD6DD74">
      <w:numFmt w:val="decimal"/>
      <w:lvlText w:val=""/>
      <w:lvlJc w:val="left"/>
    </w:lvl>
    <w:lvl w:ilvl="2" w:tplc="36FA9F28">
      <w:numFmt w:val="decimal"/>
      <w:lvlText w:val=""/>
      <w:lvlJc w:val="left"/>
    </w:lvl>
    <w:lvl w:ilvl="3" w:tplc="6C42BA66">
      <w:numFmt w:val="decimal"/>
      <w:lvlText w:val=""/>
      <w:lvlJc w:val="left"/>
    </w:lvl>
    <w:lvl w:ilvl="4" w:tplc="76A6206E">
      <w:numFmt w:val="decimal"/>
      <w:lvlText w:val=""/>
      <w:lvlJc w:val="left"/>
    </w:lvl>
    <w:lvl w:ilvl="5" w:tplc="7F80DC86">
      <w:numFmt w:val="decimal"/>
      <w:lvlText w:val=""/>
      <w:lvlJc w:val="left"/>
    </w:lvl>
    <w:lvl w:ilvl="6" w:tplc="A526171E">
      <w:numFmt w:val="decimal"/>
      <w:lvlText w:val=""/>
      <w:lvlJc w:val="left"/>
    </w:lvl>
    <w:lvl w:ilvl="7" w:tplc="59128042">
      <w:numFmt w:val="decimal"/>
      <w:lvlText w:val=""/>
      <w:lvlJc w:val="left"/>
    </w:lvl>
    <w:lvl w:ilvl="8" w:tplc="C0D2B5AC">
      <w:numFmt w:val="decimal"/>
      <w:lvlText w:val=""/>
      <w:lvlJc w:val="left"/>
    </w:lvl>
  </w:abstractNum>
  <w:abstractNum w:abstractNumId="8" w15:restartNumberingAfterBreak="0">
    <w:nsid w:val="47361BF7"/>
    <w:multiLevelType w:val="hybridMultilevel"/>
    <w:tmpl w:val="DB7A8E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1BF6B48"/>
    <w:multiLevelType w:val="hybridMultilevel"/>
    <w:tmpl w:val="1D8ABC42"/>
    <w:lvl w:ilvl="0" w:tplc="B2448A1C">
      <w:start w:val="1"/>
      <w:numFmt w:val="decimal"/>
      <w:lvlText w:val="%1."/>
      <w:lvlJc w:val="left"/>
    </w:lvl>
    <w:lvl w:ilvl="1" w:tplc="E87220AE">
      <w:numFmt w:val="decimal"/>
      <w:lvlText w:val=""/>
      <w:lvlJc w:val="left"/>
    </w:lvl>
    <w:lvl w:ilvl="2" w:tplc="FF88BF28">
      <w:numFmt w:val="decimal"/>
      <w:lvlText w:val=""/>
      <w:lvlJc w:val="left"/>
    </w:lvl>
    <w:lvl w:ilvl="3" w:tplc="02E44CE0">
      <w:numFmt w:val="decimal"/>
      <w:lvlText w:val=""/>
      <w:lvlJc w:val="left"/>
    </w:lvl>
    <w:lvl w:ilvl="4" w:tplc="C72A4F54">
      <w:numFmt w:val="decimal"/>
      <w:lvlText w:val=""/>
      <w:lvlJc w:val="left"/>
    </w:lvl>
    <w:lvl w:ilvl="5" w:tplc="BA04CD06">
      <w:numFmt w:val="decimal"/>
      <w:lvlText w:val=""/>
      <w:lvlJc w:val="left"/>
    </w:lvl>
    <w:lvl w:ilvl="6" w:tplc="08C254E8">
      <w:numFmt w:val="decimal"/>
      <w:lvlText w:val=""/>
      <w:lvlJc w:val="left"/>
    </w:lvl>
    <w:lvl w:ilvl="7" w:tplc="B6AC8B3A">
      <w:numFmt w:val="decimal"/>
      <w:lvlText w:val=""/>
      <w:lvlJc w:val="left"/>
    </w:lvl>
    <w:lvl w:ilvl="8" w:tplc="ABCC5250">
      <w:numFmt w:val="decimal"/>
      <w:lvlText w:val=""/>
      <w:lvlJc w:val="left"/>
    </w:lvl>
  </w:abstractNum>
  <w:abstractNum w:abstractNumId="10" w15:restartNumberingAfterBreak="0">
    <w:nsid w:val="54074DE5"/>
    <w:multiLevelType w:val="hybridMultilevel"/>
    <w:tmpl w:val="30E897F2"/>
    <w:lvl w:ilvl="0" w:tplc="7EB69A5E">
      <w:start w:val="5"/>
      <w:numFmt w:val="bullet"/>
      <w:lvlText w:val="-"/>
      <w:lvlJc w:val="left"/>
      <w:rPr>
        <w:rFonts w:ascii="Times New Roman" w:eastAsia="Times New Roman" w:hAnsi="Times New Roman" w:cs="Times New Roman" w:hint="default"/>
      </w:rPr>
    </w:lvl>
    <w:lvl w:ilvl="1" w:tplc="BCF45778">
      <w:numFmt w:val="decimal"/>
      <w:lvlText w:val=""/>
      <w:lvlJc w:val="left"/>
    </w:lvl>
    <w:lvl w:ilvl="2" w:tplc="1696C15E">
      <w:numFmt w:val="decimal"/>
      <w:lvlText w:val=""/>
      <w:lvlJc w:val="left"/>
    </w:lvl>
    <w:lvl w:ilvl="3" w:tplc="EDB616F8">
      <w:numFmt w:val="decimal"/>
      <w:lvlText w:val=""/>
      <w:lvlJc w:val="left"/>
    </w:lvl>
    <w:lvl w:ilvl="4" w:tplc="6D086790">
      <w:numFmt w:val="decimal"/>
      <w:lvlText w:val=""/>
      <w:lvlJc w:val="left"/>
    </w:lvl>
    <w:lvl w:ilvl="5" w:tplc="8EA4D416">
      <w:numFmt w:val="decimal"/>
      <w:lvlText w:val=""/>
      <w:lvlJc w:val="left"/>
    </w:lvl>
    <w:lvl w:ilvl="6" w:tplc="04CEA080">
      <w:numFmt w:val="decimal"/>
      <w:lvlText w:val=""/>
      <w:lvlJc w:val="left"/>
    </w:lvl>
    <w:lvl w:ilvl="7" w:tplc="DDF23FC2">
      <w:numFmt w:val="decimal"/>
      <w:lvlText w:val=""/>
      <w:lvlJc w:val="left"/>
    </w:lvl>
    <w:lvl w:ilvl="8" w:tplc="84E23910">
      <w:numFmt w:val="decimal"/>
      <w:lvlText w:val=""/>
      <w:lvlJc w:val="left"/>
    </w:lvl>
  </w:abstractNum>
  <w:abstractNum w:abstractNumId="11" w15:restartNumberingAfterBreak="0">
    <w:nsid w:val="55B36DC0"/>
    <w:multiLevelType w:val="hybridMultilevel"/>
    <w:tmpl w:val="A63C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A554D"/>
    <w:multiLevelType w:val="hybridMultilevel"/>
    <w:tmpl w:val="104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F1690"/>
    <w:multiLevelType w:val="hybridMultilevel"/>
    <w:tmpl w:val="77D46A8A"/>
    <w:lvl w:ilvl="0" w:tplc="8B1C28D8">
      <w:start w:val="4"/>
      <w:numFmt w:val="decimal"/>
      <w:lvlText w:val="%1."/>
      <w:lvlJc w:val="left"/>
    </w:lvl>
    <w:lvl w:ilvl="1" w:tplc="47E8F41E">
      <w:numFmt w:val="decimal"/>
      <w:lvlText w:val=""/>
      <w:lvlJc w:val="left"/>
    </w:lvl>
    <w:lvl w:ilvl="2" w:tplc="BFD4C92E">
      <w:numFmt w:val="decimal"/>
      <w:lvlText w:val=""/>
      <w:lvlJc w:val="left"/>
    </w:lvl>
    <w:lvl w:ilvl="3" w:tplc="81FACC42">
      <w:numFmt w:val="decimal"/>
      <w:lvlText w:val=""/>
      <w:lvlJc w:val="left"/>
    </w:lvl>
    <w:lvl w:ilvl="4" w:tplc="8B90BD86">
      <w:numFmt w:val="decimal"/>
      <w:lvlText w:val=""/>
      <w:lvlJc w:val="left"/>
    </w:lvl>
    <w:lvl w:ilvl="5" w:tplc="433011B6">
      <w:numFmt w:val="decimal"/>
      <w:lvlText w:val=""/>
      <w:lvlJc w:val="left"/>
    </w:lvl>
    <w:lvl w:ilvl="6" w:tplc="C41A8DD4">
      <w:numFmt w:val="decimal"/>
      <w:lvlText w:val=""/>
      <w:lvlJc w:val="left"/>
    </w:lvl>
    <w:lvl w:ilvl="7" w:tplc="A2588CAC">
      <w:numFmt w:val="decimal"/>
      <w:lvlText w:val=""/>
      <w:lvlJc w:val="left"/>
    </w:lvl>
    <w:lvl w:ilvl="8" w:tplc="21368B8A">
      <w:numFmt w:val="decimal"/>
      <w:lvlText w:val=""/>
      <w:lvlJc w:val="left"/>
    </w:lvl>
  </w:abstractNum>
  <w:abstractNum w:abstractNumId="14" w15:restartNumberingAfterBreak="0">
    <w:nsid w:val="64429599"/>
    <w:multiLevelType w:val="hybridMultilevel"/>
    <w:tmpl w:val="2A403918"/>
    <w:lvl w:ilvl="0" w:tplc="A86A8DAA">
      <w:start w:val="1"/>
      <w:numFmt w:val="bullet"/>
      <w:lvlText w:val="a"/>
      <w:lvlJc w:val="left"/>
    </w:lvl>
    <w:lvl w:ilvl="1" w:tplc="503C69C6">
      <w:numFmt w:val="decimal"/>
      <w:lvlText w:val=""/>
      <w:lvlJc w:val="left"/>
    </w:lvl>
    <w:lvl w:ilvl="2" w:tplc="4B5EB760">
      <w:numFmt w:val="decimal"/>
      <w:lvlText w:val=""/>
      <w:lvlJc w:val="left"/>
    </w:lvl>
    <w:lvl w:ilvl="3" w:tplc="8DE2B2C4">
      <w:numFmt w:val="decimal"/>
      <w:lvlText w:val=""/>
      <w:lvlJc w:val="left"/>
    </w:lvl>
    <w:lvl w:ilvl="4" w:tplc="84227C04">
      <w:numFmt w:val="decimal"/>
      <w:lvlText w:val=""/>
      <w:lvlJc w:val="left"/>
    </w:lvl>
    <w:lvl w:ilvl="5" w:tplc="2C0A01D0">
      <w:numFmt w:val="decimal"/>
      <w:lvlText w:val=""/>
      <w:lvlJc w:val="left"/>
    </w:lvl>
    <w:lvl w:ilvl="6" w:tplc="C6ECD638">
      <w:numFmt w:val="decimal"/>
      <w:lvlText w:val=""/>
      <w:lvlJc w:val="left"/>
    </w:lvl>
    <w:lvl w:ilvl="7" w:tplc="D23A9640">
      <w:numFmt w:val="decimal"/>
      <w:lvlText w:val=""/>
      <w:lvlJc w:val="left"/>
    </w:lvl>
    <w:lvl w:ilvl="8" w:tplc="B6AC7C1A">
      <w:numFmt w:val="decimal"/>
      <w:lvlText w:val=""/>
      <w:lvlJc w:val="left"/>
    </w:lvl>
  </w:abstractNum>
  <w:abstractNum w:abstractNumId="15" w15:restartNumberingAfterBreak="0">
    <w:nsid w:val="6F5434F9"/>
    <w:multiLevelType w:val="hybridMultilevel"/>
    <w:tmpl w:val="1B5CF3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6" w15:restartNumberingAfterBreak="0">
    <w:nsid w:val="73BE0431"/>
    <w:multiLevelType w:val="hybridMultilevel"/>
    <w:tmpl w:val="1302AB3C"/>
    <w:lvl w:ilvl="0" w:tplc="7EB69A5E">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E0F6384"/>
    <w:multiLevelType w:val="hybridMultilevel"/>
    <w:tmpl w:val="2428740A"/>
    <w:lvl w:ilvl="0" w:tplc="3EE67D14">
      <w:start w:val="1"/>
      <w:numFmt w:val="decimal"/>
      <w:lvlText w:val="%1."/>
      <w:lvlJc w:val="left"/>
    </w:lvl>
    <w:lvl w:ilvl="1" w:tplc="E528BB46">
      <w:numFmt w:val="decimal"/>
      <w:lvlText w:val=""/>
      <w:lvlJc w:val="left"/>
    </w:lvl>
    <w:lvl w:ilvl="2" w:tplc="F470FBC4">
      <w:numFmt w:val="decimal"/>
      <w:lvlText w:val=""/>
      <w:lvlJc w:val="left"/>
    </w:lvl>
    <w:lvl w:ilvl="3" w:tplc="396659FC">
      <w:numFmt w:val="decimal"/>
      <w:lvlText w:val=""/>
      <w:lvlJc w:val="left"/>
    </w:lvl>
    <w:lvl w:ilvl="4" w:tplc="7868A93E">
      <w:numFmt w:val="decimal"/>
      <w:lvlText w:val=""/>
      <w:lvlJc w:val="left"/>
    </w:lvl>
    <w:lvl w:ilvl="5" w:tplc="1DD49462">
      <w:numFmt w:val="decimal"/>
      <w:lvlText w:val=""/>
      <w:lvlJc w:val="left"/>
    </w:lvl>
    <w:lvl w:ilvl="6" w:tplc="0E52D556">
      <w:numFmt w:val="decimal"/>
      <w:lvlText w:val=""/>
      <w:lvlJc w:val="left"/>
    </w:lvl>
    <w:lvl w:ilvl="7" w:tplc="FE0CC298">
      <w:numFmt w:val="decimal"/>
      <w:lvlText w:val=""/>
      <w:lvlJc w:val="left"/>
    </w:lvl>
    <w:lvl w:ilvl="8" w:tplc="E396831A">
      <w:numFmt w:val="decimal"/>
      <w:lvlText w:val=""/>
      <w:lvlJc w:val="left"/>
    </w:lvl>
  </w:abstractNum>
  <w:num w:numId="1">
    <w:abstractNumId w:val="9"/>
  </w:num>
  <w:num w:numId="2">
    <w:abstractNumId w:val="17"/>
  </w:num>
  <w:num w:numId="3">
    <w:abstractNumId w:val="6"/>
  </w:num>
  <w:num w:numId="4">
    <w:abstractNumId w:val="0"/>
  </w:num>
  <w:num w:numId="5">
    <w:abstractNumId w:val="14"/>
  </w:num>
  <w:num w:numId="6">
    <w:abstractNumId w:val="13"/>
  </w:num>
  <w:num w:numId="7">
    <w:abstractNumId w:val="4"/>
  </w:num>
  <w:num w:numId="8">
    <w:abstractNumId w:val="7"/>
  </w:num>
  <w:num w:numId="9">
    <w:abstractNumId w:val="5"/>
  </w:num>
  <w:num w:numId="10">
    <w:abstractNumId w:val="1"/>
  </w:num>
  <w:num w:numId="11">
    <w:abstractNumId w:val="11"/>
  </w:num>
  <w:num w:numId="12">
    <w:abstractNumId w:val="12"/>
  </w:num>
  <w:num w:numId="13">
    <w:abstractNumId w:val="8"/>
  </w:num>
  <w:num w:numId="14">
    <w:abstractNumId w:val="15"/>
  </w:num>
  <w:num w:numId="15">
    <w:abstractNumId w:val="3"/>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CA"/>
    <w:rsid w:val="0007197F"/>
    <w:rsid w:val="000C0DDE"/>
    <w:rsid w:val="000D148C"/>
    <w:rsid w:val="001A61DE"/>
    <w:rsid w:val="001F5683"/>
    <w:rsid w:val="00426ACA"/>
    <w:rsid w:val="004D5D84"/>
    <w:rsid w:val="004F6FD0"/>
    <w:rsid w:val="00610EBB"/>
    <w:rsid w:val="006607A0"/>
    <w:rsid w:val="0068346B"/>
    <w:rsid w:val="00692B35"/>
    <w:rsid w:val="006B295B"/>
    <w:rsid w:val="006B2F79"/>
    <w:rsid w:val="00734BAC"/>
    <w:rsid w:val="007577E0"/>
    <w:rsid w:val="008C43C4"/>
    <w:rsid w:val="00985A86"/>
    <w:rsid w:val="009B7426"/>
    <w:rsid w:val="00AC7F7F"/>
    <w:rsid w:val="00B130F9"/>
    <w:rsid w:val="00B34D2B"/>
    <w:rsid w:val="00BA04EF"/>
    <w:rsid w:val="00BE0F54"/>
    <w:rsid w:val="00C53E7A"/>
    <w:rsid w:val="00C61C9E"/>
    <w:rsid w:val="00DC564F"/>
    <w:rsid w:val="00DD7F71"/>
    <w:rsid w:val="00DE0409"/>
    <w:rsid w:val="00E10080"/>
    <w:rsid w:val="00E207EE"/>
    <w:rsid w:val="00EB0B86"/>
    <w:rsid w:val="00EB231F"/>
    <w:rsid w:val="00EB5776"/>
    <w:rsid w:val="00EE3804"/>
    <w:rsid w:val="00F22F90"/>
    <w:rsid w:val="00F61A22"/>
    <w:rsid w:val="00FA0D67"/>
    <w:rsid w:val="00FA2777"/>
    <w:rsid w:val="00FA3994"/>
    <w:rsid w:val="00FC613F"/>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D00"/>
  <w15:chartTrackingRefBased/>
  <w15:docId w15:val="{056D4FA3-132E-47A8-98DA-E8D7C287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80"/>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0080"/>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E10080"/>
    <w:rPr>
      <w:rFonts w:ascii="Calibri" w:eastAsia="Calibri" w:hAnsi="Calibri" w:cs="Times New Roman"/>
      <w:lang w:val="ro-RO"/>
    </w:rPr>
  </w:style>
  <w:style w:type="paragraph" w:styleId="ListParagraph">
    <w:name w:val="List Paragraph"/>
    <w:basedOn w:val="Normal"/>
    <w:uiPriority w:val="34"/>
    <w:qFormat/>
    <w:rsid w:val="00E10080"/>
    <w:pPr>
      <w:ind w:left="720"/>
      <w:contextualSpacing/>
    </w:pPr>
  </w:style>
  <w:style w:type="paragraph" w:styleId="Footer">
    <w:name w:val="footer"/>
    <w:basedOn w:val="Normal"/>
    <w:link w:val="FooterChar"/>
    <w:uiPriority w:val="99"/>
    <w:unhideWhenUsed/>
    <w:rsid w:val="00E10080"/>
    <w:pPr>
      <w:tabs>
        <w:tab w:val="center" w:pos="4680"/>
        <w:tab w:val="right" w:pos="9360"/>
      </w:tabs>
    </w:pPr>
  </w:style>
  <w:style w:type="character" w:customStyle="1" w:styleId="FooterChar">
    <w:name w:val="Footer Char"/>
    <w:basedOn w:val="DefaultParagraphFont"/>
    <w:link w:val="Footer"/>
    <w:uiPriority w:val="99"/>
    <w:rsid w:val="00E10080"/>
    <w:rPr>
      <w:rFonts w:ascii="Times New Roman" w:eastAsiaTheme="minorEastAsia" w:hAnsi="Times New Roman" w:cs="Times New Roman"/>
    </w:rPr>
  </w:style>
  <w:style w:type="paragraph" w:styleId="Header">
    <w:name w:val="header"/>
    <w:basedOn w:val="Normal"/>
    <w:link w:val="HeaderChar"/>
    <w:uiPriority w:val="99"/>
    <w:unhideWhenUsed/>
    <w:rsid w:val="00BE0F54"/>
    <w:pPr>
      <w:tabs>
        <w:tab w:val="center" w:pos="4680"/>
        <w:tab w:val="right" w:pos="9360"/>
      </w:tabs>
    </w:pPr>
  </w:style>
  <w:style w:type="character" w:customStyle="1" w:styleId="HeaderChar">
    <w:name w:val="Header Char"/>
    <w:basedOn w:val="DefaultParagraphFont"/>
    <w:link w:val="Header"/>
    <w:uiPriority w:val="99"/>
    <w:rsid w:val="00BE0F54"/>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E0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5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85A86"/>
    <w:rPr>
      <w:sz w:val="16"/>
      <w:szCs w:val="16"/>
    </w:rPr>
  </w:style>
  <w:style w:type="paragraph" w:styleId="CommentText">
    <w:name w:val="annotation text"/>
    <w:basedOn w:val="Normal"/>
    <w:link w:val="CommentTextChar"/>
    <w:uiPriority w:val="99"/>
    <w:semiHidden/>
    <w:unhideWhenUsed/>
    <w:rsid w:val="00985A86"/>
    <w:rPr>
      <w:sz w:val="20"/>
      <w:szCs w:val="20"/>
    </w:rPr>
  </w:style>
  <w:style w:type="character" w:customStyle="1" w:styleId="CommentTextChar">
    <w:name w:val="Comment Text Char"/>
    <w:basedOn w:val="DefaultParagraphFont"/>
    <w:link w:val="CommentText"/>
    <w:uiPriority w:val="99"/>
    <w:semiHidden/>
    <w:rsid w:val="00985A8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A86"/>
    <w:rPr>
      <w:b/>
      <w:bCs/>
    </w:rPr>
  </w:style>
  <w:style w:type="character" w:customStyle="1" w:styleId="CommentSubjectChar">
    <w:name w:val="Comment Subject Char"/>
    <w:basedOn w:val="CommentTextChar"/>
    <w:link w:val="CommentSubject"/>
    <w:uiPriority w:val="99"/>
    <w:semiHidden/>
    <w:rsid w:val="00985A86"/>
    <w:rPr>
      <w:rFonts w:ascii="Times New Roman" w:eastAsiaTheme="minorEastAsia" w:hAnsi="Times New Roman" w:cs="Times New Roman"/>
      <w:b/>
      <w:bCs/>
      <w:sz w:val="20"/>
      <w:szCs w:val="20"/>
    </w:rPr>
  </w:style>
  <w:style w:type="character" w:styleId="Hyperlink">
    <w:name w:val="Hyperlink"/>
    <w:rsid w:val="00DD7F71"/>
    <w:rPr>
      <w:color w:val="0000FF"/>
      <w:u w:val="single"/>
    </w:rPr>
  </w:style>
  <w:style w:type="paragraph" w:styleId="Revision">
    <w:name w:val="Revision"/>
    <w:hidden/>
    <w:uiPriority w:val="99"/>
    <w:semiHidden/>
    <w:rsid w:val="00692B35"/>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19800</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1</cp:revision>
  <dcterms:created xsi:type="dcterms:W3CDTF">2023-07-26T09:57:00Z</dcterms:created>
  <dcterms:modified xsi:type="dcterms:W3CDTF">2023-07-26T09:57:00Z</dcterms:modified>
</cp:coreProperties>
</file>