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080" w:rsidRPr="00D445B7" w:rsidRDefault="00E10080" w:rsidP="00E10080">
      <w:pPr>
        <w:pStyle w:val="NoSpacing"/>
        <w:pBdr>
          <w:top w:val="single" w:sz="4" w:space="1" w:color="auto"/>
          <w:left w:val="single" w:sz="4" w:space="4" w:color="auto"/>
          <w:bottom w:val="single" w:sz="4" w:space="1" w:color="auto"/>
          <w:right w:val="single" w:sz="4" w:space="4" w:color="auto"/>
        </w:pBdr>
        <w:tabs>
          <w:tab w:val="left" w:pos="567"/>
        </w:tabs>
        <w:rPr>
          <w:rFonts w:ascii="Times New Roman" w:hAnsi="Times New Roman"/>
          <w:i/>
          <w:sz w:val="20"/>
          <w:szCs w:val="20"/>
          <w:lang w:val="fr-FR"/>
        </w:rPr>
      </w:pPr>
      <w:r w:rsidRPr="00D445B7">
        <w:rPr>
          <w:rFonts w:ascii="Times New Roman" w:hAnsi="Times New Roman"/>
          <w:b/>
          <w:sz w:val="20"/>
          <w:szCs w:val="20"/>
          <w:lang w:val="fr-FR"/>
        </w:rPr>
        <w:t xml:space="preserve">AUTORIZAŢIE DE PUNERE PE PIAŢĂ NR. </w:t>
      </w:r>
      <w:r>
        <w:rPr>
          <w:rFonts w:ascii="Times New Roman" w:hAnsi="Times New Roman"/>
          <w:b/>
          <w:sz w:val="20"/>
          <w:szCs w:val="20"/>
          <w:lang w:val="fr-FR"/>
        </w:rPr>
        <w:t>14103</w:t>
      </w:r>
      <w:r w:rsidRPr="00D445B7">
        <w:rPr>
          <w:rFonts w:ascii="Times New Roman" w:hAnsi="Times New Roman"/>
          <w:b/>
          <w:sz w:val="20"/>
          <w:szCs w:val="20"/>
          <w:lang w:val="fr-FR"/>
        </w:rPr>
        <w:t>/2021/01</w:t>
      </w:r>
      <w:r>
        <w:rPr>
          <w:rFonts w:ascii="Times New Roman" w:hAnsi="Times New Roman"/>
          <w:b/>
          <w:sz w:val="20"/>
          <w:szCs w:val="20"/>
          <w:lang w:val="fr-FR"/>
        </w:rPr>
        <w:t>-02</w:t>
      </w:r>
      <w:r w:rsidRPr="00D445B7">
        <w:rPr>
          <w:rFonts w:ascii="Times New Roman" w:hAnsi="Times New Roman"/>
          <w:b/>
          <w:sz w:val="20"/>
          <w:szCs w:val="20"/>
          <w:lang w:val="fr-FR"/>
        </w:rPr>
        <w:t xml:space="preserve">                          </w:t>
      </w:r>
      <w:r>
        <w:rPr>
          <w:rFonts w:ascii="Times New Roman" w:hAnsi="Times New Roman"/>
          <w:b/>
          <w:sz w:val="20"/>
          <w:szCs w:val="20"/>
          <w:lang w:val="fr-FR"/>
        </w:rPr>
        <w:t xml:space="preserve">                  </w:t>
      </w:r>
      <w:r w:rsidRPr="00D445B7">
        <w:rPr>
          <w:rFonts w:ascii="Times New Roman" w:hAnsi="Times New Roman"/>
          <w:b/>
          <w:sz w:val="20"/>
          <w:szCs w:val="20"/>
          <w:lang w:val="fr-FR"/>
        </w:rPr>
        <w:t xml:space="preserve">                 </w:t>
      </w:r>
      <w:r w:rsidR="00FC613F">
        <w:rPr>
          <w:rFonts w:ascii="Times New Roman" w:hAnsi="Times New Roman"/>
          <w:b/>
          <w:sz w:val="20"/>
          <w:szCs w:val="20"/>
          <w:lang w:val="fr-FR"/>
        </w:rPr>
        <w:t xml:space="preserve">   </w:t>
      </w:r>
      <w:r w:rsidRPr="00D445B7">
        <w:rPr>
          <w:rFonts w:ascii="Times New Roman" w:hAnsi="Times New Roman"/>
          <w:i/>
          <w:sz w:val="20"/>
          <w:szCs w:val="20"/>
          <w:lang w:val="fr-FR"/>
        </w:rPr>
        <w:t>Anexa 1</w:t>
      </w:r>
    </w:p>
    <w:p w:rsidR="00E10080" w:rsidRPr="000C0DDE" w:rsidRDefault="00E10080" w:rsidP="00E10080">
      <w:pPr>
        <w:pStyle w:val="NoSpacing"/>
        <w:pBdr>
          <w:top w:val="single" w:sz="4" w:space="1" w:color="auto"/>
          <w:left w:val="single" w:sz="4" w:space="4" w:color="auto"/>
          <w:bottom w:val="single" w:sz="4" w:space="1" w:color="auto"/>
          <w:right w:val="single" w:sz="4" w:space="4" w:color="auto"/>
        </w:pBdr>
        <w:tabs>
          <w:tab w:val="left" w:pos="567"/>
        </w:tabs>
        <w:rPr>
          <w:rFonts w:ascii="Times New Roman" w:hAnsi="Times New Roman"/>
          <w:b/>
          <w:sz w:val="20"/>
          <w:szCs w:val="20"/>
          <w:highlight w:val="lightGray"/>
          <w:lang w:val="fr-FR"/>
        </w:rPr>
      </w:pPr>
      <w:r w:rsidRPr="00D445B7">
        <w:rPr>
          <w:rFonts w:ascii="Times New Roman" w:hAnsi="Times New Roman"/>
          <w:b/>
          <w:sz w:val="20"/>
          <w:szCs w:val="20"/>
          <w:lang w:val="fr-FR"/>
        </w:rPr>
        <w:tab/>
      </w:r>
      <w:r w:rsidRPr="00D445B7">
        <w:rPr>
          <w:rFonts w:ascii="Times New Roman" w:hAnsi="Times New Roman"/>
          <w:b/>
          <w:sz w:val="20"/>
          <w:szCs w:val="20"/>
          <w:lang w:val="fr-FR"/>
        </w:rPr>
        <w:tab/>
      </w:r>
      <w:r w:rsidRPr="00D445B7">
        <w:rPr>
          <w:rFonts w:ascii="Times New Roman" w:hAnsi="Times New Roman"/>
          <w:b/>
          <w:sz w:val="20"/>
          <w:szCs w:val="20"/>
          <w:lang w:val="fr-FR"/>
        </w:rPr>
        <w:tab/>
      </w:r>
      <w:r w:rsidRPr="00D445B7">
        <w:rPr>
          <w:rFonts w:ascii="Times New Roman" w:hAnsi="Times New Roman"/>
          <w:b/>
          <w:sz w:val="20"/>
          <w:szCs w:val="20"/>
          <w:lang w:val="fr-FR"/>
        </w:rPr>
        <w:tab/>
      </w:r>
      <w:r w:rsidRPr="00D445B7">
        <w:rPr>
          <w:rFonts w:ascii="Times New Roman" w:hAnsi="Times New Roman"/>
          <w:b/>
          <w:sz w:val="20"/>
          <w:szCs w:val="20"/>
          <w:lang w:val="fr-FR"/>
        </w:rPr>
        <w:tab/>
      </w:r>
      <w:r w:rsidRPr="00D445B7">
        <w:rPr>
          <w:rFonts w:ascii="Times New Roman" w:hAnsi="Times New Roman"/>
          <w:b/>
          <w:sz w:val="20"/>
          <w:szCs w:val="20"/>
          <w:lang w:val="fr-FR"/>
        </w:rPr>
        <w:tab/>
      </w:r>
      <w:r w:rsidR="00FC613F">
        <w:rPr>
          <w:rFonts w:ascii="Times New Roman" w:hAnsi="Times New Roman"/>
          <w:b/>
          <w:sz w:val="20"/>
          <w:szCs w:val="20"/>
          <w:lang w:val="fr-FR"/>
        </w:rPr>
        <w:t xml:space="preserve"> </w:t>
      </w:r>
      <w:r w:rsidRPr="000C0DDE">
        <w:rPr>
          <w:rFonts w:ascii="Times New Roman" w:hAnsi="Times New Roman"/>
          <w:b/>
          <w:sz w:val="20"/>
          <w:szCs w:val="20"/>
          <w:highlight w:val="lightGray"/>
          <w:lang w:val="fr-FR"/>
        </w:rPr>
        <w:t>NR. 14104/2021/01-02</w:t>
      </w:r>
    </w:p>
    <w:p w:rsidR="00E10080" w:rsidRPr="000C0DDE" w:rsidRDefault="00E10080" w:rsidP="00E10080">
      <w:pPr>
        <w:pStyle w:val="NoSpacing"/>
        <w:pBdr>
          <w:top w:val="single" w:sz="4" w:space="1" w:color="auto"/>
          <w:left w:val="single" w:sz="4" w:space="4" w:color="auto"/>
          <w:bottom w:val="single" w:sz="4" w:space="1" w:color="auto"/>
          <w:right w:val="single" w:sz="4" w:space="4" w:color="auto"/>
        </w:pBdr>
        <w:tabs>
          <w:tab w:val="left" w:pos="567"/>
        </w:tabs>
        <w:rPr>
          <w:rFonts w:ascii="Times New Roman" w:hAnsi="Times New Roman"/>
          <w:b/>
          <w:sz w:val="20"/>
          <w:szCs w:val="20"/>
          <w:highlight w:val="lightGray"/>
          <w:lang w:val="fr-FR"/>
        </w:rPr>
      </w:pPr>
      <w:r w:rsidRPr="000C0DDE">
        <w:rPr>
          <w:rFonts w:ascii="Times New Roman" w:hAnsi="Times New Roman"/>
          <w:b/>
          <w:sz w:val="20"/>
          <w:highlight w:val="lightGray"/>
          <w:lang w:val="fr-FR"/>
        </w:rPr>
        <w:tab/>
      </w:r>
      <w:r w:rsidRPr="000C0DDE">
        <w:rPr>
          <w:rFonts w:ascii="Times New Roman" w:hAnsi="Times New Roman"/>
          <w:b/>
          <w:sz w:val="20"/>
          <w:highlight w:val="lightGray"/>
          <w:lang w:val="fr-FR"/>
        </w:rPr>
        <w:tab/>
      </w:r>
      <w:r w:rsidRPr="000C0DDE">
        <w:rPr>
          <w:rFonts w:ascii="Times New Roman" w:hAnsi="Times New Roman"/>
          <w:b/>
          <w:sz w:val="20"/>
          <w:highlight w:val="lightGray"/>
          <w:lang w:val="fr-FR"/>
        </w:rPr>
        <w:tab/>
      </w:r>
      <w:r w:rsidRPr="000C0DDE">
        <w:rPr>
          <w:rFonts w:ascii="Times New Roman" w:hAnsi="Times New Roman"/>
          <w:b/>
          <w:sz w:val="20"/>
          <w:highlight w:val="lightGray"/>
          <w:lang w:val="fr-FR"/>
        </w:rPr>
        <w:tab/>
      </w:r>
      <w:r w:rsidRPr="000C0DDE">
        <w:rPr>
          <w:rFonts w:ascii="Times New Roman" w:hAnsi="Times New Roman"/>
          <w:b/>
          <w:sz w:val="20"/>
          <w:highlight w:val="lightGray"/>
          <w:lang w:val="fr-FR"/>
        </w:rPr>
        <w:tab/>
      </w:r>
      <w:r w:rsidRPr="000C0DDE">
        <w:rPr>
          <w:rFonts w:ascii="Times New Roman" w:hAnsi="Times New Roman"/>
          <w:b/>
          <w:sz w:val="20"/>
          <w:highlight w:val="lightGray"/>
          <w:lang w:val="fr-FR"/>
        </w:rPr>
        <w:tab/>
      </w:r>
      <w:r w:rsidR="00FC613F" w:rsidRPr="000C0DDE">
        <w:rPr>
          <w:rFonts w:ascii="Times New Roman" w:hAnsi="Times New Roman"/>
          <w:b/>
          <w:sz w:val="20"/>
          <w:highlight w:val="lightGray"/>
          <w:lang w:val="fr-FR"/>
        </w:rPr>
        <w:t xml:space="preserve"> </w:t>
      </w:r>
      <w:r w:rsidRPr="000C0DDE">
        <w:rPr>
          <w:rFonts w:ascii="Times New Roman" w:hAnsi="Times New Roman"/>
          <w:b/>
          <w:sz w:val="20"/>
          <w:szCs w:val="20"/>
          <w:highlight w:val="lightGray"/>
          <w:lang w:val="fr-FR"/>
        </w:rPr>
        <w:t>NR. 14105/2021/01-02</w:t>
      </w:r>
    </w:p>
    <w:p w:rsidR="00E10080" w:rsidRPr="000C0DDE" w:rsidRDefault="00E10080" w:rsidP="00E10080">
      <w:pPr>
        <w:pStyle w:val="NoSpacing"/>
        <w:pBdr>
          <w:top w:val="single" w:sz="4" w:space="1" w:color="auto"/>
          <w:left w:val="single" w:sz="4" w:space="4" w:color="auto"/>
          <w:bottom w:val="single" w:sz="4" w:space="1" w:color="auto"/>
          <w:right w:val="single" w:sz="4" w:space="4" w:color="auto"/>
        </w:pBdr>
        <w:tabs>
          <w:tab w:val="left" w:pos="567"/>
        </w:tabs>
        <w:rPr>
          <w:rFonts w:ascii="Times New Roman" w:hAnsi="Times New Roman"/>
          <w:i/>
          <w:sz w:val="20"/>
          <w:szCs w:val="20"/>
          <w:highlight w:val="lightGray"/>
          <w:lang w:val="fr-FR"/>
        </w:rPr>
      </w:pPr>
      <w:r w:rsidRPr="000C0DDE">
        <w:rPr>
          <w:rFonts w:ascii="Times New Roman" w:hAnsi="Times New Roman"/>
          <w:b/>
          <w:sz w:val="20"/>
          <w:highlight w:val="lightGray"/>
          <w:lang w:val="fr-FR"/>
        </w:rPr>
        <w:tab/>
      </w:r>
      <w:r w:rsidRPr="000C0DDE">
        <w:rPr>
          <w:rFonts w:ascii="Times New Roman" w:hAnsi="Times New Roman"/>
          <w:b/>
          <w:sz w:val="20"/>
          <w:highlight w:val="lightGray"/>
          <w:lang w:val="fr-FR"/>
        </w:rPr>
        <w:tab/>
      </w:r>
      <w:r w:rsidRPr="000C0DDE">
        <w:rPr>
          <w:rFonts w:ascii="Times New Roman" w:hAnsi="Times New Roman"/>
          <w:b/>
          <w:sz w:val="20"/>
          <w:highlight w:val="lightGray"/>
          <w:lang w:val="fr-FR"/>
        </w:rPr>
        <w:tab/>
      </w:r>
      <w:r w:rsidRPr="000C0DDE">
        <w:rPr>
          <w:rFonts w:ascii="Times New Roman" w:hAnsi="Times New Roman"/>
          <w:b/>
          <w:sz w:val="20"/>
          <w:highlight w:val="lightGray"/>
          <w:lang w:val="fr-FR"/>
        </w:rPr>
        <w:tab/>
      </w:r>
      <w:r w:rsidRPr="000C0DDE">
        <w:rPr>
          <w:rFonts w:ascii="Times New Roman" w:hAnsi="Times New Roman"/>
          <w:b/>
          <w:sz w:val="20"/>
          <w:highlight w:val="lightGray"/>
          <w:lang w:val="fr-FR"/>
        </w:rPr>
        <w:tab/>
      </w:r>
      <w:r w:rsidRPr="000C0DDE">
        <w:rPr>
          <w:rFonts w:ascii="Times New Roman" w:hAnsi="Times New Roman"/>
          <w:b/>
          <w:sz w:val="20"/>
          <w:highlight w:val="lightGray"/>
          <w:lang w:val="fr-FR"/>
        </w:rPr>
        <w:tab/>
      </w:r>
      <w:r w:rsidR="00FC613F" w:rsidRPr="000C0DDE">
        <w:rPr>
          <w:rFonts w:ascii="Times New Roman" w:hAnsi="Times New Roman"/>
          <w:b/>
          <w:sz w:val="20"/>
          <w:highlight w:val="lightGray"/>
          <w:lang w:val="fr-FR"/>
        </w:rPr>
        <w:t xml:space="preserve"> </w:t>
      </w:r>
      <w:r w:rsidRPr="000C0DDE">
        <w:rPr>
          <w:rFonts w:ascii="Times New Roman" w:hAnsi="Times New Roman"/>
          <w:b/>
          <w:sz w:val="20"/>
          <w:szCs w:val="20"/>
          <w:highlight w:val="lightGray"/>
          <w:lang w:val="fr-FR"/>
        </w:rPr>
        <w:t>NR. 14106/2021/01</w:t>
      </w:r>
      <w:r w:rsidRPr="000C0DDE">
        <w:rPr>
          <w:rFonts w:ascii="Times New Roman" w:hAnsi="Times New Roman"/>
          <w:b/>
          <w:sz w:val="20"/>
          <w:highlight w:val="lightGray"/>
          <w:lang w:val="fr-FR"/>
        </w:rPr>
        <w:t>-02</w:t>
      </w:r>
    </w:p>
    <w:p w:rsidR="00E10080" w:rsidRDefault="00E10080" w:rsidP="00E10080">
      <w:pPr>
        <w:pStyle w:val="NoSpacing"/>
        <w:pBdr>
          <w:top w:val="single" w:sz="4" w:space="1" w:color="auto"/>
          <w:left w:val="single" w:sz="4" w:space="4" w:color="auto"/>
          <w:bottom w:val="single" w:sz="4" w:space="1" w:color="auto"/>
          <w:right w:val="single" w:sz="4" w:space="4" w:color="auto"/>
        </w:pBdr>
        <w:tabs>
          <w:tab w:val="left" w:pos="567"/>
        </w:tabs>
        <w:rPr>
          <w:rFonts w:ascii="Times New Roman" w:hAnsi="Times New Roman"/>
          <w:b/>
          <w:sz w:val="20"/>
          <w:szCs w:val="20"/>
          <w:lang w:val="fr-FR"/>
        </w:rPr>
      </w:pPr>
      <w:r w:rsidRPr="000C0DDE">
        <w:rPr>
          <w:rFonts w:ascii="Times New Roman" w:hAnsi="Times New Roman"/>
          <w:b/>
          <w:i/>
          <w:sz w:val="20"/>
          <w:szCs w:val="20"/>
          <w:highlight w:val="lightGray"/>
          <w:lang w:val="fr-FR"/>
        </w:rPr>
        <w:tab/>
      </w:r>
      <w:r w:rsidRPr="000C0DDE">
        <w:rPr>
          <w:rFonts w:ascii="Times New Roman" w:hAnsi="Times New Roman"/>
          <w:b/>
          <w:i/>
          <w:sz w:val="20"/>
          <w:szCs w:val="20"/>
          <w:highlight w:val="lightGray"/>
          <w:lang w:val="fr-FR"/>
        </w:rPr>
        <w:tab/>
      </w:r>
      <w:r w:rsidRPr="000C0DDE">
        <w:rPr>
          <w:rFonts w:ascii="Times New Roman" w:hAnsi="Times New Roman"/>
          <w:b/>
          <w:i/>
          <w:sz w:val="20"/>
          <w:szCs w:val="20"/>
          <w:highlight w:val="lightGray"/>
          <w:lang w:val="fr-FR"/>
        </w:rPr>
        <w:tab/>
      </w:r>
      <w:r w:rsidRPr="000C0DDE">
        <w:rPr>
          <w:rFonts w:ascii="Times New Roman" w:hAnsi="Times New Roman"/>
          <w:b/>
          <w:i/>
          <w:sz w:val="20"/>
          <w:szCs w:val="20"/>
          <w:highlight w:val="lightGray"/>
          <w:lang w:val="fr-FR"/>
        </w:rPr>
        <w:tab/>
        <w:t xml:space="preserve">             </w:t>
      </w:r>
      <w:r w:rsidRPr="000C0DDE">
        <w:rPr>
          <w:rFonts w:ascii="Times New Roman" w:hAnsi="Times New Roman"/>
          <w:b/>
          <w:sz w:val="20"/>
          <w:szCs w:val="20"/>
          <w:highlight w:val="lightGray"/>
          <w:lang w:val="fr-FR"/>
        </w:rPr>
        <w:tab/>
      </w:r>
      <w:r w:rsidRPr="000C0DDE">
        <w:rPr>
          <w:rFonts w:ascii="Times New Roman" w:hAnsi="Times New Roman"/>
          <w:b/>
          <w:sz w:val="20"/>
          <w:szCs w:val="20"/>
          <w:highlight w:val="lightGray"/>
          <w:lang w:val="fr-FR"/>
        </w:rPr>
        <w:tab/>
      </w:r>
      <w:r w:rsidR="00FC613F" w:rsidRPr="000C0DDE">
        <w:rPr>
          <w:rFonts w:ascii="Times New Roman" w:hAnsi="Times New Roman"/>
          <w:b/>
          <w:sz w:val="20"/>
          <w:szCs w:val="20"/>
          <w:highlight w:val="lightGray"/>
          <w:lang w:val="fr-FR"/>
        </w:rPr>
        <w:t xml:space="preserve"> </w:t>
      </w:r>
      <w:r w:rsidRPr="000C0DDE">
        <w:rPr>
          <w:rFonts w:ascii="Times New Roman" w:hAnsi="Times New Roman"/>
          <w:b/>
          <w:sz w:val="20"/>
          <w:szCs w:val="20"/>
          <w:highlight w:val="lightGray"/>
          <w:lang w:val="fr-FR"/>
        </w:rPr>
        <w:t>NR. 14107/2021/01</w:t>
      </w:r>
    </w:p>
    <w:p w:rsidR="00E10080" w:rsidRPr="00D445B7" w:rsidRDefault="00E10080" w:rsidP="00E10080">
      <w:pPr>
        <w:pStyle w:val="NoSpacing"/>
        <w:pBdr>
          <w:top w:val="single" w:sz="4" w:space="1" w:color="auto"/>
          <w:left w:val="single" w:sz="4" w:space="4" w:color="auto"/>
          <w:bottom w:val="single" w:sz="4" w:space="1" w:color="auto"/>
          <w:right w:val="single" w:sz="4" w:space="4" w:color="auto"/>
        </w:pBdr>
        <w:tabs>
          <w:tab w:val="left" w:pos="567"/>
        </w:tabs>
        <w:rPr>
          <w:rFonts w:ascii="Times New Roman" w:hAnsi="Times New Roman"/>
          <w:i/>
          <w:iCs/>
          <w:sz w:val="20"/>
          <w:szCs w:val="20"/>
          <w:lang w:val="fr-FR"/>
        </w:rPr>
      </w:pPr>
      <w:r>
        <w:rPr>
          <w:rFonts w:ascii="Times New Roman" w:hAnsi="Times New Roman"/>
          <w:b/>
          <w:sz w:val="20"/>
          <w:szCs w:val="20"/>
          <w:lang w:val="fr-FR"/>
        </w:rPr>
        <w:tab/>
      </w:r>
      <w:r>
        <w:rPr>
          <w:rFonts w:ascii="Times New Roman" w:hAnsi="Times New Roman"/>
          <w:b/>
          <w:sz w:val="20"/>
          <w:szCs w:val="20"/>
          <w:lang w:val="fr-FR"/>
        </w:rPr>
        <w:tab/>
      </w:r>
      <w:r>
        <w:rPr>
          <w:rFonts w:ascii="Times New Roman" w:hAnsi="Times New Roman"/>
          <w:b/>
          <w:sz w:val="20"/>
          <w:szCs w:val="20"/>
          <w:lang w:val="fr-FR"/>
        </w:rPr>
        <w:tab/>
      </w:r>
      <w:r>
        <w:rPr>
          <w:rFonts w:ascii="Times New Roman" w:hAnsi="Times New Roman"/>
          <w:b/>
          <w:sz w:val="20"/>
          <w:szCs w:val="20"/>
          <w:lang w:val="fr-FR"/>
        </w:rPr>
        <w:tab/>
      </w:r>
      <w:r>
        <w:rPr>
          <w:rFonts w:ascii="Times New Roman" w:hAnsi="Times New Roman"/>
          <w:b/>
          <w:sz w:val="20"/>
          <w:szCs w:val="20"/>
          <w:lang w:val="fr-FR"/>
        </w:rPr>
        <w:tab/>
      </w:r>
      <w:r>
        <w:rPr>
          <w:rFonts w:ascii="Times New Roman" w:hAnsi="Times New Roman"/>
          <w:b/>
          <w:sz w:val="20"/>
          <w:szCs w:val="20"/>
          <w:lang w:val="fr-FR"/>
        </w:rPr>
        <w:tab/>
      </w:r>
      <w:r>
        <w:rPr>
          <w:rFonts w:ascii="Times New Roman" w:hAnsi="Times New Roman"/>
          <w:b/>
          <w:sz w:val="20"/>
          <w:szCs w:val="20"/>
          <w:lang w:val="fr-FR"/>
        </w:rPr>
        <w:tab/>
      </w:r>
      <w:r>
        <w:rPr>
          <w:rFonts w:ascii="Times New Roman" w:hAnsi="Times New Roman"/>
          <w:b/>
          <w:sz w:val="20"/>
          <w:szCs w:val="20"/>
          <w:lang w:val="fr-FR"/>
        </w:rPr>
        <w:tab/>
      </w:r>
      <w:r w:rsidRPr="00D445B7">
        <w:rPr>
          <w:rFonts w:ascii="Times New Roman" w:hAnsi="Times New Roman"/>
          <w:b/>
          <w:sz w:val="20"/>
          <w:szCs w:val="20"/>
          <w:lang w:val="fr-FR"/>
        </w:rPr>
        <w:tab/>
      </w:r>
      <w:r w:rsidRPr="00D445B7">
        <w:rPr>
          <w:rFonts w:ascii="Times New Roman" w:hAnsi="Times New Roman"/>
          <w:b/>
          <w:sz w:val="20"/>
          <w:szCs w:val="20"/>
          <w:lang w:val="fr-FR"/>
        </w:rPr>
        <w:tab/>
      </w:r>
      <w:r>
        <w:rPr>
          <w:rFonts w:ascii="Times New Roman" w:hAnsi="Times New Roman"/>
          <w:b/>
          <w:sz w:val="20"/>
          <w:szCs w:val="20"/>
          <w:lang w:val="fr-FR"/>
        </w:rPr>
        <w:tab/>
      </w:r>
      <w:r w:rsidRPr="00D445B7">
        <w:rPr>
          <w:rFonts w:ascii="Times New Roman" w:hAnsi="Times New Roman"/>
          <w:b/>
          <w:sz w:val="20"/>
          <w:szCs w:val="20"/>
          <w:lang w:val="fr-FR"/>
        </w:rPr>
        <w:tab/>
      </w:r>
      <w:r w:rsidR="00FC613F">
        <w:rPr>
          <w:rFonts w:ascii="Times New Roman" w:hAnsi="Times New Roman"/>
          <w:b/>
          <w:sz w:val="20"/>
          <w:szCs w:val="20"/>
          <w:lang w:val="fr-FR"/>
        </w:rPr>
        <w:t xml:space="preserve">              </w:t>
      </w:r>
      <w:r w:rsidRPr="00D445B7">
        <w:rPr>
          <w:rFonts w:ascii="Times New Roman" w:hAnsi="Times New Roman"/>
          <w:b/>
          <w:sz w:val="20"/>
          <w:szCs w:val="20"/>
          <w:lang w:val="fr-FR"/>
        </w:rPr>
        <w:t>Prospect</w:t>
      </w:r>
    </w:p>
    <w:p w:rsidR="00E10080" w:rsidRPr="000012B4" w:rsidRDefault="00E10080" w:rsidP="00E10080">
      <w:pPr>
        <w:tabs>
          <w:tab w:val="left" w:pos="567"/>
        </w:tabs>
      </w:pPr>
    </w:p>
    <w:p w:rsidR="00E10080" w:rsidRPr="000012B4" w:rsidRDefault="00E10080" w:rsidP="00E10080">
      <w:pPr>
        <w:tabs>
          <w:tab w:val="left" w:pos="567"/>
        </w:tabs>
      </w:pPr>
    </w:p>
    <w:p w:rsidR="00E10080" w:rsidRPr="000012B4" w:rsidRDefault="00E10080" w:rsidP="00E10080">
      <w:pPr>
        <w:tabs>
          <w:tab w:val="left" w:pos="567"/>
        </w:tabs>
        <w:jc w:val="center"/>
      </w:pPr>
      <w:bookmarkStart w:id="0" w:name="page59"/>
      <w:bookmarkEnd w:id="0"/>
      <w:r w:rsidRPr="000012B4">
        <w:rPr>
          <w:rFonts w:eastAsia="Times New Roman"/>
          <w:b/>
          <w:bCs/>
        </w:rPr>
        <w:t>Prospect: Informaţii pentru utilizator</w:t>
      </w:r>
    </w:p>
    <w:p w:rsidR="00E10080" w:rsidRPr="000012B4" w:rsidRDefault="00E10080" w:rsidP="00E10080">
      <w:pPr>
        <w:tabs>
          <w:tab w:val="left" w:pos="567"/>
        </w:tabs>
      </w:pPr>
    </w:p>
    <w:p w:rsidR="00E10080" w:rsidRPr="000012B4" w:rsidRDefault="00E10080" w:rsidP="00E10080">
      <w:pPr>
        <w:tabs>
          <w:tab w:val="left" w:pos="567"/>
        </w:tabs>
        <w:jc w:val="center"/>
      </w:pPr>
      <w:bookmarkStart w:id="1" w:name="_Hlk76547100"/>
      <w:r>
        <w:rPr>
          <w:rFonts w:eastAsia="Times New Roman"/>
          <w:b/>
          <w:bCs/>
        </w:rPr>
        <w:t>Nodriga</w:t>
      </w:r>
      <w:r w:rsidRPr="000012B4">
        <w:rPr>
          <w:rFonts w:eastAsia="Times New Roman"/>
          <w:b/>
          <w:bCs/>
        </w:rPr>
        <w:t xml:space="preserve"> </w:t>
      </w:r>
      <w:bookmarkEnd w:id="1"/>
      <w:r w:rsidRPr="000012B4">
        <w:rPr>
          <w:rFonts w:eastAsia="Times New Roman"/>
          <w:b/>
          <w:bCs/>
        </w:rPr>
        <w:t>20 mg comprimate filmate</w:t>
      </w:r>
    </w:p>
    <w:p w:rsidR="00E10080" w:rsidRPr="00C61C9E" w:rsidRDefault="00E10080" w:rsidP="00E10080">
      <w:pPr>
        <w:tabs>
          <w:tab w:val="left" w:pos="567"/>
        </w:tabs>
        <w:jc w:val="center"/>
        <w:rPr>
          <w:highlight w:val="lightGray"/>
        </w:rPr>
      </w:pPr>
      <w:r w:rsidRPr="00C61C9E">
        <w:rPr>
          <w:rFonts w:eastAsia="Times New Roman"/>
          <w:b/>
          <w:bCs/>
          <w:highlight w:val="lightGray"/>
        </w:rPr>
        <w:t>Nodriga 50 mg comprimate filmate</w:t>
      </w:r>
    </w:p>
    <w:p w:rsidR="00E10080" w:rsidRPr="00C61C9E" w:rsidRDefault="00E10080" w:rsidP="00E10080">
      <w:pPr>
        <w:tabs>
          <w:tab w:val="left" w:pos="567"/>
        </w:tabs>
        <w:jc w:val="center"/>
        <w:rPr>
          <w:highlight w:val="lightGray"/>
        </w:rPr>
      </w:pPr>
      <w:r w:rsidRPr="00C61C9E">
        <w:rPr>
          <w:rFonts w:eastAsia="Times New Roman"/>
          <w:b/>
          <w:bCs/>
          <w:highlight w:val="lightGray"/>
        </w:rPr>
        <w:t>Nodriga 70 mg comprimate filmate</w:t>
      </w:r>
    </w:p>
    <w:p w:rsidR="00E10080" w:rsidRPr="00C61C9E" w:rsidRDefault="00FC613F" w:rsidP="00E10080">
      <w:pPr>
        <w:tabs>
          <w:tab w:val="left" w:pos="567"/>
        </w:tabs>
        <w:jc w:val="center"/>
        <w:rPr>
          <w:highlight w:val="lightGray"/>
        </w:rPr>
      </w:pPr>
      <w:r w:rsidRPr="00C61C9E">
        <w:rPr>
          <w:rFonts w:eastAsia="Times New Roman"/>
          <w:b/>
          <w:bCs/>
          <w:highlight w:val="lightGray"/>
        </w:rPr>
        <w:t xml:space="preserve">  </w:t>
      </w:r>
      <w:r w:rsidR="00E10080" w:rsidRPr="00C61C9E">
        <w:rPr>
          <w:rFonts w:eastAsia="Times New Roman"/>
          <w:b/>
          <w:bCs/>
          <w:highlight w:val="lightGray"/>
        </w:rPr>
        <w:t>Nodriga 100 mg comprimate filmate</w:t>
      </w:r>
    </w:p>
    <w:p w:rsidR="00E10080" w:rsidRPr="000012B4" w:rsidRDefault="00FC613F" w:rsidP="00E10080">
      <w:pPr>
        <w:tabs>
          <w:tab w:val="left" w:pos="567"/>
        </w:tabs>
        <w:jc w:val="center"/>
      </w:pPr>
      <w:r w:rsidRPr="00C61C9E">
        <w:rPr>
          <w:rFonts w:eastAsia="Times New Roman"/>
          <w:b/>
          <w:bCs/>
          <w:highlight w:val="lightGray"/>
        </w:rPr>
        <w:t xml:space="preserve">  </w:t>
      </w:r>
      <w:r w:rsidR="00E10080" w:rsidRPr="00C61C9E">
        <w:rPr>
          <w:rFonts w:eastAsia="Times New Roman"/>
          <w:b/>
          <w:bCs/>
          <w:highlight w:val="lightGray"/>
        </w:rPr>
        <w:t>Nodriga 140 mg comprimate filmate</w:t>
      </w:r>
    </w:p>
    <w:p w:rsidR="00E10080" w:rsidRPr="000012B4" w:rsidRDefault="00E10080" w:rsidP="00E10080">
      <w:pPr>
        <w:tabs>
          <w:tab w:val="left" w:pos="567"/>
        </w:tabs>
      </w:pPr>
    </w:p>
    <w:p w:rsidR="00E10080" w:rsidRPr="000012B4" w:rsidRDefault="00E10080" w:rsidP="00E10080">
      <w:pPr>
        <w:tabs>
          <w:tab w:val="left" w:pos="567"/>
        </w:tabs>
        <w:jc w:val="center"/>
      </w:pPr>
      <w:r w:rsidRPr="000012B4">
        <w:rPr>
          <w:rFonts w:eastAsia="Times New Roman"/>
        </w:rPr>
        <w:t>dasatinib</w:t>
      </w:r>
    </w:p>
    <w:p w:rsidR="00E10080" w:rsidRDefault="00E10080" w:rsidP="00E10080">
      <w:pPr>
        <w:tabs>
          <w:tab w:val="left" w:pos="567"/>
        </w:tabs>
      </w:pPr>
    </w:p>
    <w:p w:rsidR="00734BAC" w:rsidRPr="000012B4" w:rsidRDefault="00734BAC" w:rsidP="00E10080">
      <w:pPr>
        <w:tabs>
          <w:tab w:val="left" w:pos="567"/>
        </w:tabs>
      </w:pPr>
    </w:p>
    <w:p w:rsidR="00E10080" w:rsidRPr="000012B4" w:rsidRDefault="00E10080" w:rsidP="00E10080">
      <w:pPr>
        <w:tabs>
          <w:tab w:val="left" w:pos="567"/>
        </w:tabs>
      </w:pPr>
      <w:r w:rsidRPr="000012B4">
        <w:rPr>
          <w:rFonts w:eastAsia="Times New Roman"/>
          <w:b/>
          <w:bCs/>
        </w:rPr>
        <w:t>Citiţi cu atenţie şi în întregime acest prospect înainte de a începe să luaţi acest medicament deoarece conţine informaţii importante pentru dumneavoastră.</w:t>
      </w:r>
    </w:p>
    <w:p w:rsidR="00E10080" w:rsidRPr="000012B4" w:rsidRDefault="00E10080" w:rsidP="00E10080">
      <w:pPr>
        <w:pStyle w:val="ListParagraph"/>
        <w:numPr>
          <w:ilvl w:val="0"/>
          <w:numId w:val="15"/>
        </w:numPr>
        <w:tabs>
          <w:tab w:val="left" w:pos="567"/>
          <w:tab w:val="left" w:pos="940"/>
        </w:tabs>
        <w:ind w:left="567" w:hanging="567"/>
        <w:rPr>
          <w:rFonts w:eastAsia="Wingdings"/>
        </w:rPr>
      </w:pPr>
      <w:r w:rsidRPr="000012B4">
        <w:rPr>
          <w:rFonts w:eastAsia="Times New Roman"/>
        </w:rPr>
        <w:t>Păstraţi acest prospect. S-ar putea să fie necesar să-l recitiţi.</w:t>
      </w:r>
    </w:p>
    <w:p w:rsidR="00E10080" w:rsidRPr="000012B4" w:rsidRDefault="00E10080" w:rsidP="00E10080">
      <w:pPr>
        <w:pStyle w:val="ListParagraph"/>
        <w:numPr>
          <w:ilvl w:val="0"/>
          <w:numId w:val="15"/>
        </w:numPr>
        <w:tabs>
          <w:tab w:val="left" w:pos="567"/>
          <w:tab w:val="left" w:pos="940"/>
        </w:tabs>
        <w:ind w:left="567" w:hanging="567"/>
        <w:rPr>
          <w:rFonts w:eastAsia="Wingdings"/>
        </w:rPr>
      </w:pPr>
      <w:r w:rsidRPr="000012B4">
        <w:rPr>
          <w:rFonts w:eastAsia="Times New Roman"/>
        </w:rPr>
        <w:t>Dacă aveţi orice întrebări suplimentare, adresaţi-vă medicului dumneavoastră sau farmacistului.</w:t>
      </w:r>
    </w:p>
    <w:p w:rsidR="00E10080" w:rsidRPr="000012B4" w:rsidRDefault="00E10080" w:rsidP="00E10080">
      <w:pPr>
        <w:pStyle w:val="ListParagraph"/>
        <w:numPr>
          <w:ilvl w:val="0"/>
          <w:numId w:val="15"/>
        </w:numPr>
        <w:tabs>
          <w:tab w:val="left" w:pos="567"/>
          <w:tab w:val="left" w:pos="940"/>
        </w:tabs>
        <w:ind w:left="567" w:hanging="567"/>
        <w:rPr>
          <w:rFonts w:eastAsia="Wingdings"/>
        </w:rPr>
      </w:pPr>
      <w:r w:rsidRPr="000012B4">
        <w:rPr>
          <w:rFonts w:eastAsia="Times New Roman"/>
        </w:rPr>
        <w:t>Acest medicament a fost prescris numai pentru dumneavoastră. Nu trebuie să-l daţi altor persoane. Le poate face rău, chiar dacă au aceleaşi semne de boală ca dumneavoastră.</w:t>
      </w:r>
    </w:p>
    <w:p w:rsidR="00E10080" w:rsidRPr="000012B4" w:rsidRDefault="00E10080" w:rsidP="00E10080">
      <w:pPr>
        <w:pStyle w:val="ListParagraph"/>
        <w:numPr>
          <w:ilvl w:val="0"/>
          <w:numId w:val="15"/>
        </w:numPr>
        <w:tabs>
          <w:tab w:val="left" w:pos="567"/>
          <w:tab w:val="left" w:pos="940"/>
        </w:tabs>
        <w:ind w:left="567" w:hanging="567"/>
        <w:rPr>
          <w:rFonts w:eastAsia="Wingdings"/>
        </w:rPr>
      </w:pPr>
      <w:r w:rsidRPr="000012B4">
        <w:rPr>
          <w:rFonts w:eastAsia="Times New Roman"/>
        </w:rPr>
        <w:t>Dacă manifestaţi orice reacţii adverse, adresaţi-vă medicului dumneavoastră sau farmacistului. Acestea includ orice posibile reacţii adverse nemenţionate în acest prospect. Vezi pct. 4.</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b/>
          <w:bCs/>
        </w:rPr>
        <w:t>Ce găsiţi în acest prospect</w:t>
      </w:r>
    </w:p>
    <w:p w:rsidR="00E10080" w:rsidRPr="000012B4" w:rsidRDefault="00E10080" w:rsidP="00E10080">
      <w:pPr>
        <w:tabs>
          <w:tab w:val="left" w:pos="567"/>
        </w:tabs>
      </w:pPr>
    </w:p>
    <w:p w:rsidR="00E10080" w:rsidRPr="000012B4" w:rsidRDefault="00E10080" w:rsidP="00E10080">
      <w:pPr>
        <w:numPr>
          <w:ilvl w:val="0"/>
          <w:numId w:val="1"/>
        </w:numPr>
        <w:tabs>
          <w:tab w:val="left" w:pos="567"/>
        </w:tabs>
        <w:rPr>
          <w:rFonts w:eastAsia="Times New Roman"/>
        </w:rPr>
      </w:pPr>
      <w:r w:rsidRPr="000012B4">
        <w:rPr>
          <w:rFonts w:eastAsia="Times New Roman"/>
        </w:rPr>
        <w:t xml:space="preserve">Ce este </w:t>
      </w:r>
      <w:r>
        <w:rPr>
          <w:rFonts w:eastAsia="Times New Roman"/>
        </w:rPr>
        <w:t>Nodriga</w:t>
      </w:r>
      <w:r w:rsidRPr="000012B4">
        <w:rPr>
          <w:rFonts w:eastAsia="Times New Roman"/>
        </w:rPr>
        <w:t xml:space="preserve"> şi pentru ce se utilizează</w:t>
      </w:r>
    </w:p>
    <w:p w:rsidR="00E10080" w:rsidRPr="000012B4" w:rsidRDefault="00E10080" w:rsidP="00E10080">
      <w:pPr>
        <w:numPr>
          <w:ilvl w:val="0"/>
          <w:numId w:val="1"/>
        </w:numPr>
        <w:tabs>
          <w:tab w:val="left" w:pos="567"/>
        </w:tabs>
        <w:rPr>
          <w:rFonts w:eastAsia="Times New Roman"/>
        </w:rPr>
      </w:pPr>
      <w:r w:rsidRPr="000012B4">
        <w:rPr>
          <w:rFonts w:eastAsia="Times New Roman"/>
        </w:rPr>
        <w:t xml:space="preserve">Ce trebuie să ştiţi înainte să luaţi </w:t>
      </w:r>
      <w:r>
        <w:rPr>
          <w:rFonts w:eastAsia="Times New Roman"/>
        </w:rPr>
        <w:t>Nodriga</w:t>
      </w:r>
    </w:p>
    <w:p w:rsidR="00E10080" w:rsidRPr="000012B4" w:rsidRDefault="00E10080" w:rsidP="00E10080">
      <w:pPr>
        <w:numPr>
          <w:ilvl w:val="0"/>
          <w:numId w:val="1"/>
        </w:numPr>
        <w:tabs>
          <w:tab w:val="left" w:pos="567"/>
        </w:tabs>
        <w:rPr>
          <w:rFonts w:eastAsia="Times New Roman"/>
        </w:rPr>
      </w:pPr>
      <w:r w:rsidRPr="000012B4">
        <w:rPr>
          <w:rFonts w:eastAsia="Times New Roman"/>
        </w:rPr>
        <w:t xml:space="preserve">Cum să luaţi </w:t>
      </w:r>
      <w:r>
        <w:rPr>
          <w:rFonts w:eastAsia="Times New Roman"/>
        </w:rPr>
        <w:t>Nodriga</w:t>
      </w:r>
      <w:r w:rsidRPr="000012B4">
        <w:rPr>
          <w:rFonts w:eastAsia="Times New Roman"/>
        </w:rPr>
        <w:t xml:space="preserve"> </w:t>
      </w:r>
    </w:p>
    <w:p w:rsidR="00E10080" w:rsidRPr="000012B4" w:rsidRDefault="00E10080" w:rsidP="00E10080">
      <w:pPr>
        <w:numPr>
          <w:ilvl w:val="0"/>
          <w:numId w:val="1"/>
        </w:numPr>
        <w:tabs>
          <w:tab w:val="left" w:pos="567"/>
        </w:tabs>
        <w:rPr>
          <w:rFonts w:eastAsia="Times New Roman"/>
        </w:rPr>
      </w:pPr>
      <w:r w:rsidRPr="000012B4">
        <w:rPr>
          <w:rFonts w:eastAsia="Times New Roman"/>
        </w:rPr>
        <w:t>Reacţii adverse posibile</w:t>
      </w:r>
    </w:p>
    <w:p w:rsidR="00E10080" w:rsidRPr="000012B4" w:rsidRDefault="00E10080" w:rsidP="00E10080">
      <w:pPr>
        <w:numPr>
          <w:ilvl w:val="0"/>
          <w:numId w:val="1"/>
        </w:numPr>
        <w:tabs>
          <w:tab w:val="left" w:pos="567"/>
        </w:tabs>
        <w:rPr>
          <w:rFonts w:eastAsia="Times New Roman"/>
        </w:rPr>
      </w:pPr>
      <w:r w:rsidRPr="000012B4">
        <w:rPr>
          <w:rFonts w:eastAsia="Times New Roman"/>
        </w:rPr>
        <w:t xml:space="preserve">Cum se păstrează </w:t>
      </w:r>
      <w:r>
        <w:rPr>
          <w:rFonts w:eastAsia="Times New Roman"/>
        </w:rPr>
        <w:t>Nodriga</w:t>
      </w:r>
      <w:r w:rsidRPr="000012B4">
        <w:rPr>
          <w:rFonts w:eastAsia="Times New Roman"/>
        </w:rPr>
        <w:t xml:space="preserve"> </w:t>
      </w:r>
    </w:p>
    <w:p w:rsidR="00E10080" w:rsidRPr="000012B4" w:rsidRDefault="00E10080" w:rsidP="00E10080">
      <w:pPr>
        <w:numPr>
          <w:ilvl w:val="0"/>
          <w:numId w:val="1"/>
        </w:numPr>
        <w:tabs>
          <w:tab w:val="left" w:pos="567"/>
        </w:tabs>
        <w:rPr>
          <w:rFonts w:eastAsia="Times New Roman"/>
        </w:rPr>
      </w:pPr>
      <w:r w:rsidRPr="000012B4">
        <w:rPr>
          <w:rFonts w:eastAsia="Times New Roman"/>
        </w:rPr>
        <w:t>Conţinutul ambalajului şi alte informaţii</w:t>
      </w:r>
    </w:p>
    <w:p w:rsidR="00E10080" w:rsidRPr="000012B4" w:rsidRDefault="00E10080" w:rsidP="00E10080">
      <w:pPr>
        <w:tabs>
          <w:tab w:val="left" w:pos="567"/>
        </w:tabs>
      </w:pPr>
    </w:p>
    <w:p w:rsidR="00E10080" w:rsidRPr="000012B4" w:rsidRDefault="00E10080" w:rsidP="00E10080">
      <w:pPr>
        <w:tabs>
          <w:tab w:val="left" w:pos="567"/>
        </w:tabs>
      </w:pPr>
    </w:p>
    <w:p w:rsidR="00E10080" w:rsidRPr="000012B4" w:rsidRDefault="00E10080" w:rsidP="00E10080">
      <w:pPr>
        <w:numPr>
          <w:ilvl w:val="0"/>
          <w:numId w:val="2"/>
        </w:numPr>
        <w:tabs>
          <w:tab w:val="left" w:pos="567"/>
          <w:tab w:val="left" w:pos="940"/>
        </w:tabs>
        <w:rPr>
          <w:rFonts w:eastAsia="Times New Roman"/>
          <w:b/>
          <w:bCs/>
        </w:rPr>
      </w:pPr>
      <w:r w:rsidRPr="000012B4">
        <w:rPr>
          <w:rFonts w:eastAsia="Times New Roman"/>
          <w:b/>
          <w:bCs/>
        </w:rPr>
        <w:t xml:space="preserve">Ce este </w:t>
      </w:r>
      <w:r>
        <w:rPr>
          <w:rFonts w:eastAsia="Times New Roman"/>
          <w:b/>
          <w:bCs/>
        </w:rPr>
        <w:t>Nodriga</w:t>
      </w:r>
      <w:r w:rsidRPr="000012B4">
        <w:rPr>
          <w:rFonts w:eastAsia="Times New Roman"/>
          <w:b/>
          <w:bCs/>
        </w:rPr>
        <w:t xml:space="preserve"> şi pentru ce se utilizează</w:t>
      </w:r>
    </w:p>
    <w:p w:rsidR="00E10080" w:rsidRPr="000012B4" w:rsidRDefault="00E10080" w:rsidP="00E10080">
      <w:pPr>
        <w:tabs>
          <w:tab w:val="left" w:pos="567"/>
        </w:tabs>
      </w:pPr>
    </w:p>
    <w:p w:rsidR="00E10080" w:rsidRPr="000012B4" w:rsidRDefault="00E10080" w:rsidP="00E10080">
      <w:pPr>
        <w:tabs>
          <w:tab w:val="left" w:pos="567"/>
        </w:tabs>
      </w:pPr>
      <w:r>
        <w:rPr>
          <w:rFonts w:eastAsia="Times New Roman"/>
        </w:rPr>
        <w:t>Nodriga</w:t>
      </w:r>
      <w:r w:rsidRPr="000012B4">
        <w:rPr>
          <w:rFonts w:eastAsia="Times New Roman"/>
        </w:rPr>
        <w:t xml:space="preserve"> conține substanța activă dasatinib. Acest medicament este utilizat </w:t>
      </w:r>
      <w:r w:rsidRPr="00FA3994">
        <w:rPr>
          <w:rFonts w:eastAsia="Times New Roman"/>
          <w:highlight w:val="lightGray"/>
        </w:rPr>
        <w:t>pentru a trata leucemia mieloidă cronică (LMC) la adulţi, adolescenți și copii cu vârsta de cel puțin 1 an. Leucemia este un cancer al celulelor albe din sânge. Aceste celule albe ajută de obicei organismul să lupte contra infecţiilor. La persoanele care au LMC, celulele albe numite granulocite încep să se dezvolte necontrolat. Nodriga inhibă dezvoltarea acestor celule leucemice.</w:t>
      </w:r>
    </w:p>
    <w:p w:rsidR="00E10080" w:rsidRPr="000012B4" w:rsidRDefault="00E10080" w:rsidP="00E10080">
      <w:pPr>
        <w:tabs>
          <w:tab w:val="left" w:pos="567"/>
        </w:tabs>
      </w:pPr>
    </w:p>
    <w:p w:rsidR="00E10080" w:rsidRPr="000012B4" w:rsidRDefault="00E10080" w:rsidP="00E10080">
      <w:pPr>
        <w:tabs>
          <w:tab w:val="left" w:pos="567"/>
        </w:tabs>
      </w:pPr>
      <w:r w:rsidRPr="00FA3994">
        <w:rPr>
          <w:rFonts w:eastAsia="Times New Roman"/>
          <w:highlight w:val="lightGray"/>
        </w:rPr>
        <w:t>Nodriga este, de asemenea, utilizat pentru a trata</w:t>
      </w:r>
      <w:r w:rsidRPr="00FC613F">
        <w:rPr>
          <w:rFonts w:eastAsia="Times New Roman"/>
        </w:rPr>
        <w:t xml:space="preserve"> leucemia acută limfoblastică (LAL) cu cromozom Philadelphia pozitiv (Ph+) la adulți, adolescenți și copii cu vârsta de cel puțin 1 an, </w:t>
      </w:r>
      <w:r w:rsidRPr="00FA3994">
        <w:rPr>
          <w:rFonts w:eastAsia="Times New Roman"/>
          <w:highlight w:val="lightGray"/>
        </w:rPr>
        <w:t>şi LMC în fază blastică limfoidă la adulți care nu au avut beneficii în urma terapiilor anterioare.</w:t>
      </w:r>
      <w:r w:rsidRPr="000012B4">
        <w:rPr>
          <w:rFonts w:eastAsia="Times New Roman"/>
        </w:rPr>
        <w:t xml:space="preserve"> La persoanele care au LAL, celulele albe numite limfocite se multiplică prea repede şi trăiesc prea mult. </w:t>
      </w:r>
      <w:r>
        <w:rPr>
          <w:rFonts w:eastAsia="Times New Roman"/>
        </w:rPr>
        <w:t>Nodriga</w:t>
      </w:r>
      <w:r w:rsidRPr="000012B4">
        <w:rPr>
          <w:rFonts w:eastAsia="Times New Roman"/>
        </w:rPr>
        <w:t xml:space="preserve"> inhibă dezvoltarea acestor celule leucemice.</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rPr>
        <w:t xml:space="preserve">Dacă aveţi întrebări despre modul în care acţionează </w:t>
      </w:r>
      <w:r>
        <w:rPr>
          <w:rFonts w:eastAsia="Times New Roman"/>
        </w:rPr>
        <w:t>Nodriga</w:t>
      </w:r>
      <w:r w:rsidRPr="000012B4">
        <w:rPr>
          <w:rFonts w:eastAsia="Times New Roman"/>
        </w:rPr>
        <w:t xml:space="preserve"> sau despre motivul pentru care vi s-a prescris acest medicament, întrebaţi medicul dumneavoastră.</w:t>
      </w:r>
    </w:p>
    <w:p w:rsidR="00E10080" w:rsidRPr="000012B4" w:rsidRDefault="00E10080" w:rsidP="00E10080">
      <w:pPr>
        <w:tabs>
          <w:tab w:val="left" w:pos="567"/>
        </w:tabs>
      </w:pPr>
    </w:p>
    <w:p w:rsidR="00E10080" w:rsidRPr="000012B4" w:rsidRDefault="00E10080" w:rsidP="00E10080">
      <w:pPr>
        <w:tabs>
          <w:tab w:val="left" w:pos="567"/>
        </w:tabs>
      </w:pPr>
    </w:p>
    <w:p w:rsidR="00E10080" w:rsidRPr="000012B4" w:rsidRDefault="00E10080" w:rsidP="00E10080">
      <w:pPr>
        <w:numPr>
          <w:ilvl w:val="0"/>
          <w:numId w:val="3"/>
        </w:numPr>
        <w:tabs>
          <w:tab w:val="left" w:pos="567"/>
          <w:tab w:val="left" w:pos="940"/>
        </w:tabs>
        <w:rPr>
          <w:rFonts w:eastAsia="Times New Roman"/>
          <w:b/>
          <w:bCs/>
        </w:rPr>
      </w:pPr>
      <w:r w:rsidRPr="000012B4">
        <w:rPr>
          <w:rFonts w:eastAsia="Times New Roman"/>
          <w:b/>
          <w:bCs/>
        </w:rPr>
        <w:t xml:space="preserve">Ce trebuie să ştiţi înainte să luaţi </w:t>
      </w:r>
      <w:r>
        <w:rPr>
          <w:rFonts w:eastAsia="Times New Roman"/>
          <w:b/>
          <w:bCs/>
        </w:rPr>
        <w:t>Nodriga</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b/>
          <w:bCs/>
        </w:rPr>
        <w:t xml:space="preserve">Nu luaţi </w:t>
      </w:r>
      <w:r>
        <w:rPr>
          <w:rFonts w:eastAsia="Times New Roman"/>
          <w:b/>
          <w:bCs/>
        </w:rPr>
        <w:t>Nodriga</w:t>
      </w:r>
    </w:p>
    <w:p w:rsidR="00E10080" w:rsidRPr="000012B4" w:rsidRDefault="00E10080" w:rsidP="00E10080">
      <w:pPr>
        <w:tabs>
          <w:tab w:val="left" w:pos="567"/>
        </w:tabs>
      </w:pPr>
    </w:p>
    <w:p w:rsidR="00E10080" w:rsidRPr="000012B4" w:rsidRDefault="00E10080" w:rsidP="00E10080">
      <w:pPr>
        <w:numPr>
          <w:ilvl w:val="0"/>
          <w:numId w:val="16"/>
        </w:numPr>
        <w:tabs>
          <w:tab w:val="left" w:pos="567"/>
          <w:tab w:val="left" w:pos="940"/>
        </w:tabs>
        <w:rPr>
          <w:rFonts w:eastAsia="Wingdings"/>
        </w:rPr>
      </w:pPr>
      <w:r w:rsidRPr="000012B4">
        <w:rPr>
          <w:rFonts w:eastAsia="Times New Roman"/>
        </w:rPr>
        <w:t xml:space="preserve">dacă sunteţi </w:t>
      </w:r>
      <w:r w:rsidRPr="000012B4">
        <w:rPr>
          <w:rFonts w:eastAsia="Times New Roman"/>
          <w:b/>
          <w:bCs/>
        </w:rPr>
        <w:t>alergic</w:t>
      </w:r>
      <w:r w:rsidRPr="000012B4">
        <w:rPr>
          <w:rFonts w:eastAsia="Times New Roman"/>
        </w:rPr>
        <w:t xml:space="preserve"> la dasatinib sau la oricare dintre celelalte componente ale acestui medicament (enumerate la pct. 6).</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b/>
          <w:bCs/>
        </w:rPr>
        <w:t>Dacă aţi putea fi alergic, cereţi sfatul medicului dumneavoastră.</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b/>
          <w:bCs/>
        </w:rPr>
        <w:t>Atenţionări şi precauţii</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rPr>
        <w:t xml:space="preserve">Înainte să utilizaţi </w:t>
      </w:r>
      <w:r>
        <w:rPr>
          <w:rFonts w:eastAsia="Times New Roman"/>
        </w:rPr>
        <w:t>Nodriga</w:t>
      </w:r>
      <w:r w:rsidRPr="000012B4">
        <w:rPr>
          <w:rFonts w:eastAsia="Times New Roman"/>
        </w:rPr>
        <w:t>, adresaţi-vă medicului dumneavoastră sau farmacistului</w:t>
      </w:r>
    </w:p>
    <w:p w:rsidR="00E10080" w:rsidRPr="000012B4" w:rsidRDefault="00E10080" w:rsidP="00E10080">
      <w:pPr>
        <w:pStyle w:val="ListParagraph"/>
        <w:numPr>
          <w:ilvl w:val="0"/>
          <w:numId w:val="17"/>
        </w:numPr>
        <w:tabs>
          <w:tab w:val="left" w:pos="567"/>
        </w:tabs>
        <w:ind w:left="567" w:hanging="567"/>
        <w:rPr>
          <w:rFonts w:eastAsia="Wingdings"/>
        </w:rPr>
      </w:pPr>
      <w:bookmarkStart w:id="2" w:name="page60"/>
      <w:bookmarkEnd w:id="2"/>
      <w:r w:rsidRPr="000012B4">
        <w:rPr>
          <w:rFonts w:eastAsia="Times New Roman"/>
        </w:rPr>
        <w:t xml:space="preserve">dacă luaţi </w:t>
      </w:r>
      <w:r w:rsidRPr="000012B4">
        <w:rPr>
          <w:rFonts w:eastAsia="Times New Roman"/>
          <w:b/>
          <w:bCs/>
        </w:rPr>
        <w:t>medicamente pentru subţierea sângelui</w:t>
      </w:r>
      <w:r w:rsidRPr="000012B4">
        <w:rPr>
          <w:rFonts w:eastAsia="Times New Roman"/>
        </w:rPr>
        <w:t xml:space="preserve"> sau care previn coagularea (vezi „</w:t>
      </w:r>
      <w:r w:rsidRPr="000012B4">
        <w:t xml:space="preserve"> </w:t>
      </w:r>
      <w:r>
        <w:rPr>
          <w:rFonts w:eastAsia="Times New Roman"/>
        </w:rPr>
        <w:t>Nodriga</w:t>
      </w:r>
      <w:r w:rsidRPr="000012B4">
        <w:rPr>
          <w:rFonts w:eastAsia="Times New Roman"/>
        </w:rPr>
        <w:t xml:space="preserve"> împreună cu alte medicamente”)</w:t>
      </w:r>
    </w:p>
    <w:p w:rsidR="00E10080" w:rsidRPr="000012B4" w:rsidRDefault="00E10080" w:rsidP="00E10080">
      <w:pPr>
        <w:pStyle w:val="ListParagraph"/>
        <w:numPr>
          <w:ilvl w:val="0"/>
          <w:numId w:val="17"/>
        </w:numPr>
        <w:tabs>
          <w:tab w:val="left" w:pos="567"/>
        </w:tabs>
        <w:ind w:left="567" w:hanging="567"/>
        <w:rPr>
          <w:rFonts w:eastAsia="Wingdings"/>
        </w:rPr>
      </w:pPr>
      <w:r w:rsidRPr="000012B4">
        <w:rPr>
          <w:rFonts w:eastAsia="Times New Roman"/>
        </w:rPr>
        <w:t>dacă aveţi probleme de ficat sau de inimă sau aţi avut</w:t>
      </w:r>
    </w:p>
    <w:p w:rsidR="00E10080" w:rsidRPr="000012B4" w:rsidRDefault="00E10080" w:rsidP="00E10080">
      <w:pPr>
        <w:pStyle w:val="ListParagraph"/>
        <w:numPr>
          <w:ilvl w:val="0"/>
          <w:numId w:val="17"/>
        </w:numPr>
        <w:tabs>
          <w:tab w:val="left" w:pos="567"/>
        </w:tabs>
        <w:ind w:left="567" w:hanging="567"/>
        <w:rPr>
          <w:rFonts w:eastAsia="Wingdings"/>
        </w:rPr>
      </w:pPr>
      <w:r w:rsidRPr="000012B4">
        <w:rPr>
          <w:rFonts w:eastAsia="Times New Roman"/>
        </w:rPr>
        <w:t xml:space="preserve">dacă începeţi să </w:t>
      </w:r>
      <w:r w:rsidRPr="000012B4">
        <w:rPr>
          <w:rFonts w:eastAsia="Times New Roman"/>
          <w:b/>
          <w:bCs/>
        </w:rPr>
        <w:t>aveți dificultăți de respirație, să aveţi durere în piept sau să tuşiţi</w:t>
      </w:r>
      <w:r w:rsidRPr="000012B4">
        <w:rPr>
          <w:rFonts w:eastAsia="Times New Roman"/>
        </w:rPr>
        <w:t xml:space="preserve"> când luaţi </w:t>
      </w:r>
      <w:r>
        <w:rPr>
          <w:rFonts w:eastAsia="Times New Roman"/>
        </w:rPr>
        <w:t>Nodriga</w:t>
      </w:r>
      <w:r w:rsidRPr="000012B4">
        <w:rPr>
          <w:rFonts w:eastAsia="Times New Roman"/>
        </w:rPr>
        <w:t>: acesta poate fi un semn al acumulării de lichid în plămâni sau la nivel toracic (care poate apărea mai frecvent la pacienţii cu vârsta de 65 ani sau peste) sau al modificărilor în vasele de sânge care alimentează plămânii</w:t>
      </w:r>
    </w:p>
    <w:p w:rsidR="00E10080" w:rsidRPr="000012B4" w:rsidRDefault="00E10080" w:rsidP="00E10080">
      <w:pPr>
        <w:pStyle w:val="ListParagraph"/>
        <w:numPr>
          <w:ilvl w:val="0"/>
          <w:numId w:val="17"/>
        </w:numPr>
        <w:tabs>
          <w:tab w:val="left" w:pos="567"/>
        </w:tabs>
        <w:ind w:left="567" w:hanging="567"/>
        <w:rPr>
          <w:rFonts w:eastAsia="Wingdings"/>
        </w:rPr>
      </w:pPr>
      <w:r w:rsidRPr="000012B4">
        <w:rPr>
          <w:rFonts w:eastAsia="Times New Roman"/>
        </w:rPr>
        <w:t xml:space="preserve">dacă ați avut vreodată sau este posibil să aveți în prezent o infecție cu virus hepatitic B. Acest lucru este necesar deoarece </w:t>
      </w:r>
      <w:r>
        <w:rPr>
          <w:rFonts w:eastAsia="Times New Roman"/>
        </w:rPr>
        <w:t>Nodriga</w:t>
      </w:r>
      <w:r w:rsidRPr="000012B4">
        <w:rPr>
          <w:rFonts w:eastAsia="Times New Roman"/>
        </w:rPr>
        <w:t xml:space="preserve"> poate duce la reactivarea hepatitei B, care poate fi letală, în unele cazuri. Înainte de începerea tratamentului, pacienții vor fi consultați cu atenție de către medic pentru depistarea semnelor acestei infecții.</w:t>
      </w:r>
    </w:p>
    <w:p w:rsidR="00E10080" w:rsidRPr="000012B4" w:rsidRDefault="00E10080" w:rsidP="00E10080">
      <w:pPr>
        <w:pStyle w:val="ListParagraph"/>
        <w:numPr>
          <w:ilvl w:val="0"/>
          <w:numId w:val="17"/>
        </w:numPr>
        <w:tabs>
          <w:tab w:val="left" w:pos="567"/>
        </w:tabs>
        <w:ind w:left="567" w:hanging="567"/>
        <w:rPr>
          <w:rFonts w:eastAsia="Wingdings"/>
        </w:rPr>
      </w:pPr>
      <w:r w:rsidRPr="000012B4">
        <w:rPr>
          <w:rFonts w:eastAsia="Times New Roman"/>
        </w:rPr>
        <w:t xml:space="preserve">dacă aveți vânătăi, sângerări, febră, fatigabilitate și confuzie când luați </w:t>
      </w:r>
      <w:r>
        <w:rPr>
          <w:rFonts w:eastAsia="Times New Roman"/>
        </w:rPr>
        <w:t>Nodriga</w:t>
      </w:r>
      <w:r w:rsidRPr="000012B4">
        <w:rPr>
          <w:rFonts w:eastAsia="Times New Roman"/>
        </w:rPr>
        <w:t>, adresați-vă medicului dumneavoastră. Acesta poate fi un semn al deteriorării vaselor de sânge, cunoscută ca microangiopatie trombotică (MAT).</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rPr>
        <w:t xml:space="preserve">Medicul dumneavoastră vă va monitoriza regulat starea, pentru a verifica dacă </w:t>
      </w:r>
      <w:r>
        <w:rPr>
          <w:rFonts w:eastAsia="Times New Roman"/>
        </w:rPr>
        <w:t>Nodriga</w:t>
      </w:r>
      <w:r w:rsidRPr="000012B4">
        <w:rPr>
          <w:rFonts w:eastAsia="Times New Roman"/>
        </w:rPr>
        <w:t xml:space="preserve"> are efectul dorit. Vi se vor face analize de sânge regulat cât timp luaţi </w:t>
      </w:r>
      <w:r>
        <w:rPr>
          <w:rFonts w:eastAsia="Times New Roman"/>
        </w:rPr>
        <w:t>Nodriga</w:t>
      </w:r>
      <w:r w:rsidRPr="000012B4">
        <w:rPr>
          <w:rFonts w:eastAsia="Times New Roman"/>
        </w:rPr>
        <w:t>.</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b/>
          <w:bCs/>
        </w:rPr>
        <w:t>Copii şi adolescenţi</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rPr>
        <w:t xml:space="preserve">Nu administraţi acest medicament copiilor cu vârsta mai mică de un an. Experienţa în utilizarea </w:t>
      </w:r>
      <w:r>
        <w:rPr>
          <w:rFonts w:eastAsia="Times New Roman"/>
        </w:rPr>
        <w:t>Nodriga</w:t>
      </w:r>
      <w:r w:rsidRPr="000012B4">
        <w:rPr>
          <w:rFonts w:eastAsia="Times New Roman"/>
        </w:rPr>
        <w:t xml:space="preserve"> la această grupă de vârstă este limitată. Creşterea şi dezvoltarea osoasă vor fi atent monitorizate la copiii la care se administrează </w:t>
      </w:r>
      <w:r>
        <w:rPr>
          <w:rFonts w:eastAsia="Times New Roman"/>
        </w:rPr>
        <w:t>Nodriga</w:t>
      </w:r>
      <w:r w:rsidRPr="000012B4">
        <w:rPr>
          <w:rFonts w:eastAsia="Times New Roman"/>
        </w:rPr>
        <w:t>.</w:t>
      </w:r>
    </w:p>
    <w:p w:rsidR="00E10080" w:rsidRPr="000012B4" w:rsidRDefault="00E10080" w:rsidP="00E10080">
      <w:pPr>
        <w:tabs>
          <w:tab w:val="left" w:pos="567"/>
        </w:tabs>
      </w:pPr>
    </w:p>
    <w:p w:rsidR="00E10080" w:rsidRPr="000012B4" w:rsidRDefault="00E10080" w:rsidP="00E10080">
      <w:pPr>
        <w:tabs>
          <w:tab w:val="left" w:pos="567"/>
        </w:tabs>
      </w:pPr>
      <w:r>
        <w:rPr>
          <w:rFonts w:eastAsia="Times New Roman"/>
          <w:b/>
          <w:bCs/>
        </w:rPr>
        <w:t>Nodriga</w:t>
      </w:r>
      <w:r w:rsidRPr="000012B4">
        <w:rPr>
          <w:rFonts w:eastAsia="Times New Roman"/>
          <w:b/>
          <w:bCs/>
        </w:rPr>
        <w:t xml:space="preserve"> împreună cu alte medicamente</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b/>
          <w:bCs/>
        </w:rPr>
        <w:t xml:space="preserve">Spuneţi medicului dumneavoastră </w:t>
      </w:r>
      <w:r w:rsidRPr="000012B4">
        <w:rPr>
          <w:rFonts w:eastAsia="Times New Roman"/>
        </w:rPr>
        <w:t>dacă luaţi, aţi luat recent sau s-ar putea să luaţi orice alte</w:t>
      </w:r>
      <w:r w:rsidRPr="000012B4">
        <w:rPr>
          <w:rFonts w:eastAsia="Times New Roman"/>
          <w:b/>
          <w:bCs/>
        </w:rPr>
        <w:t xml:space="preserve"> </w:t>
      </w:r>
      <w:r w:rsidRPr="000012B4">
        <w:rPr>
          <w:rFonts w:eastAsia="Times New Roman"/>
        </w:rPr>
        <w:t>medicamente.</w:t>
      </w:r>
    </w:p>
    <w:p w:rsidR="00E10080" w:rsidRPr="000012B4" w:rsidRDefault="00E10080" w:rsidP="00E10080">
      <w:pPr>
        <w:tabs>
          <w:tab w:val="left" w:pos="567"/>
        </w:tabs>
      </w:pPr>
    </w:p>
    <w:p w:rsidR="00E10080" w:rsidRPr="000012B4" w:rsidRDefault="00E10080" w:rsidP="00E10080">
      <w:pPr>
        <w:tabs>
          <w:tab w:val="left" w:pos="567"/>
        </w:tabs>
      </w:pPr>
      <w:r>
        <w:rPr>
          <w:rFonts w:eastAsia="Times New Roman"/>
        </w:rPr>
        <w:t>Nodriga</w:t>
      </w:r>
      <w:r w:rsidRPr="000012B4">
        <w:rPr>
          <w:rFonts w:eastAsia="Times New Roman"/>
        </w:rPr>
        <w:t xml:space="preserve"> este metabolizat în principal de ficat. Anumite medicamente pot interfera cu efectul </w:t>
      </w:r>
      <w:r>
        <w:rPr>
          <w:rFonts w:eastAsia="Times New Roman"/>
        </w:rPr>
        <w:t>Nodriga</w:t>
      </w:r>
      <w:r w:rsidRPr="000012B4">
        <w:rPr>
          <w:rFonts w:eastAsia="Times New Roman"/>
        </w:rPr>
        <w:t xml:space="preserve"> atunci când sunt luate împreună.</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b/>
          <w:bCs/>
        </w:rPr>
        <w:t xml:space="preserve">Următoarele medicamente nu trebuie utilizate cu </w:t>
      </w:r>
      <w:r>
        <w:rPr>
          <w:rFonts w:eastAsia="Times New Roman"/>
          <w:b/>
          <w:bCs/>
        </w:rPr>
        <w:t>Nodriga</w:t>
      </w:r>
      <w:r w:rsidRPr="000012B4">
        <w:rPr>
          <w:rFonts w:eastAsia="Times New Roman"/>
          <w:b/>
          <w:bCs/>
        </w:rPr>
        <w:t>:</w:t>
      </w:r>
    </w:p>
    <w:p w:rsidR="00E10080" w:rsidRPr="000012B4" w:rsidRDefault="00E10080" w:rsidP="00E10080">
      <w:pPr>
        <w:tabs>
          <w:tab w:val="left" w:pos="567"/>
        </w:tabs>
      </w:pPr>
    </w:p>
    <w:p w:rsidR="00E10080" w:rsidRPr="000012B4" w:rsidRDefault="00E10080" w:rsidP="00E10080">
      <w:pPr>
        <w:pStyle w:val="ListParagraph"/>
        <w:numPr>
          <w:ilvl w:val="0"/>
          <w:numId w:val="18"/>
        </w:numPr>
        <w:tabs>
          <w:tab w:val="left" w:pos="567"/>
        </w:tabs>
        <w:ind w:left="567" w:hanging="567"/>
        <w:rPr>
          <w:rFonts w:eastAsia="Wingdings"/>
        </w:rPr>
      </w:pPr>
      <w:r w:rsidRPr="000012B4">
        <w:rPr>
          <w:rFonts w:eastAsia="Times New Roman"/>
        </w:rPr>
        <w:t xml:space="preserve">ketoconazol, itraconazol – acestea sunt </w:t>
      </w:r>
      <w:r w:rsidRPr="000012B4">
        <w:rPr>
          <w:rFonts w:eastAsia="Times New Roman"/>
          <w:b/>
          <w:bCs/>
        </w:rPr>
        <w:t>medicamente antifungice</w:t>
      </w:r>
    </w:p>
    <w:p w:rsidR="00E10080" w:rsidRPr="000012B4" w:rsidRDefault="00E10080" w:rsidP="00E10080">
      <w:pPr>
        <w:pStyle w:val="ListParagraph"/>
        <w:numPr>
          <w:ilvl w:val="0"/>
          <w:numId w:val="18"/>
        </w:numPr>
        <w:tabs>
          <w:tab w:val="left" w:pos="567"/>
        </w:tabs>
        <w:ind w:left="567" w:hanging="567"/>
        <w:rPr>
          <w:rFonts w:eastAsia="Wingdings"/>
        </w:rPr>
      </w:pPr>
      <w:r w:rsidRPr="000012B4">
        <w:rPr>
          <w:rFonts w:eastAsia="Times New Roman"/>
        </w:rPr>
        <w:t xml:space="preserve">eritromicină, claritromicină, telitromicină – acestea sunt </w:t>
      </w:r>
      <w:r w:rsidRPr="000012B4">
        <w:rPr>
          <w:rFonts w:eastAsia="Times New Roman"/>
          <w:b/>
          <w:bCs/>
        </w:rPr>
        <w:t>antibiotice</w:t>
      </w:r>
    </w:p>
    <w:p w:rsidR="00E10080" w:rsidRPr="000012B4" w:rsidRDefault="00E10080" w:rsidP="00E10080">
      <w:pPr>
        <w:pStyle w:val="ListParagraph"/>
        <w:numPr>
          <w:ilvl w:val="0"/>
          <w:numId w:val="18"/>
        </w:numPr>
        <w:tabs>
          <w:tab w:val="left" w:pos="567"/>
        </w:tabs>
        <w:ind w:left="567" w:hanging="567"/>
        <w:rPr>
          <w:rFonts w:eastAsia="Wingdings"/>
        </w:rPr>
      </w:pPr>
      <w:r w:rsidRPr="000012B4">
        <w:rPr>
          <w:rFonts w:eastAsia="Times New Roman"/>
        </w:rPr>
        <w:t xml:space="preserve">ritonavir – acesta este un </w:t>
      </w:r>
      <w:r w:rsidRPr="000012B4">
        <w:rPr>
          <w:rFonts w:eastAsia="Times New Roman"/>
          <w:b/>
          <w:bCs/>
        </w:rPr>
        <w:t>medicament antiviral</w:t>
      </w:r>
    </w:p>
    <w:p w:rsidR="00E10080" w:rsidRPr="000012B4" w:rsidRDefault="00E10080" w:rsidP="00E10080">
      <w:pPr>
        <w:pStyle w:val="ListParagraph"/>
        <w:numPr>
          <w:ilvl w:val="0"/>
          <w:numId w:val="18"/>
        </w:numPr>
        <w:tabs>
          <w:tab w:val="left" w:pos="567"/>
        </w:tabs>
        <w:ind w:left="567" w:hanging="567"/>
        <w:rPr>
          <w:rFonts w:eastAsia="Wingdings"/>
        </w:rPr>
      </w:pPr>
      <w:r w:rsidRPr="000012B4">
        <w:rPr>
          <w:rFonts w:eastAsia="Times New Roman"/>
        </w:rPr>
        <w:t xml:space="preserve">fenitoină, carbamazepină, fenobarbital – acestea sunt tratamente pentru </w:t>
      </w:r>
      <w:r w:rsidRPr="000012B4">
        <w:rPr>
          <w:rFonts w:eastAsia="Times New Roman"/>
          <w:b/>
          <w:bCs/>
        </w:rPr>
        <w:t>epilepsie</w:t>
      </w:r>
    </w:p>
    <w:p w:rsidR="00E10080" w:rsidRPr="000012B4" w:rsidRDefault="00E10080" w:rsidP="00E10080">
      <w:pPr>
        <w:pStyle w:val="ListParagraph"/>
        <w:numPr>
          <w:ilvl w:val="0"/>
          <w:numId w:val="18"/>
        </w:numPr>
        <w:tabs>
          <w:tab w:val="left" w:pos="567"/>
        </w:tabs>
        <w:ind w:left="567" w:hanging="567"/>
        <w:rPr>
          <w:rFonts w:eastAsia="Wingdings"/>
        </w:rPr>
      </w:pPr>
      <w:r w:rsidRPr="000012B4">
        <w:rPr>
          <w:rFonts w:eastAsia="Times New Roman"/>
        </w:rPr>
        <w:t xml:space="preserve">rifampicină – acesta este un tratament pentru </w:t>
      </w:r>
      <w:r w:rsidRPr="000012B4">
        <w:rPr>
          <w:rFonts w:eastAsia="Times New Roman"/>
          <w:b/>
          <w:bCs/>
        </w:rPr>
        <w:t>tuberculoză</w:t>
      </w:r>
    </w:p>
    <w:p w:rsidR="00E10080" w:rsidRPr="000012B4" w:rsidRDefault="00E10080" w:rsidP="00E10080">
      <w:pPr>
        <w:pStyle w:val="ListParagraph"/>
        <w:numPr>
          <w:ilvl w:val="0"/>
          <w:numId w:val="18"/>
        </w:numPr>
        <w:tabs>
          <w:tab w:val="left" w:pos="567"/>
        </w:tabs>
        <w:ind w:left="567" w:hanging="567"/>
        <w:rPr>
          <w:rFonts w:eastAsia="Wingdings"/>
        </w:rPr>
      </w:pPr>
      <w:r w:rsidRPr="000012B4">
        <w:rPr>
          <w:rFonts w:eastAsia="Times New Roman"/>
        </w:rPr>
        <w:t xml:space="preserve">famotidină, omeprazol – acestea sunt medicamente care </w:t>
      </w:r>
      <w:r w:rsidRPr="000012B4">
        <w:rPr>
          <w:rFonts w:eastAsia="Times New Roman"/>
          <w:b/>
          <w:bCs/>
        </w:rPr>
        <w:t>blochează formarea acidului gastric</w:t>
      </w:r>
    </w:p>
    <w:p w:rsidR="00E10080" w:rsidRPr="000012B4" w:rsidRDefault="00E10080" w:rsidP="00E10080">
      <w:pPr>
        <w:pStyle w:val="ListParagraph"/>
        <w:numPr>
          <w:ilvl w:val="0"/>
          <w:numId w:val="18"/>
        </w:numPr>
        <w:tabs>
          <w:tab w:val="left" w:pos="567"/>
        </w:tabs>
        <w:ind w:left="567" w:hanging="567"/>
        <w:rPr>
          <w:rFonts w:eastAsia="Wingdings"/>
        </w:rPr>
      </w:pPr>
      <w:r w:rsidRPr="000012B4">
        <w:rPr>
          <w:rFonts w:eastAsia="Times New Roman"/>
        </w:rPr>
        <w:t xml:space="preserve">sunătoare – un preparat din plante medicinale obţinut fără prescripţie medicală, folosit pentru a trata </w:t>
      </w:r>
      <w:r w:rsidRPr="000012B4">
        <w:rPr>
          <w:rFonts w:eastAsia="Times New Roman"/>
          <w:b/>
          <w:bCs/>
        </w:rPr>
        <w:t>depresia</w:t>
      </w:r>
      <w:r w:rsidRPr="000012B4">
        <w:rPr>
          <w:rFonts w:eastAsia="Times New Roman"/>
        </w:rPr>
        <w:t xml:space="preserve"> şi alte afecţiuni (cunoscută, de asemenea, ca </w:t>
      </w:r>
      <w:r w:rsidRPr="000012B4">
        <w:rPr>
          <w:rFonts w:eastAsia="Times New Roman"/>
          <w:i/>
          <w:iCs/>
        </w:rPr>
        <w:t>Hypericum perforatum</w:t>
      </w:r>
      <w:r w:rsidRPr="000012B4">
        <w:rPr>
          <w:rFonts w:eastAsia="Times New Roman"/>
        </w:rPr>
        <w:t>).</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b/>
          <w:bCs/>
        </w:rPr>
        <w:t xml:space="preserve">Nu luaţi </w:t>
      </w:r>
      <w:r w:rsidRPr="000012B4">
        <w:rPr>
          <w:rFonts w:eastAsia="Times New Roman"/>
        </w:rPr>
        <w:t>medicamente care neutralizează aciditatea gastrică (</w:t>
      </w:r>
      <w:r w:rsidRPr="000012B4">
        <w:rPr>
          <w:rFonts w:eastAsia="Times New Roman"/>
          <w:b/>
          <w:bCs/>
        </w:rPr>
        <w:t>antiacide</w:t>
      </w:r>
      <w:r w:rsidRPr="000012B4">
        <w:rPr>
          <w:rFonts w:eastAsia="Times New Roman"/>
        </w:rPr>
        <w:t>, cum ar fi hidroxidul de</w:t>
      </w:r>
      <w:r w:rsidRPr="000012B4">
        <w:rPr>
          <w:rFonts w:eastAsia="Times New Roman"/>
          <w:b/>
          <w:bCs/>
        </w:rPr>
        <w:t xml:space="preserve"> </w:t>
      </w:r>
      <w:r w:rsidRPr="000012B4">
        <w:rPr>
          <w:rFonts w:eastAsia="Times New Roman"/>
        </w:rPr>
        <w:t xml:space="preserve">aluminiu sau hidroxidul de magneziu) cu </w:t>
      </w:r>
      <w:r w:rsidRPr="000012B4">
        <w:rPr>
          <w:rFonts w:eastAsia="Times New Roman"/>
          <w:b/>
          <w:bCs/>
        </w:rPr>
        <w:t xml:space="preserve">2 ore înainte sau 2 ore după ce luaţi </w:t>
      </w:r>
      <w:r>
        <w:rPr>
          <w:rFonts w:eastAsia="Times New Roman"/>
          <w:b/>
          <w:bCs/>
        </w:rPr>
        <w:t>Nodriga</w:t>
      </w:r>
      <w:r w:rsidRPr="000012B4">
        <w:rPr>
          <w:rFonts w:eastAsia="Times New Roman"/>
          <w:b/>
          <w:bCs/>
        </w:rPr>
        <w:t>.</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b/>
          <w:bCs/>
        </w:rPr>
        <w:t xml:space="preserve">Spuneţi medicului dumneavoastră </w:t>
      </w:r>
      <w:r w:rsidRPr="000012B4">
        <w:rPr>
          <w:rFonts w:eastAsia="Times New Roman"/>
        </w:rPr>
        <w:t>dacă luaţi</w:t>
      </w:r>
      <w:r w:rsidRPr="000012B4">
        <w:rPr>
          <w:rFonts w:eastAsia="Times New Roman"/>
          <w:b/>
          <w:bCs/>
        </w:rPr>
        <w:t xml:space="preserve"> medicamente pentru subţierea sângelui </w:t>
      </w:r>
      <w:r w:rsidRPr="000012B4">
        <w:rPr>
          <w:rFonts w:eastAsia="Times New Roman"/>
        </w:rPr>
        <w:t>sau care</w:t>
      </w:r>
      <w:r w:rsidRPr="000012B4">
        <w:rPr>
          <w:rFonts w:eastAsia="Times New Roman"/>
          <w:b/>
          <w:bCs/>
        </w:rPr>
        <w:t xml:space="preserve"> </w:t>
      </w:r>
      <w:r w:rsidRPr="000012B4">
        <w:rPr>
          <w:rFonts w:eastAsia="Times New Roman"/>
        </w:rPr>
        <w:t>previn coagularea.</w:t>
      </w:r>
    </w:p>
    <w:p w:rsidR="00E10080" w:rsidRPr="000012B4" w:rsidRDefault="00E10080" w:rsidP="00E10080">
      <w:pPr>
        <w:tabs>
          <w:tab w:val="left" w:pos="567"/>
        </w:tabs>
      </w:pPr>
    </w:p>
    <w:p w:rsidR="00E10080" w:rsidRPr="000012B4" w:rsidRDefault="00E10080" w:rsidP="00E10080">
      <w:pPr>
        <w:tabs>
          <w:tab w:val="left" w:pos="567"/>
        </w:tabs>
      </w:pPr>
      <w:r>
        <w:rPr>
          <w:rFonts w:eastAsia="Times New Roman"/>
          <w:b/>
          <w:bCs/>
        </w:rPr>
        <w:t>Nodriga</w:t>
      </w:r>
      <w:r w:rsidRPr="000012B4">
        <w:rPr>
          <w:rFonts w:eastAsia="Times New Roman"/>
          <w:b/>
          <w:bCs/>
        </w:rPr>
        <w:t xml:space="preserve"> împreună cu alimente şi băuturi</w:t>
      </w:r>
    </w:p>
    <w:p w:rsidR="00E10080" w:rsidRPr="000012B4" w:rsidRDefault="00E10080" w:rsidP="00E10080">
      <w:pPr>
        <w:tabs>
          <w:tab w:val="left" w:pos="567"/>
        </w:tabs>
      </w:pPr>
    </w:p>
    <w:p w:rsidR="00E10080" w:rsidRPr="000012B4" w:rsidRDefault="00E10080" w:rsidP="00E10080">
      <w:pPr>
        <w:tabs>
          <w:tab w:val="left" w:pos="567"/>
        </w:tabs>
        <w:rPr>
          <w:rFonts w:eastAsia="Times New Roman"/>
          <w:b/>
          <w:bCs/>
        </w:rPr>
      </w:pPr>
      <w:r w:rsidRPr="000012B4">
        <w:rPr>
          <w:rFonts w:eastAsia="Times New Roman"/>
        </w:rPr>
        <w:t xml:space="preserve">Nu luaţi </w:t>
      </w:r>
      <w:r>
        <w:rPr>
          <w:rFonts w:eastAsia="Times New Roman"/>
        </w:rPr>
        <w:t>Nodriga</w:t>
      </w:r>
      <w:r w:rsidRPr="000012B4">
        <w:rPr>
          <w:rFonts w:eastAsia="Times New Roman"/>
        </w:rPr>
        <w:t xml:space="preserve"> împreună cu grepfrut sau cu suc de grepfrut.</w:t>
      </w:r>
    </w:p>
    <w:p w:rsidR="00E10080" w:rsidRPr="000012B4" w:rsidRDefault="00E10080" w:rsidP="00E10080">
      <w:pPr>
        <w:tabs>
          <w:tab w:val="left" w:pos="567"/>
        </w:tabs>
        <w:rPr>
          <w:rFonts w:eastAsia="Times New Roman"/>
          <w:b/>
          <w:bCs/>
        </w:rPr>
      </w:pPr>
    </w:p>
    <w:p w:rsidR="00E10080" w:rsidRPr="000012B4" w:rsidRDefault="00E10080" w:rsidP="00E10080">
      <w:pPr>
        <w:tabs>
          <w:tab w:val="left" w:pos="567"/>
        </w:tabs>
      </w:pPr>
      <w:r w:rsidRPr="000012B4">
        <w:rPr>
          <w:rFonts w:eastAsia="Times New Roman"/>
          <w:b/>
          <w:bCs/>
        </w:rPr>
        <w:t>Sarcina şi alăptarea</w:t>
      </w:r>
    </w:p>
    <w:p w:rsidR="00E10080" w:rsidRPr="000012B4" w:rsidRDefault="00E10080" w:rsidP="00E10080">
      <w:pPr>
        <w:tabs>
          <w:tab w:val="left" w:pos="567"/>
        </w:tabs>
      </w:pPr>
    </w:p>
    <w:p w:rsidR="00E10080" w:rsidRPr="000012B4" w:rsidRDefault="00E10080" w:rsidP="00E10080">
      <w:pPr>
        <w:tabs>
          <w:tab w:val="left" w:pos="567"/>
        </w:tabs>
        <w:jc w:val="both"/>
      </w:pPr>
      <w:r w:rsidRPr="000012B4">
        <w:rPr>
          <w:rFonts w:eastAsia="Times New Roman"/>
          <w:b/>
          <w:bCs/>
        </w:rPr>
        <w:t xml:space="preserve">Dacă sunteţi gravidă </w:t>
      </w:r>
      <w:r w:rsidRPr="000012B4">
        <w:rPr>
          <w:rFonts w:eastAsia="Times New Roman"/>
        </w:rPr>
        <w:t>sau credeţi că aţi putea fi gravidă,</w:t>
      </w:r>
      <w:r w:rsidRPr="000012B4">
        <w:rPr>
          <w:rFonts w:eastAsia="Times New Roman"/>
          <w:b/>
          <w:bCs/>
        </w:rPr>
        <w:t xml:space="preserve"> informaţi imediat medicul dumneavoastră. </w:t>
      </w:r>
      <w:r>
        <w:rPr>
          <w:rFonts w:eastAsia="Times New Roman"/>
          <w:b/>
          <w:bCs/>
        </w:rPr>
        <w:t>Nodriga</w:t>
      </w:r>
      <w:r w:rsidRPr="000012B4">
        <w:rPr>
          <w:rFonts w:eastAsia="Times New Roman"/>
          <w:b/>
          <w:bCs/>
        </w:rPr>
        <w:t xml:space="preserve"> nu trebuie folosit în timpul sarcinii </w:t>
      </w:r>
      <w:r w:rsidRPr="000012B4">
        <w:rPr>
          <w:rFonts w:eastAsia="Times New Roman"/>
        </w:rPr>
        <w:t>decât dacă este neapărat necesar. Medicul va discuta</w:t>
      </w:r>
      <w:r w:rsidRPr="000012B4">
        <w:rPr>
          <w:rFonts w:eastAsia="Times New Roman"/>
          <w:b/>
          <w:bCs/>
        </w:rPr>
        <w:t xml:space="preserve"> </w:t>
      </w:r>
      <w:r w:rsidRPr="000012B4">
        <w:rPr>
          <w:rFonts w:eastAsia="Times New Roman"/>
        </w:rPr>
        <w:t xml:space="preserve">cu dumneavoastră potenţialele riscuri de a lua </w:t>
      </w:r>
      <w:r>
        <w:rPr>
          <w:rFonts w:eastAsia="Times New Roman"/>
        </w:rPr>
        <w:t>Nodriga</w:t>
      </w:r>
      <w:r w:rsidRPr="000012B4">
        <w:rPr>
          <w:rFonts w:eastAsia="Times New Roman"/>
        </w:rPr>
        <w:t xml:space="preserve"> în timpul sarcinii.</w:t>
      </w:r>
    </w:p>
    <w:p w:rsidR="00E10080" w:rsidRPr="000012B4" w:rsidRDefault="00E10080" w:rsidP="00E10080">
      <w:pPr>
        <w:tabs>
          <w:tab w:val="left" w:pos="567"/>
        </w:tabs>
      </w:pPr>
    </w:p>
    <w:p w:rsidR="00E10080" w:rsidRPr="000012B4" w:rsidRDefault="00E10080" w:rsidP="00E10080">
      <w:pPr>
        <w:tabs>
          <w:tab w:val="left" w:pos="567"/>
        </w:tabs>
        <w:rPr>
          <w:rFonts w:eastAsia="Times New Roman"/>
        </w:rPr>
      </w:pPr>
      <w:r w:rsidRPr="000012B4">
        <w:rPr>
          <w:rFonts w:eastAsia="Times New Roman"/>
        </w:rPr>
        <w:t xml:space="preserve">Şi femeile şi bărbaţii care iau </w:t>
      </w:r>
      <w:r>
        <w:rPr>
          <w:rFonts w:eastAsia="Times New Roman"/>
        </w:rPr>
        <w:t>Nodriga</w:t>
      </w:r>
      <w:r w:rsidRPr="000012B4">
        <w:rPr>
          <w:rFonts w:eastAsia="Times New Roman"/>
        </w:rPr>
        <w:t xml:space="preserve"> vor fi sfătuiţi să folosească metode contraceptive eficace în timpul tratamentului.</w:t>
      </w:r>
      <w:bookmarkStart w:id="3" w:name="page61"/>
      <w:bookmarkEnd w:id="3"/>
    </w:p>
    <w:p w:rsidR="00E10080" w:rsidRPr="000012B4" w:rsidRDefault="00E10080" w:rsidP="00E10080">
      <w:pPr>
        <w:tabs>
          <w:tab w:val="left" w:pos="567"/>
        </w:tabs>
        <w:rPr>
          <w:rFonts w:eastAsia="Times New Roman"/>
        </w:rPr>
      </w:pPr>
    </w:p>
    <w:p w:rsidR="00E10080" w:rsidRPr="000012B4" w:rsidRDefault="00E10080" w:rsidP="00E10080">
      <w:pPr>
        <w:tabs>
          <w:tab w:val="left" w:pos="567"/>
        </w:tabs>
      </w:pPr>
      <w:r w:rsidRPr="000012B4">
        <w:rPr>
          <w:rFonts w:eastAsia="Times New Roman"/>
          <w:b/>
          <w:bCs/>
        </w:rPr>
        <w:t xml:space="preserve">Dacă alăptaţi, informaţi medicul dumneavoastră. </w:t>
      </w:r>
      <w:r w:rsidRPr="000012B4">
        <w:rPr>
          <w:rFonts w:eastAsia="Times New Roman"/>
        </w:rPr>
        <w:t>Trebuie să opriţi alăptarea în timpul tratamentului</w:t>
      </w:r>
      <w:r w:rsidRPr="000012B4">
        <w:rPr>
          <w:rFonts w:eastAsia="Times New Roman"/>
          <w:b/>
          <w:bCs/>
        </w:rPr>
        <w:t xml:space="preserve"> </w:t>
      </w:r>
      <w:r w:rsidRPr="000012B4">
        <w:rPr>
          <w:rFonts w:eastAsia="Times New Roman"/>
        </w:rPr>
        <w:t xml:space="preserve">cu </w:t>
      </w:r>
      <w:r>
        <w:rPr>
          <w:rFonts w:eastAsia="Times New Roman"/>
        </w:rPr>
        <w:t>Nodriga</w:t>
      </w:r>
      <w:r w:rsidRPr="000012B4">
        <w:rPr>
          <w:rFonts w:eastAsia="Times New Roman"/>
        </w:rPr>
        <w:t>.</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b/>
          <w:bCs/>
        </w:rPr>
        <w:t>Conducerea vehiculelor şi folosirea utilajelor</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rPr>
        <w:t>Luaţi precauţii speciale când conduceţi vehicule sau folosiţi utilaje, dacă aveţi reacţii adverse cum sunt ameţeli şi vedere încețoșată.</w:t>
      </w:r>
    </w:p>
    <w:p w:rsidR="00E10080" w:rsidRPr="000012B4" w:rsidRDefault="00E10080" w:rsidP="00E10080">
      <w:pPr>
        <w:tabs>
          <w:tab w:val="left" w:pos="567"/>
        </w:tabs>
      </w:pPr>
    </w:p>
    <w:p w:rsidR="00E10080" w:rsidRPr="000012B4" w:rsidRDefault="00E10080" w:rsidP="00E10080">
      <w:pPr>
        <w:tabs>
          <w:tab w:val="left" w:pos="567"/>
        </w:tabs>
      </w:pPr>
      <w:r>
        <w:rPr>
          <w:rFonts w:eastAsia="Times New Roman"/>
          <w:b/>
          <w:bCs/>
        </w:rPr>
        <w:t>Nodriga</w:t>
      </w:r>
      <w:r w:rsidRPr="000012B4">
        <w:rPr>
          <w:rFonts w:eastAsia="Times New Roman"/>
          <w:b/>
          <w:bCs/>
        </w:rPr>
        <w:t xml:space="preserve"> conţine lactoză</w:t>
      </w:r>
    </w:p>
    <w:p w:rsidR="00E10080" w:rsidRPr="000012B4" w:rsidRDefault="00E10080" w:rsidP="00E10080">
      <w:pPr>
        <w:tabs>
          <w:tab w:val="left" w:pos="567"/>
        </w:tabs>
      </w:pPr>
    </w:p>
    <w:p w:rsidR="00E10080" w:rsidRPr="000012B4" w:rsidRDefault="00E10080" w:rsidP="00E10080">
      <w:pPr>
        <w:tabs>
          <w:tab w:val="left" w:pos="567"/>
        </w:tabs>
        <w:rPr>
          <w:rFonts w:eastAsia="Times New Roman"/>
        </w:rPr>
      </w:pPr>
      <w:r w:rsidRPr="000012B4">
        <w:rPr>
          <w:rFonts w:eastAsia="Times New Roman"/>
        </w:rPr>
        <w:t>Dacă medicul dumneavoastră v-a atenționat că aveți intoleranţă la unele categorii de glucide,</w:t>
      </w:r>
      <w:r>
        <w:rPr>
          <w:rFonts w:eastAsia="Times New Roman"/>
        </w:rPr>
        <w:t xml:space="preserve"> </w:t>
      </w:r>
      <w:r w:rsidR="00985A86">
        <w:rPr>
          <w:rFonts w:eastAsia="Times New Roman"/>
        </w:rPr>
        <w:t xml:space="preserve"> contactați</w:t>
      </w:r>
      <w:r w:rsidR="00FA2777">
        <w:rPr>
          <w:rFonts w:eastAsia="Times New Roman"/>
        </w:rPr>
        <w:t>-l pe acesta</w:t>
      </w:r>
      <w:r>
        <w:t xml:space="preserve"> </w:t>
      </w:r>
      <w:r w:rsidRPr="000012B4">
        <w:rPr>
          <w:rFonts w:eastAsia="Times New Roman"/>
        </w:rPr>
        <w:t xml:space="preserve">înainte de a lua acest medicament. </w:t>
      </w:r>
    </w:p>
    <w:p w:rsidR="00E10080" w:rsidRPr="000012B4" w:rsidRDefault="00E10080" w:rsidP="00E10080">
      <w:pPr>
        <w:tabs>
          <w:tab w:val="left" w:pos="567"/>
        </w:tabs>
        <w:rPr>
          <w:rFonts w:eastAsia="Times New Roman"/>
        </w:rPr>
      </w:pPr>
    </w:p>
    <w:p w:rsidR="00E10080" w:rsidRPr="000012B4" w:rsidRDefault="00E10080" w:rsidP="00E10080">
      <w:pPr>
        <w:tabs>
          <w:tab w:val="left" w:pos="567"/>
        </w:tabs>
      </w:pPr>
      <w:r w:rsidRPr="000012B4">
        <w:t>Acest medicament conţine sodiu mai puţin de 1 mmol (23 mg) per doză, adică practic „nu conţine sodiu”.</w:t>
      </w:r>
    </w:p>
    <w:p w:rsidR="00E10080" w:rsidRPr="000012B4" w:rsidRDefault="00E10080" w:rsidP="00E10080">
      <w:pPr>
        <w:tabs>
          <w:tab w:val="left" w:pos="567"/>
        </w:tabs>
      </w:pPr>
    </w:p>
    <w:p w:rsidR="00E10080" w:rsidRPr="000012B4" w:rsidRDefault="00E10080" w:rsidP="00E10080">
      <w:pPr>
        <w:tabs>
          <w:tab w:val="left" w:pos="567"/>
        </w:tabs>
      </w:pPr>
    </w:p>
    <w:p w:rsidR="00E10080" w:rsidRPr="000012B4" w:rsidRDefault="00E10080" w:rsidP="00E10080">
      <w:pPr>
        <w:numPr>
          <w:ilvl w:val="0"/>
          <w:numId w:val="4"/>
        </w:numPr>
        <w:tabs>
          <w:tab w:val="left" w:pos="567"/>
          <w:tab w:val="left" w:pos="940"/>
        </w:tabs>
        <w:rPr>
          <w:rFonts w:eastAsia="Times New Roman"/>
          <w:b/>
          <w:bCs/>
        </w:rPr>
      </w:pPr>
      <w:r w:rsidRPr="000012B4">
        <w:rPr>
          <w:rFonts w:eastAsia="Times New Roman"/>
          <w:b/>
          <w:bCs/>
        </w:rPr>
        <w:t xml:space="preserve">Cum să luaţi </w:t>
      </w:r>
      <w:r>
        <w:rPr>
          <w:rFonts w:eastAsia="Times New Roman"/>
          <w:b/>
          <w:bCs/>
        </w:rPr>
        <w:t>Nodriga</w:t>
      </w:r>
    </w:p>
    <w:p w:rsidR="00E10080" w:rsidRPr="000012B4" w:rsidRDefault="00E10080" w:rsidP="00E10080">
      <w:pPr>
        <w:tabs>
          <w:tab w:val="left" w:pos="567"/>
        </w:tabs>
      </w:pPr>
    </w:p>
    <w:p w:rsidR="00E10080" w:rsidRPr="000012B4" w:rsidRDefault="00E10080" w:rsidP="00E10080">
      <w:pPr>
        <w:tabs>
          <w:tab w:val="left" w:pos="567"/>
        </w:tabs>
      </w:pPr>
      <w:r>
        <w:rPr>
          <w:rFonts w:eastAsia="Times New Roman"/>
        </w:rPr>
        <w:t>Nodriga</w:t>
      </w:r>
      <w:r w:rsidRPr="000012B4">
        <w:rPr>
          <w:rFonts w:eastAsia="Times New Roman"/>
        </w:rPr>
        <w:t xml:space="preserve"> vi se va prescrie doar de către un medic cu experienţă în tratamentul leucemiei. Luaţi întotdeauna acest medicament exact aşa cum v-a spus medicul. Discutaţi cu medicul dumneavoastră sau cu farmacistul dacă nu sunteţi sigur. </w:t>
      </w:r>
      <w:r>
        <w:rPr>
          <w:rFonts w:eastAsia="Times New Roman"/>
        </w:rPr>
        <w:t>Nodriga</w:t>
      </w:r>
      <w:r w:rsidRPr="000012B4">
        <w:rPr>
          <w:rFonts w:eastAsia="Times New Roman"/>
        </w:rPr>
        <w:t xml:space="preserve"> este prescris pentru adulţi şi copii cu vârsta de cel puţin 1 an.</w:t>
      </w:r>
    </w:p>
    <w:p w:rsidR="00E10080" w:rsidRPr="000012B4" w:rsidRDefault="00E10080" w:rsidP="00E10080">
      <w:pPr>
        <w:tabs>
          <w:tab w:val="left" w:pos="567"/>
        </w:tabs>
      </w:pPr>
    </w:p>
    <w:p w:rsidR="00E10080" w:rsidRPr="000012B4" w:rsidRDefault="00E10080" w:rsidP="00E10080">
      <w:pPr>
        <w:tabs>
          <w:tab w:val="left" w:pos="567"/>
        </w:tabs>
      </w:pPr>
      <w:r w:rsidRPr="00FA3994">
        <w:rPr>
          <w:rFonts w:eastAsia="Times New Roman"/>
          <w:b/>
          <w:bCs/>
          <w:highlight w:val="lightGray"/>
        </w:rPr>
        <w:t>Doza inițială recomandată pentru pacienţii adulţi cu LMC în fază cronică este de 100 mg o dată pe zi.</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b/>
          <w:bCs/>
        </w:rPr>
        <w:t xml:space="preserve">Doza inițială recomandată pentru pacienţii adulţi </w:t>
      </w:r>
      <w:r w:rsidRPr="00FA3994">
        <w:rPr>
          <w:rFonts w:eastAsia="Times New Roman"/>
          <w:b/>
          <w:bCs/>
          <w:highlight w:val="lightGray"/>
        </w:rPr>
        <w:t>cu LMC în fază accelerată sau blastică sau</w:t>
      </w:r>
      <w:r w:rsidRPr="000012B4">
        <w:rPr>
          <w:rFonts w:eastAsia="Times New Roman"/>
          <w:b/>
          <w:bCs/>
        </w:rPr>
        <w:t xml:space="preserve"> cu LAL Ph+ este de 140 mg o dată pe zi.</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b/>
          <w:bCs/>
        </w:rPr>
        <w:t xml:space="preserve">Dozele pentru copii cu </w:t>
      </w:r>
      <w:r w:rsidRPr="00FA3994">
        <w:rPr>
          <w:rFonts w:eastAsia="Times New Roman"/>
          <w:b/>
          <w:bCs/>
          <w:highlight w:val="lightGray"/>
        </w:rPr>
        <w:t>LMC în fază cronică sau</w:t>
      </w:r>
      <w:r w:rsidRPr="000012B4">
        <w:rPr>
          <w:rFonts w:eastAsia="Times New Roman"/>
          <w:b/>
          <w:bCs/>
        </w:rPr>
        <w:t xml:space="preserve"> cu LAL Ph+ se stabilesc pe baza greutăţii corporale. </w:t>
      </w:r>
      <w:r>
        <w:rPr>
          <w:rFonts w:eastAsia="Times New Roman"/>
        </w:rPr>
        <w:t>Nodriga</w:t>
      </w:r>
      <w:r w:rsidRPr="000012B4">
        <w:rPr>
          <w:rFonts w:eastAsia="Times New Roman"/>
        </w:rPr>
        <w:t xml:space="preserve"> se administrează pe cale orală o dată pe zi fie sub formă de </w:t>
      </w:r>
      <w:r>
        <w:rPr>
          <w:rFonts w:eastAsia="Times New Roman"/>
        </w:rPr>
        <w:t>Nodriga</w:t>
      </w:r>
      <w:r w:rsidRPr="000012B4">
        <w:rPr>
          <w:rFonts w:eastAsia="Times New Roman"/>
        </w:rPr>
        <w:t xml:space="preserve"> comprimate sau sub formă de </w:t>
      </w:r>
      <w:r>
        <w:rPr>
          <w:rFonts w:eastAsia="Times New Roman"/>
        </w:rPr>
        <w:t>Nodriga</w:t>
      </w:r>
      <w:r w:rsidRPr="000012B4">
        <w:rPr>
          <w:rFonts w:eastAsia="Times New Roman"/>
        </w:rPr>
        <w:t xml:space="preserve"> pulbere pentru suspensie orală. Administrarea </w:t>
      </w:r>
      <w:r>
        <w:rPr>
          <w:rFonts w:eastAsia="Times New Roman"/>
        </w:rPr>
        <w:t>Nodriga</w:t>
      </w:r>
      <w:r w:rsidRPr="000012B4">
        <w:rPr>
          <w:rFonts w:eastAsia="Times New Roman"/>
        </w:rPr>
        <w:t xml:space="preserve"> sub formă de comprimate nu este recomandată pentru pacienţii cu greutate corporală mai mică de 10 kg. La pacienţii cu greutate corporală mai mică de 10 kg și la pacienții care nu pot înghiți comprimate trebuie utilizată pulberea pentru suspensie orală. La schimbarea între formulări (adică, comprimate și pulbere pentru suspensie orală) poate să apară o modificare a dozei, astfel încât nu trebuie să treceți de la una la alta.</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rPr>
        <w:t xml:space="preserve">Medicul dumneavoastră va stabili formularea și doza corecte pe baza greutăţii corporale, oricăror reacții adverse și răspunsului la tratament. Doza inițială de </w:t>
      </w:r>
      <w:r>
        <w:rPr>
          <w:rFonts w:eastAsia="Times New Roman"/>
        </w:rPr>
        <w:t>Nodriga</w:t>
      </w:r>
      <w:r w:rsidRPr="000012B4">
        <w:rPr>
          <w:rFonts w:eastAsia="Times New Roman"/>
        </w:rPr>
        <w:t xml:space="preserve"> pentru copii se calculează în funcţie de greutatea corporală după cum este prezentat mai jos:</w:t>
      </w:r>
    </w:p>
    <w:p w:rsidR="00E10080" w:rsidRPr="000012B4" w:rsidRDefault="00E10080" w:rsidP="00E10080">
      <w:pPr>
        <w:tabs>
          <w:tab w:val="left" w:pos="567"/>
        </w:tabs>
      </w:pPr>
    </w:p>
    <w:tbl>
      <w:tblPr>
        <w:tblW w:w="9127" w:type="dxa"/>
        <w:tblInd w:w="420" w:type="dxa"/>
        <w:tblLayout w:type="fixed"/>
        <w:tblCellMar>
          <w:left w:w="0" w:type="dxa"/>
          <w:right w:w="0" w:type="dxa"/>
        </w:tblCellMar>
        <w:tblLook w:val="04A0" w:firstRow="1" w:lastRow="0" w:firstColumn="1" w:lastColumn="0" w:noHBand="0" w:noVBand="1"/>
      </w:tblPr>
      <w:tblGrid>
        <w:gridCol w:w="3629"/>
        <w:gridCol w:w="5498"/>
      </w:tblGrid>
      <w:tr w:rsidR="00E10080" w:rsidRPr="000012B4" w:rsidTr="00DE0409">
        <w:trPr>
          <w:trHeight w:val="348"/>
        </w:trPr>
        <w:tc>
          <w:tcPr>
            <w:tcW w:w="3629" w:type="dxa"/>
            <w:tcBorders>
              <w:top w:val="single" w:sz="8" w:space="0" w:color="auto"/>
              <w:bottom w:val="single" w:sz="8" w:space="0" w:color="auto"/>
            </w:tcBorders>
            <w:vAlign w:val="bottom"/>
          </w:tcPr>
          <w:p w:rsidR="00E10080" w:rsidRPr="000012B4" w:rsidRDefault="00E10080" w:rsidP="00F50874">
            <w:pPr>
              <w:tabs>
                <w:tab w:val="left" w:pos="567"/>
              </w:tabs>
            </w:pPr>
            <w:r w:rsidRPr="000012B4">
              <w:rPr>
                <w:rFonts w:eastAsia="Times New Roman"/>
                <w:b/>
                <w:bCs/>
              </w:rPr>
              <w:t>Greutate corporală (kg)</w:t>
            </w:r>
            <w:r w:rsidRPr="000012B4">
              <w:rPr>
                <w:rFonts w:eastAsia="Times New Roman"/>
                <w:vertAlign w:val="superscript"/>
              </w:rPr>
              <w:t>a</w:t>
            </w:r>
          </w:p>
        </w:tc>
        <w:tc>
          <w:tcPr>
            <w:tcW w:w="5498" w:type="dxa"/>
            <w:tcBorders>
              <w:top w:val="single" w:sz="8" w:space="0" w:color="auto"/>
              <w:bottom w:val="single" w:sz="8" w:space="0" w:color="auto"/>
            </w:tcBorders>
            <w:vAlign w:val="bottom"/>
          </w:tcPr>
          <w:p w:rsidR="00E10080" w:rsidRPr="000012B4" w:rsidRDefault="00E10080" w:rsidP="00F50874">
            <w:pPr>
              <w:tabs>
                <w:tab w:val="left" w:pos="567"/>
              </w:tabs>
            </w:pPr>
            <w:r w:rsidRPr="000012B4">
              <w:rPr>
                <w:rFonts w:eastAsia="Times New Roman"/>
                <w:b/>
                <w:bCs/>
              </w:rPr>
              <w:t>Doză zilnică (mg)</w:t>
            </w:r>
          </w:p>
        </w:tc>
      </w:tr>
      <w:tr w:rsidR="00E10080" w:rsidRPr="000012B4" w:rsidTr="00DE0409">
        <w:trPr>
          <w:trHeight w:val="313"/>
        </w:trPr>
        <w:tc>
          <w:tcPr>
            <w:tcW w:w="3629" w:type="dxa"/>
            <w:vAlign w:val="bottom"/>
          </w:tcPr>
          <w:p w:rsidR="00E10080" w:rsidRPr="000012B4" w:rsidRDefault="00E10080" w:rsidP="00F50874">
            <w:pPr>
              <w:tabs>
                <w:tab w:val="left" w:pos="567"/>
              </w:tabs>
            </w:pPr>
            <w:r w:rsidRPr="000012B4">
              <w:rPr>
                <w:rFonts w:eastAsia="Times New Roman"/>
              </w:rPr>
              <w:t>10 până la mai puţin de 20 kg</w:t>
            </w:r>
          </w:p>
        </w:tc>
        <w:tc>
          <w:tcPr>
            <w:tcW w:w="5498" w:type="dxa"/>
            <w:vAlign w:val="bottom"/>
          </w:tcPr>
          <w:p w:rsidR="00E10080" w:rsidRPr="000012B4" w:rsidRDefault="00E10080" w:rsidP="00F50874">
            <w:pPr>
              <w:tabs>
                <w:tab w:val="left" w:pos="567"/>
              </w:tabs>
            </w:pPr>
            <w:r w:rsidRPr="000012B4">
              <w:rPr>
                <w:rFonts w:eastAsia="Times New Roman"/>
              </w:rPr>
              <w:t>40 mg</w:t>
            </w:r>
          </w:p>
        </w:tc>
      </w:tr>
      <w:tr w:rsidR="00E10080" w:rsidRPr="000012B4" w:rsidTr="00DE0409">
        <w:trPr>
          <w:trHeight w:val="353"/>
        </w:trPr>
        <w:tc>
          <w:tcPr>
            <w:tcW w:w="3629" w:type="dxa"/>
            <w:vAlign w:val="bottom"/>
          </w:tcPr>
          <w:p w:rsidR="00E10080" w:rsidRPr="000012B4" w:rsidRDefault="00E10080" w:rsidP="00F50874">
            <w:pPr>
              <w:tabs>
                <w:tab w:val="left" w:pos="567"/>
              </w:tabs>
            </w:pPr>
            <w:r w:rsidRPr="000012B4">
              <w:rPr>
                <w:rFonts w:eastAsia="Times New Roman"/>
              </w:rPr>
              <w:t>20 până la mai puţin de 30 kg</w:t>
            </w:r>
          </w:p>
        </w:tc>
        <w:tc>
          <w:tcPr>
            <w:tcW w:w="5498" w:type="dxa"/>
            <w:vAlign w:val="bottom"/>
          </w:tcPr>
          <w:p w:rsidR="00E10080" w:rsidRPr="000012B4" w:rsidRDefault="00E10080" w:rsidP="00F50874">
            <w:pPr>
              <w:tabs>
                <w:tab w:val="left" w:pos="567"/>
              </w:tabs>
            </w:pPr>
            <w:r w:rsidRPr="000012B4">
              <w:rPr>
                <w:rFonts w:eastAsia="Times New Roman"/>
              </w:rPr>
              <w:t>60 mg</w:t>
            </w:r>
          </w:p>
        </w:tc>
      </w:tr>
      <w:tr w:rsidR="00E10080" w:rsidRPr="000012B4" w:rsidTr="00DE0409">
        <w:trPr>
          <w:trHeight w:val="354"/>
        </w:trPr>
        <w:tc>
          <w:tcPr>
            <w:tcW w:w="3629" w:type="dxa"/>
            <w:vAlign w:val="bottom"/>
          </w:tcPr>
          <w:p w:rsidR="00E10080" w:rsidRPr="000012B4" w:rsidRDefault="00E10080" w:rsidP="00F50874">
            <w:pPr>
              <w:tabs>
                <w:tab w:val="left" w:pos="567"/>
              </w:tabs>
            </w:pPr>
            <w:r w:rsidRPr="000012B4">
              <w:rPr>
                <w:rFonts w:eastAsia="Times New Roman"/>
              </w:rPr>
              <w:t>30 până la mai puţin de 45 kg</w:t>
            </w:r>
          </w:p>
        </w:tc>
        <w:tc>
          <w:tcPr>
            <w:tcW w:w="5498" w:type="dxa"/>
            <w:vAlign w:val="bottom"/>
          </w:tcPr>
          <w:p w:rsidR="00E10080" w:rsidRPr="000012B4" w:rsidRDefault="00E10080" w:rsidP="00F50874">
            <w:pPr>
              <w:tabs>
                <w:tab w:val="left" w:pos="567"/>
              </w:tabs>
            </w:pPr>
            <w:r w:rsidRPr="000012B4">
              <w:rPr>
                <w:rFonts w:eastAsia="Times New Roman"/>
              </w:rPr>
              <w:t>70 mg</w:t>
            </w:r>
          </w:p>
        </w:tc>
      </w:tr>
      <w:tr w:rsidR="00E10080" w:rsidRPr="000012B4" w:rsidTr="00DE0409">
        <w:trPr>
          <w:trHeight w:val="380"/>
        </w:trPr>
        <w:tc>
          <w:tcPr>
            <w:tcW w:w="3629" w:type="dxa"/>
            <w:vAlign w:val="bottom"/>
          </w:tcPr>
          <w:p w:rsidR="00E10080" w:rsidRPr="000012B4" w:rsidRDefault="00E10080" w:rsidP="00F50874">
            <w:pPr>
              <w:tabs>
                <w:tab w:val="left" w:pos="567"/>
              </w:tabs>
            </w:pPr>
            <w:r w:rsidRPr="000012B4">
              <w:rPr>
                <w:rFonts w:eastAsia="Times New Roman"/>
              </w:rPr>
              <w:t>cel puţin 45 kg</w:t>
            </w:r>
          </w:p>
        </w:tc>
        <w:tc>
          <w:tcPr>
            <w:tcW w:w="5498" w:type="dxa"/>
            <w:vAlign w:val="bottom"/>
          </w:tcPr>
          <w:p w:rsidR="00E10080" w:rsidRPr="000012B4" w:rsidRDefault="00E10080" w:rsidP="00F50874">
            <w:pPr>
              <w:tabs>
                <w:tab w:val="left" w:pos="567"/>
              </w:tabs>
            </w:pPr>
            <w:r w:rsidRPr="000012B4">
              <w:rPr>
                <w:rFonts w:eastAsia="Times New Roman"/>
              </w:rPr>
              <w:t>100 mg</w:t>
            </w:r>
          </w:p>
        </w:tc>
      </w:tr>
    </w:tbl>
    <w:p w:rsidR="00E10080" w:rsidRPr="000012B4" w:rsidRDefault="00E10080" w:rsidP="00E10080">
      <w:pPr>
        <w:numPr>
          <w:ilvl w:val="0"/>
          <w:numId w:val="5"/>
        </w:numPr>
        <w:tabs>
          <w:tab w:val="left" w:pos="580"/>
        </w:tabs>
        <w:rPr>
          <w:rFonts w:eastAsia="Times New Roman"/>
          <w:vertAlign w:val="superscript"/>
        </w:rPr>
      </w:pPr>
      <w:r w:rsidRPr="000012B4">
        <w:rPr>
          <w:rFonts w:eastAsia="Times New Roman"/>
        </w:rPr>
        <w:t>Administrarea sub formă de comprimate nu este recomandată pentru pacienții cu greutate corporală mai mică de 10 kg; la aceşti pacienți trebuie utilizată pulberea pentru suspensie orală.</w:t>
      </w:r>
    </w:p>
    <w:p w:rsidR="00E10080" w:rsidRPr="000012B4" w:rsidRDefault="00E10080" w:rsidP="00E10080">
      <w:pPr>
        <w:tabs>
          <w:tab w:val="left" w:pos="567"/>
        </w:tabs>
      </w:pPr>
      <w:r w:rsidRPr="000012B4">
        <w:rPr>
          <w:noProof/>
        </w:rPr>
        <mc:AlternateContent>
          <mc:Choice Requires="wps">
            <w:drawing>
              <wp:anchor distT="0" distB="0" distL="114300" distR="114300" simplePos="0" relativeHeight="251659264" behindDoc="1" locked="0" layoutInCell="0" allowOverlap="1" wp14:anchorId="7EE8DB23" wp14:editId="462BC78C">
                <wp:simplePos x="0" y="0"/>
                <wp:positionH relativeFrom="column">
                  <wp:posOffset>254000</wp:posOffset>
                </wp:positionH>
                <wp:positionV relativeFrom="paragraph">
                  <wp:posOffset>-255270</wp:posOffset>
                </wp:positionV>
                <wp:extent cx="5729605" cy="0"/>
                <wp:effectExtent l="0" t="0" r="0" b="0"/>
                <wp:wrapNone/>
                <wp:docPr id="641" name="Shape 6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9605" cy="4763"/>
                        </a:xfrm>
                        <a:prstGeom prst="line">
                          <a:avLst/>
                        </a:prstGeom>
                        <a:solidFill>
                          <a:srgbClr val="FFFFFF"/>
                        </a:solidFill>
                        <a:ln w="5333">
                          <a:solidFill>
                            <a:srgbClr val="000000"/>
                          </a:solidFill>
                          <a:miter lim="800000"/>
                          <a:headEnd/>
                          <a:tailEnd/>
                        </a:ln>
                      </wps:spPr>
                      <wps:bodyPr/>
                    </wps:wsp>
                  </a:graphicData>
                </a:graphic>
              </wp:anchor>
            </w:drawing>
          </mc:Choice>
          <mc:Fallback>
            <w:pict>
              <v:line w14:anchorId="60AD07C4" id="Shape 64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20pt,-20.1pt" to="471.1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" o:allowincell="f" filled="t" strokeweight=".14814mm">
                <v:stroke joinstyle="miter"/>
                <o:lock v:ext="edit" shapetype="f"/>
              </v:line>
            </w:pict>
          </mc:Fallback>
        </mc:AlternateContent>
      </w:r>
    </w:p>
    <w:p w:rsidR="00E10080" w:rsidRPr="000012B4" w:rsidRDefault="00E10080" w:rsidP="00E10080">
      <w:pPr>
        <w:tabs>
          <w:tab w:val="left" w:pos="567"/>
        </w:tabs>
      </w:pPr>
      <w:r w:rsidRPr="000012B4">
        <w:rPr>
          <w:rFonts w:eastAsia="Times New Roman"/>
        </w:rPr>
        <w:t xml:space="preserve">Nu există nicio recomandare privind dozele pentru </w:t>
      </w:r>
      <w:r>
        <w:rPr>
          <w:rFonts w:eastAsia="Times New Roman"/>
        </w:rPr>
        <w:t>Nodriga</w:t>
      </w:r>
      <w:r w:rsidRPr="000012B4">
        <w:rPr>
          <w:rFonts w:eastAsia="Times New Roman"/>
        </w:rPr>
        <w:t xml:space="preserve"> la copii cu vârsta mai mică de 1 an.</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rPr>
        <w:t>În funcţie de modul în care răspundeţi la tratament, medicul dumneavoastră vă poate sugera o doză mai mare sau mai mică sau poate chiar să vă întrerupă tratamentul pentru o perioadă scurtă. Pentru doze mai mari sau mai mici, este posibil să aveţi nevoie să luaţi combinaţii de comprimate de diferite concentraţii.</w:t>
      </w:r>
    </w:p>
    <w:p w:rsidR="00E10080" w:rsidRPr="000012B4" w:rsidRDefault="00E10080" w:rsidP="00E10080">
      <w:pPr>
        <w:tabs>
          <w:tab w:val="left" w:pos="567"/>
        </w:tabs>
        <w:rPr>
          <w:rFonts w:eastAsia="Times New Roman"/>
          <w:b/>
          <w:bCs/>
        </w:rPr>
      </w:pPr>
      <w:bookmarkStart w:id="4" w:name="page62"/>
      <w:bookmarkEnd w:id="4"/>
    </w:p>
    <w:p w:rsidR="00E10080" w:rsidRPr="000012B4" w:rsidRDefault="00E10080" w:rsidP="00E10080">
      <w:pPr>
        <w:tabs>
          <w:tab w:val="left" w:pos="567"/>
        </w:tabs>
      </w:pPr>
      <w:r w:rsidRPr="000012B4">
        <w:rPr>
          <w:rFonts w:eastAsia="Times New Roman"/>
          <w:b/>
          <w:bCs/>
        </w:rPr>
        <w:t xml:space="preserve">Cum să luaţi </w:t>
      </w:r>
      <w:r>
        <w:rPr>
          <w:rFonts w:eastAsia="Times New Roman"/>
          <w:b/>
          <w:bCs/>
        </w:rPr>
        <w:t>Nodriga</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b/>
          <w:bCs/>
        </w:rPr>
        <w:t xml:space="preserve">Luaţi comprimatele dumneavoastră în fiecare zi la aceeaşi oră. </w:t>
      </w:r>
      <w:r w:rsidRPr="000012B4">
        <w:rPr>
          <w:rFonts w:eastAsia="Times New Roman"/>
        </w:rPr>
        <w:t xml:space="preserve">Înghiţiţi comprimatele întregi. </w:t>
      </w:r>
      <w:r w:rsidRPr="000012B4">
        <w:rPr>
          <w:rFonts w:eastAsia="Times New Roman"/>
          <w:b/>
        </w:rPr>
        <w:t>Nu</w:t>
      </w:r>
      <w:r w:rsidRPr="000012B4">
        <w:rPr>
          <w:rFonts w:eastAsia="Times New Roman"/>
          <w:b/>
          <w:bCs/>
        </w:rPr>
        <w:t xml:space="preserve"> </w:t>
      </w:r>
      <w:r w:rsidRPr="000012B4">
        <w:rPr>
          <w:rFonts w:eastAsia="Times New Roman"/>
          <w:b/>
        </w:rPr>
        <w:t>le sfărâmaţi, tăiaţi sau mestecaţi.</w:t>
      </w:r>
      <w:r w:rsidRPr="000012B4">
        <w:rPr>
          <w:rFonts w:eastAsia="Times New Roman"/>
        </w:rPr>
        <w:t xml:space="preserve"> Nu administraţi comprimate dizolvate. Nu puteți fi sigur că veți primi doza corectă dacă zdrobiți, tăiați, mestecați sau dizolvați comprimatele. Comprimatele de </w:t>
      </w:r>
      <w:r>
        <w:rPr>
          <w:rFonts w:eastAsia="Times New Roman"/>
        </w:rPr>
        <w:t>Nodriga</w:t>
      </w:r>
      <w:r w:rsidRPr="000012B4">
        <w:rPr>
          <w:rFonts w:eastAsia="Times New Roman"/>
        </w:rPr>
        <w:t xml:space="preserve"> pot fi luate cu sau fără alimente. </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b/>
          <w:bCs/>
        </w:rPr>
        <w:t xml:space="preserve">Instrucţiuni speciale de manipulare a </w:t>
      </w:r>
      <w:r>
        <w:rPr>
          <w:rFonts w:eastAsia="Times New Roman"/>
          <w:b/>
          <w:bCs/>
        </w:rPr>
        <w:t>Nodriga</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rPr>
        <w:t xml:space="preserve">Este puţin probabil ca </w:t>
      </w:r>
      <w:r>
        <w:rPr>
          <w:rFonts w:eastAsia="Times New Roman"/>
        </w:rPr>
        <w:t>Nodriga</w:t>
      </w:r>
      <w:r w:rsidRPr="000012B4">
        <w:rPr>
          <w:rFonts w:eastAsia="Times New Roman"/>
        </w:rPr>
        <w:t xml:space="preserve"> comprimate să se spargă. În cazul în care se sparg, alte persoane decât pacientul trebuie să folosească mănuşi de protecţie când manipulează </w:t>
      </w:r>
      <w:r>
        <w:rPr>
          <w:rFonts w:eastAsia="Times New Roman"/>
        </w:rPr>
        <w:t>Nodriga</w:t>
      </w:r>
      <w:r w:rsidRPr="000012B4">
        <w:rPr>
          <w:rFonts w:eastAsia="Times New Roman"/>
        </w:rPr>
        <w:t>.</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b/>
          <w:bCs/>
        </w:rPr>
        <w:t xml:space="preserve">Cât timp să luaţi </w:t>
      </w:r>
      <w:r>
        <w:rPr>
          <w:rFonts w:eastAsia="Times New Roman"/>
          <w:b/>
          <w:bCs/>
        </w:rPr>
        <w:t>Nodriga</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rPr>
        <w:t xml:space="preserve">Luaţi </w:t>
      </w:r>
      <w:r>
        <w:rPr>
          <w:rFonts w:eastAsia="Times New Roman"/>
        </w:rPr>
        <w:t>Nodriga</w:t>
      </w:r>
      <w:r w:rsidRPr="000012B4">
        <w:rPr>
          <w:rFonts w:eastAsia="Times New Roman"/>
        </w:rPr>
        <w:t xml:space="preserve"> în fiecare zi până când medicul dumneavoastră vă spune să vă opriţi. Asiguraţi-vă că luaţi </w:t>
      </w:r>
      <w:r>
        <w:rPr>
          <w:rFonts w:eastAsia="Times New Roman"/>
        </w:rPr>
        <w:t>Nodriga</w:t>
      </w:r>
      <w:r w:rsidRPr="000012B4">
        <w:rPr>
          <w:rFonts w:eastAsia="Times New Roman"/>
        </w:rPr>
        <w:t xml:space="preserve"> atât timp cât vă este prescris.</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b/>
          <w:bCs/>
        </w:rPr>
        <w:t xml:space="preserve">Dacă luaţi mai mult </w:t>
      </w:r>
      <w:r>
        <w:rPr>
          <w:rFonts w:eastAsia="Times New Roman"/>
          <w:b/>
          <w:bCs/>
        </w:rPr>
        <w:t>Nodriga</w:t>
      </w:r>
      <w:r w:rsidRPr="000012B4">
        <w:rPr>
          <w:rFonts w:eastAsia="Times New Roman"/>
          <w:b/>
          <w:bCs/>
        </w:rPr>
        <w:t xml:space="preserve"> decât trebuie</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rPr>
        <w:t xml:space="preserve">Dacă, în mod accidental, aţi luat prea multe comprimate, discutaţi cu medicul dumneavoastră </w:t>
      </w:r>
      <w:r w:rsidRPr="000012B4">
        <w:rPr>
          <w:rFonts w:eastAsia="Times New Roman"/>
          <w:b/>
          <w:bCs/>
        </w:rPr>
        <w:t>imediat</w:t>
      </w:r>
      <w:r w:rsidRPr="000012B4">
        <w:rPr>
          <w:rFonts w:eastAsia="Times New Roman"/>
        </w:rPr>
        <w:t>.</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rPr>
        <w:t>Puteţi avea nevoie de îngrijire medicală.</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b/>
          <w:bCs/>
        </w:rPr>
        <w:t xml:space="preserve">Dacă uitaţi să luaţi </w:t>
      </w:r>
      <w:r>
        <w:rPr>
          <w:rFonts w:eastAsia="Times New Roman"/>
          <w:b/>
          <w:bCs/>
        </w:rPr>
        <w:t>Nodriga</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rPr>
        <w:t>Nu luaţi o doză dublă pentru a compensa comprimatul uitat. Luaţi următoarea doză programată la momentul potrivit.</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rPr>
        <w:t>Dacă aveţi orice întrebări suplimentare cu privire la acest medicament, adresaţi-vă medicului dumneavoastră sau farmacistului.</w:t>
      </w:r>
    </w:p>
    <w:p w:rsidR="00E10080" w:rsidRPr="000012B4" w:rsidRDefault="00E10080" w:rsidP="00E10080">
      <w:pPr>
        <w:tabs>
          <w:tab w:val="left" w:pos="567"/>
        </w:tabs>
      </w:pPr>
    </w:p>
    <w:p w:rsidR="00E10080" w:rsidRPr="000012B4" w:rsidRDefault="00E10080" w:rsidP="00E10080">
      <w:pPr>
        <w:tabs>
          <w:tab w:val="left" w:pos="567"/>
        </w:tabs>
      </w:pPr>
    </w:p>
    <w:p w:rsidR="00E10080" w:rsidRPr="000012B4" w:rsidRDefault="00E10080" w:rsidP="00E10080">
      <w:pPr>
        <w:numPr>
          <w:ilvl w:val="0"/>
          <w:numId w:val="6"/>
        </w:numPr>
        <w:tabs>
          <w:tab w:val="left" w:pos="567"/>
          <w:tab w:val="left" w:pos="940"/>
        </w:tabs>
        <w:rPr>
          <w:rFonts w:eastAsia="Times New Roman"/>
          <w:b/>
          <w:bCs/>
        </w:rPr>
      </w:pPr>
      <w:r w:rsidRPr="000012B4">
        <w:rPr>
          <w:rFonts w:eastAsia="Times New Roman"/>
          <w:b/>
          <w:bCs/>
        </w:rPr>
        <w:t>Reacţii adverse posibile</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rPr>
        <w:t>Ca toate medicamentele, acest medicament poate provoca reacţii adverse, cu toate că nu apar la toate persoanele.</w:t>
      </w:r>
    </w:p>
    <w:p w:rsidR="00E10080" w:rsidRPr="000012B4" w:rsidRDefault="00E10080" w:rsidP="00E10080">
      <w:pPr>
        <w:tabs>
          <w:tab w:val="left" w:pos="567"/>
        </w:tabs>
      </w:pPr>
    </w:p>
    <w:p w:rsidR="00E10080" w:rsidRPr="000012B4" w:rsidRDefault="00E10080" w:rsidP="00E10080">
      <w:pPr>
        <w:tabs>
          <w:tab w:val="left" w:pos="567"/>
          <w:tab w:val="left" w:pos="940"/>
        </w:tabs>
        <w:rPr>
          <w:rFonts w:eastAsia="Wingdings"/>
        </w:rPr>
      </w:pPr>
      <w:r w:rsidRPr="000012B4">
        <w:rPr>
          <w:rFonts w:eastAsia="Times New Roman"/>
          <w:b/>
          <w:bCs/>
        </w:rPr>
        <w:t>Următoarele pot fi semne ale reacţiilor adverse grave:</w:t>
      </w:r>
    </w:p>
    <w:p w:rsidR="00E10080" w:rsidRPr="000012B4" w:rsidRDefault="00E10080" w:rsidP="00E10080">
      <w:pPr>
        <w:tabs>
          <w:tab w:val="left" w:pos="567"/>
        </w:tabs>
        <w:rPr>
          <w:rFonts w:eastAsia="Wingdings"/>
        </w:rPr>
      </w:pPr>
    </w:p>
    <w:p w:rsidR="00E10080" w:rsidRPr="000012B4" w:rsidRDefault="00E10080" w:rsidP="00E10080">
      <w:pPr>
        <w:pStyle w:val="ListParagraph"/>
        <w:numPr>
          <w:ilvl w:val="0"/>
          <w:numId w:val="9"/>
        </w:numPr>
        <w:tabs>
          <w:tab w:val="left" w:pos="567"/>
          <w:tab w:val="left" w:pos="940"/>
        </w:tabs>
        <w:ind w:left="0" w:firstLine="0"/>
        <w:rPr>
          <w:rFonts w:eastAsia="Wingdings"/>
        </w:rPr>
      </w:pPr>
      <w:r w:rsidRPr="000012B4">
        <w:rPr>
          <w:rFonts w:eastAsia="Times New Roman"/>
        </w:rPr>
        <w:t>dacă aveţi durere în piept, dificultăţi de respiraţie, tuse şi leşin</w:t>
      </w:r>
    </w:p>
    <w:p w:rsidR="00E10080" w:rsidRPr="000012B4" w:rsidRDefault="00E10080" w:rsidP="00E10080">
      <w:pPr>
        <w:pStyle w:val="ListParagraph"/>
        <w:numPr>
          <w:ilvl w:val="0"/>
          <w:numId w:val="9"/>
        </w:numPr>
        <w:tabs>
          <w:tab w:val="left" w:pos="567"/>
          <w:tab w:val="left" w:pos="940"/>
        </w:tabs>
        <w:ind w:left="0" w:firstLine="0"/>
        <w:rPr>
          <w:rFonts w:eastAsia="Wingdings"/>
        </w:rPr>
      </w:pPr>
      <w:r w:rsidRPr="000012B4">
        <w:rPr>
          <w:rFonts w:eastAsia="Times New Roman"/>
        </w:rPr>
        <w:t xml:space="preserve">dacă aveţi </w:t>
      </w:r>
      <w:r w:rsidRPr="000012B4">
        <w:rPr>
          <w:rFonts w:eastAsia="Times New Roman"/>
          <w:b/>
          <w:bCs/>
        </w:rPr>
        <w:t>sângerări neaşteptate sau vânătăi</w:t>
      </w:r>
      <w:r w:rsidRPr="000012B4">
        <w:rPr>
          <w:rFonts w:eastAsia="Times New Roman"/>
        </w:rPr>
        <w:t xml:space="preserve"> fără să vă fi rănit</w:t>
      </w:r>
    </w:p>
    <w:p w:rsidR="00E10080" w:rsidRPr="000012B4" w:rsidRDefault="00E10080" w:rsidP="00E10080">
      <w:pPr>
        <w:pStyle w:val="ListParagraph"/>
        <w:numPr>
          <w:ilvl w:val="0"/>
          <w:numId w:val="9"/>
        </w:numPr>
        <w:tabs>
          <w:tab w:val="left" w:pos="567"/>
          <w:tab w:val="left" w:pos="940"/>
        </w:tabs>
        <w:ind w:left="0" w:firstLine="0"/>
        <w:rPr>
          <w:rFonts w:eastAsia="Wingdings"/>
        </w:rPr>
      </w:pPr>
      <w:r w:rsidRPr="000012B4">
        <w:rPr>
          <w:rFonts w:eastAsia="Times New Roman"/>
        </w:rPr>
        <w:t>dacă observaţi sânge când vomitaţi, în scaune sau urină, sau aveţi scaune negre</w:t>
      </w:r>
    </w:p>
    <w:p w:rsidR="00E10080" w:rsidRPr="000012B4" w:rsidRDefault="00E10080" w:rsidP="00E10080">
      <w:pPr>
        <w:pStyle w:val="ListParagraph"/>
        <w:numPr>
          <w:ilvl w:val="0"/>
          <w:numId w:val="9"/>
        </w:numPr>
        <w:tabs>
          <w:tab w:val="left" w:pos="567"/>
          <w:tab w:val="left" w:pos="940"/>
        </w:tabs>
        <w:ind w:left="0" w:firstLine="0"/>
        <w:rPr>
          <w:rFonts w:eastAsia="Wingdings"/>
        </w:rPr>
      </w:pPr>
      <w:r w:rsidRPr="000012B4">
        <w:rPr>
          <w:rFonts w:eastAsia="Times New Roman"/>
        </w:rPr>
        <w:t xml:space="preserve">dacă aveţi </w:t>
      </w:r>
      <w:r w:rsidRPr="000012B4">
        <w:rPr>
          <w:rFonts w:eastAsia="Times New Roman"/>
          <w:b/>
          <w:bCs/>
        </w:rPr>
        <w:t>semne de infecţii</w:t>
      </w:r>
      <w:r w:rsidRPr="000012B4">
        <w:rPr>
          <w:rFonts w:eastAsia="Times New Roman"/>
        </w:rPr>
        <w:t>, cum sunt febră, frisoane severe</w:t>
      </w:r>
    </w:p>
    <w:p w:rsidR="00E10080" w:rsidRPr="000012B4" w:rsidRDefault="00E10080" w:rsidP="00E10080">
      <w:pPr>
        <w:pStyle w:val="ListParagraph"/>
        <w:numPr>
          <w:ilvl w:val="0"/>
          <w:numId w:val="9"/>
        </w:numPr>
        <w:tabs>
          <w:tab w:val="left" w:pos="567"/>
          <w:tab w:val="left" w:pos="940"/>
        </w:tabs>
        <w:ind w:left="0" w:firstLine="0"/>
        <w:rPr>
          <w:rFonts w:eastAsia="Wingdings"/>
        </w:rPr>
      </w:pPr>
      <w:r w:rsidRPr="000012B4">
        <w:rPr>
          <w:rFonts w:eastAsia="Times New Roman"/>
        </w:rPr>
        <w:t>dacă aveţi febră, inflamaţie la nivelul gurii sau gâtului, vezicule sau descuamare a pielii şi/sau</w:t>
      </w:r>
    </w:p>
    <w:p w:rsidR="00E10080" w:rsidRPr="000012B4" w:rsidRDefault="00E10080" w:rsidP="00E10080">
      <w:pPr>
        <w:tabs>
          <w:tab w:val="left" w:pos="567"/>
        </w:tabs>
      </w:pPr>
      <w:r w:rsidRPr="000012B4">
        <w:rPr>
          <w:rFonts w:eastAsia="Times New Roman"/>
        </w:rPr>
        <w:t>mucoaselor.</w:t>
      </w:r>
    </w:p>
    <w:p w:rsidR="00E10080" w:rsidRPr="000012B4" w:rsidRDefault="00E10080" w:rsidP="00E10080">
      <w:pPr>
        <w:tabs>
          <w:tab w:val="left" w:pos="567"/>
        </w:tabs>
      </w:pPr>
      <w:r w:rsidRPr="000012B4">
        <w:rPr>
          <w:rFonts w:eastAsia="Times New Roman"/>
          <w:b/>
          <w:bCs/>
        </w:rPr>
        <w:t xml:space="preserve">Adresaţi-vă imediat medicului dumneavoastră </w:t>
      </w:r>
      <w:r w:rsidRPr="000012B4">
        <w:rPr>
          <w:rFonts w:eastAsia="Times New Roman"/>
        </w:rPr>
        <w:t>dacă observaţi oricare dintre cele de mai sus.</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b/>
          <w:bCs/>
        </w:rPr>
        <w:t>Reacţii adverse foarte frecvente (pot afecta mai mult de 1 din 10 persoane)</w:t>
      </w:r>
    </w:p>
    <w:p w:rsidR="00E10080" w:rsidRPr="000012B4" w:rsidRDefault="00E10080" w:rsidP="00E10080">
      <w:pPr>
        <w:pStyle w:val="ListParagraph"/>
        <w:numPr>
          <w:ilvl w:val="0"/>
          <w:numId w:val="10"/>
        </w:numPr>
        <w:tabs>
          <w:tab w:val="left" w:pos="567"/>
          <w:tab w:val="left" w:pos="940"/>
        </w:tabs>
        <w:ind w:left="0" w:firstLine="0"/>
        <w:rPr>
          <w:rFonts w:eastAsia="Wingdings"/>
        </w:rPr>
      </w:pPr>
      <w:r w:rsidRPr="000012B4">
        <w:rPr>
          <w:rFonts w:eastAsia="Times New Roman"/>
          <w:b/>
          <w:bCs/>
        </w:rPr>
        <w:t xml:space="preserve">Infecţii </w:t>
      </w:r>
      <w:r w:rsidRPr="000012B4">
        <w:rPr>
          <w:rFonts w:eastAsia="Times New Roman"/>
        </w:rPr>
        <w:t>(incluzând infecţii bacteriene, virale şi fungice)</w:t>
      </w:r>
    </w:p>
    <w:p w:rsidR="00E10080" w:rsidRPr="000012B4" w:rsidRDefault="00E10080" w:rsidP="00E10080">
      <w:pPr>
        <w:pStyle w:val="ListParagraph"/>
        <w:numPr>
          <w:ilvl w:val="0"/>
          <w:numId w:val="10"/>
        </w:numPr>
        <w:tabs>
          <w:tab w:val="left" w:pos="567"/>
          <w:tab w:val="left" w:pos="940"/>
        </w:tabs>
        <w:ind w:left="0" w:firstLine="0"/>
        <w:rPr>
          <w:rFonts w:eastAsia="Wingdings"/>
        </w:rPr>
      </w:pPr>
      <w:r w:rsidRPr="000012B4">
        <w:rPr>
          <w:rFonts w:eastAsia="Times New Roman"/>
          <w:b/>
          <w:bCs/>
        </w:rPr>
        <w:t xml:space="preserve">Inimă şi plămâni: </w:t>
      </w:r>
      <w:r w:rsidRPr="000012B4">
        <w:rPr>
          <w:rFonts w:eastAsia="Times New Roman"/>
        </w:rPr>
        <w:t>dificultăți de respiraţie</w:t>
      </w:r>
    </w:p>
    <w:p w:rsidR="00E10080" w:rsidRPr="000012B4" w:rsidRDefault="00E10080" w:rsidP="00E10080">
      <w:pPr>
        <w:pStyle w:val="ListParagraph"/>
        <w:numPr>
          <w:ilvl w:val="0"/>
          <w:numId w:val="10"/>
        </w:numPr>
        <w:tabs>
          <w:tab w:val="left" w:pos="567"/>
          <w:tab w:val="left" w:pos="940"/>
        </w:tabs>
        <w:ind w:left="0" w:firstLine="0"/>
        <w:rPr>
          <w:rFonts w:eastAsia="Wingdings"/>
        </w:rPr>
      </w:pPr>
      <w:r w:rsidRPr="000012B4">
        <w:rPr>
          <w:rFonts w:eastAsia="Times New Roman"/>
          <w:b/>
          <w:bCs/>
        </w:rPr>
        <w:t xml:space="preserve">Probleme digestive: </w:t>
      </w:r>
      <w:r w:rsidRPr="000012B4">
        <w:rPr>
          <w:rFonts w:eastAsia="Times New Roman"/>
        </w:rPr>
        <w:t>diaree, senzaţie sau stare de rău (greaţă, vărsături)</w:t>
      </w:r>
    </w:p>
    <w:p w:rsidR="00E10080" w:rsidRPr="000012B4" w:rsidRDefault="00E10080" w:rsidP="00E10080">
      <w:pPr>
        <w:pStyle w:val="ListParagraph"/>
        <w:numPr>
          <w:ilvl w:val="0"/>
          <w:numId w:val="10"/>
        </w:numPr>
        <w:tabs>
          <w:tab w:val="left" w:pos="567"/>
          <w:tab w:val="left" w:pos="940"/>
        </w:tabs>
        <w:ind w:left="0" w:firstLine="0"/>
        <w:rPr>
          <w:rFonts w:eastAsia="Wingdings"/>
        </w:rPr>
      </w:pPr>
      <w:r w:rsidRPr="000012B4">
        <w:rPr>
          <w:rFonts w:eastAsia="Times New Roman"/>
          <w:b/>
          <w:bCs/>
        </w:rPr>
        <w:t xml:space="preserve">Piele, păr, ochi, general: </w:t>
      </w:r>
      <w:r w:rsidRPr="000012B4">
        <w:rPr>
          <w:rFonts w:eastAsia="Times New Roman"/>
        </w:rPr>
        <w:t>erupţii pe piele, febră, tumefiere la nivelul feţei, mâinilor şi</w:t>
      </w:r>
      <w:r w:rsidRPr="000012B4">
        <w:rPr>
          <w:rFonts w:eastAsia="Times New Roman"/>
          <w:b/>
          <w:bCs/>
        </w:rPr>
        <w:t xml:space="preserve"> </w:t>
      </w:r>
      <w:r w:rsidRPr="000012B4">
        <w:rPr>
          <w:rFonts w:eastAsia="Times New Roman"/>
        </w:rPr>
        <w:t>picioarelor, durere de cap, senzaţie de oboseală sau slăbiciune, sângerări</w:t>
      </w:r>
    </w:p>
    <w:p w:rsidR="00E10080" w:rsidRPr="002106FC" w:rsidRDefault="00E10080" w:rsidP="00E10080">
      <w:pPr>
        <w:pStyle w:val="ListParagraph"/>
        <w:numPr>
          <w:ilvl w:val="0"/>
          <w:numId w:val="10"/>
        </w:numPr>
        <w:tabs>
          <w:tab w:val="left" w:pos="567"/>
          <w:tab w:val="left" w:pos="940"/>
        </w:tabs>
        <w:ind w:left="0" w:firstLine="0"/>
        <w:rPr>
          <w:rFonts w:eastAsia="Wingdings"/>
        </w:rPr>
      </w:pPr>
      <w:r w:rsidRPr="002106FC">
        <w:rPr>
          <w:rFonts w:eastAsia="Times New Roman"/>
          <w:b/>
          <w:bCs/>
        </w:rPr>
        <w:t xml:space="preserve">Dureri: </w:t>
      </w:r>
      <w:r w:rsidRPr="002106FC">
        <w:rPr>
          <w:rFonts w:eastAsia="Times New Roman"/>
        </w:rPr>
        <w:t>durere la nivelul mușchilor (în timpul sau după oprirea tratamentului), durere de burtă</w:t>
      </w:r>
      <w:r w:rsidRPr="002106FC">
        <w:rPr>
          <w:rFonts w:eastAsia="Times New Roman"/>
          <w:b/>
          <w:bCs/>
        </w:rPr>
        <w:t xml:space="preserve"> </w:t>
      </w:r>
      <w:r w:rsidRPr="002106FC">
        <w:rPr>
          <w:rFonts w:eastAsia="Times New Roman"/>
        </w:rPr>
        <w:t>(abdominală)</w:t>
      </w:r>
    </w:p>
    <w:p w:rsidR="00E10080" w:rsidRPr="000012B4" w:rsidRDefault="00E10080" w:rsidP="00E10080">
      <w:pPr>
        <w:pStyle w:val="ListParagraph"/>
        <w:numPr>
          <w:ilvl w:val="0"/>
          <w:numId w:val="10"/>
        </w:numPr>
        <w:tabs>
          <w:tab w:val="left" w:pos="567"/>
          <w:tab w:val="left" w:pos="940"/>
        </w:tabs>
        <w:ind w:left="0" w:firstLine="0"/>
        <w:rPr>
          <w:rFonts w:eastAsia="Wingdings"/>
        </w:rPr>
      </w:pPr>
      <w:r w:rsidRPr="000012B4">
        <w:rPr>
          <w:rFonts w:eastAsia="Times New Roman"/>
          <w:b/>
          <w:bCs/>
        </w:rPr>
        <w:t xml:space="preserve">Testele pot evidenţia: </w:t>
      </w:r>
      <w:r w:rsidRPr="000012B4">
        <w:rPr>
          <w:rFonts w:eastAsia="Times New Roman"/>
        </w:rPr>
        <w:t>număr scăzut de trombocite, număr scăzut de celule albe din sânge</w:t>
      </w:r>
      <w:r w:rsidRPr="000012B4">
        <w:rPr>
          <w:rFonts w:eastAsia="Times New Roman"/>
          <w:b/>
          <w:bCs/>
        </w:rPr>
        <w:t xml:space="preserve"> </w:t>
      </w:r>
      <w:r w:rsidRPr="000012B4">
        <w:rPr>
          <w:rFonts w:eastAsia="Times New Roman"/>
        </w:rPr>
        <w:t>(neutropenie), anemie, lichid în jurul plămânilor.</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b/>
          <w:bCs/>
        </w:rPr>
        <w:t>Reacţii adverse frecvente (pot afecta până la 1 din 10 persoane)</w:t>
      </w:r>
    </w:p>
    <w:p w:rsidR="00E10080" w:rsidRPr="002106FC" w:rsidRDefault="00E10080" w:rsidP="00E10080">
      <w:pPr>
        <w:pStyle w:val="ListParagraph"/>
        <w:numPr>
          <w:ilvl w:val="0"/>
          <w:numId w:val="11"/>
        </w:numPr>
        <w:tabs>
          <w:tab w:val="left" w:pos="567"/>
          <w:tab w:val="left" w:pos="940"/>
        </w:tabs>
        <w:ind w:left="0" w:firstLine="0"/>
        <w:rPr>
          <w:rFonts w:eastAsia="Wingdings"/>
        </w:rPr>
      </w:pPr>
      <w:r w:rsidRPr="002106FC">
        <w:rPr>
          <w:rFonts w:eastAsia="Times New Roman"/>
          <w:b/>
          <w:bCs/>
        </w:rPr>
        <w:t xml:space="preserve">Infecţii: </w:t>
      </w:r>
      <w:r w:rsidRPr="002106FC">
        <w:rPr>
          <w:rFonts w:eastAsia="Times New Roman"/>
        </w:rPr>
        <w:t>pneumonie, infecţie virală cu herpes (inclusiv cu citomegalovirus - CMV), infecţie a</w:t>
      </w:r>
      <w:r w:rsidRPr="002106FC">
        <w:rPr>
          <w:rFonts w:eastAsia="Times New Roman"/>
          <w:b/>
          <w:bCs/>
        </w:rPr>
        <w:t xml:space="preserve"> </w:t>
      </w:r>
      <w:r w:rsidRPr="002106FC">
        <w:rPr>
          <w:rFonts w:eastAsia="Times New Roman"/>
        </w:rPr>
        <w:t>căilor respiratorii superioare, infecţii grave ale sângelui sau ţesuturilor (inclusiv cazuri mai puţin frecvente cu evoluţie letală)</w:t>
      </w:r>
    </w:p>
    <w:p w:rsidR="00E10080" w:rsidRPr="000012B4" w:rsidRDefault="00E10080" w:rsidP="00E10080">
      <w:pPr>
        <w:pStyle w:val="ListParagraph"/>
        <w:numPr>
          <w:ilvl w:val="0"/>
          <w:numId w:val="11"/>
        </w:numPr>
        <w:tabs>
          <w:tab w:val="left" w:pos="567"/>
          <w:tab w:val="left" w:pos="940"/>
        </w:tabs>
        <w:ind w:left="0" w:firstLine="0"/>
        <w:rPr>
          <w:rFonts w:eastAsia="Wingdings"/>
        </w:rPr>
      </w:pPr>
      <w:r w:rsidRPr="000012B4">
        <w:rPr>
          <w:rFonts w:eastAsia="Times New Roman"/>
          <w:b/>
          <w:bCs/>
        </w:rPr>
        <w:t xml:space="preserve">Inimă şi plămâni: </w:t>
      </w:r>
      <w:r w:rsidRPr="000012B4">
        <w:rPr>
          <w:rFonts w:eastAsia="Times New Roman"/>
        </w:rPr>
        <w:t>palpitaţii, bătăi neregulate ale inimii, insuficienţă cardiacă congestivă,</w:t>
      </w:r>
      <w:r w:rsidRPr="000012B4">
        <w:rPr>
          <w:rFonts w:eastAsia="Times New Roman"/>
          <w:b/>
          <w:bCs/>
        </w:rPr>
        <w:t xml:space="preserve"> </w:t>
      </w:r>
      <w:r w:rsidRPr="000012B4">
        <w:rPr>
          <w:rFonts w:eastAsia="Times New Roman"/>
        </w:rPr>
        <w:t>slăbirea muşchiului inimii, tensiune arterială mare, creșterea tensiunii arteriale în plămâni, tuse</w:t>
      </w:r>
    </w:p>
    <w:p w:rsidR="00E10080" w:rsidRPr="002106FC" w:rsidRDefault="00E10080" w:rsidP="00E10080">
      <w:pPr>
        <w:pStyle w:val="ListParagraph"/>
        <w:numPr>
          <w:ilvl w:val="0"/>
          <w:numId w:val="11"/>
        </w:numPr>
        <w:tabs>
          <w:tab w:val="left" w:pos="567"/>
          <w:tab w:val="left" w:pos="940"/>
        </w:tabs>
        <w:ind w:left="0" w:firstLine="0"/>
        <w:rPr>
          <w:rFonts w:eastAsia="Wingdings"/>
        </w:rPr>
      </w:pPr>
      <w:bookmarkStart w:id="5" w:name="page63"/>
      <w:bookmarkEnd w:id="5"/>
      <w:r w:rsidRPr="002106FC">
        <w:rPr>
          <w:rFonts w:eastAsia="Times New Roman"/>
          <w:b/>
          <w:bCs/>
        </w:rPr>
        <w:t xml:space="preserve">Probleme digestive: </w:t>
      </w:r>
      <w:r w:rsidRPr="002106FC">
        <w:rPr>
          <w:rFonts w:eastAsia="Times New Roman"/>
        </w:rPr>
        <w:t>tulburări de apetit alimentar, tulburări de gust, burtă (abdomen) balonată</w:t>
      </w:r>
      <w:r w:rsidRPr="002106FC">
        <w:rPr>
          <w:rFonts w:eastAsia="Times New Roman"/>
          <w:b/>
          <w:bCs/>
        </w:rPr>
        <w:t xml:space="preserve"> </w:t>
      </w:r>
      <w:r w:rsidRPr="002106FC">
        <w:rPr>
          <w:rFonts w:eastAsia="Times New Roman"/>
        </w:rPr>
        <w:t>sau umflată, inflamaţie a colonului, constipaţie, arsuri în capul pieptului, ulceraţii în gură, creştere în greutate, scădere în greutate, gastrită</w:t>
      </w:r>
    </w:p>
    <w:p w:rsidR="00E10080" w:rsidRPr="002106FC" w:rsidRDefault="00E10080" w:rsidP="00E10080">
      <w:pPr>
        <w:pStyle w:val="ListParagraph"/>
        <w:numPr>
          <w:ilvl w:val="0"/>
          <w:numId w:val="11"/>
        </w:numPr>
        <w:tabs>
          <w:tab w:val="left" w:pos="567"/>
          <w:tab w:val="left" w:pos="940"/>
        </w:tabs>
        <w:ind w:left="0" w:firstLine="0"/>
        <w:rPr>
          <w:rFonts w:eastAsia="Wingdings"/>
        </w:rPr>
      </w:pPr>
      <w:r w:rsidRPr="002106FC">
        <w:rPr>
          <w:rFonts w:eastAsia="Times New Roman"/>
          <w:b/>
          <w:bCs/>
        </w:rPr>
        <w:t xml:space="preserve">Piele, păr, ochi, general: </w:t>
      </w:r>
      <w:r w:rsidRPr="002106FC">
        <w:rPr>
          <w:rFonts w:eastAsia="Times New Roman"/>
        </w:rPr>
        <w:t>furnicături pe piele, mâncărimi, uscăciune a pielii, acnee, inflamație a</w:t>
      </w:r>
      <w:r w:rsidRPr="002106FC">
        <w:rPr>
          <w:rFonts w:eastAsia="Times New Roman"/>
          <w:b/>
          <w:bCs/>
        </w:rPr>
        <w:t xml:space="preserve"> </w:t>
      </w:r>
      <w:r w:rsidRPr="002106FC">
        <w:rPr>
          <w:rFonts w:eastAsia="Times New Roman"/>
        </w:rPr>
        <w:t>pielii, zgomot persistent în urechi, cădere a părului, transpiraţie excesivă, tulburări de vedere (incluzând înceţoşarea vederii şi perturbarea vederii), uscăciune a ochiului, vânătăi, depresie, insomnie, înroșire temporară a feţei, ameţeli, contuzii (vânătăi), lipsă a poftei de mâncare, somnolenţă, edem generalizat</w:t>
      </w:r>
    </w:p>
    <w:p w:rsidR="00E10080" w:rsidRPr="002106FC" w:rsidRDefault="00E10080" w:rsidP="00E10080">
      <w:pPr>
        <w:pStyle w:val="ListParagraph"/>
        <w:numPr>
          <w:ilvl w:val="0"/>
          <w:numId w:val="11"/>
        </w:numPr>
        <w:tabs>
          <w:tab w:val="left" w:pos="567"/>
          <w:tab w:val="left" w:pos="940"/>
        </w:tabs>
        <w:ind w:left="0" w:firstLine="0"/>
        <w:rPr>
          <w:rFonts w:eastAsia="Wingdings"/>
        </w:rPr>
      </w:pPr>
      <w:r w:rsidRPr="002106FC">
        <w:rPr>
          <w:rFonts w:eastAsia="Times New Roman"/>
          <w:b/>
          <w:bCs/>
        </w:rPr>
        <w:t xml:space="preserve">Dureri: </w:t>
      </w:r>
      <w:r w:rsidRPr="002106FC">
        <w:rPr>
          <w:rFonts w:eastAsia="Times New Roman"/>
        </w:rPr>
        <w:t>durere la nivelul articulațiilor, slăbiciune musculară, durere în piept, durere la nivelul</w:t>
      </w:r>
      <w:r w:rsidRPr="002106FC">
        <w:rPr>
          <w:rFonts w:eastAsia="Times New Roman"/>
          <w:b/>
          <w:bCs/>
        </w:rPr>
        <w:t xml:space="preserve"> </w:t>
      </w:r>
      <w:r w:rsidRPr="002106FC">
        <w:rPr>
          <w:rFonts w:eastAsia="Times New Roman"/>
        </w:rPr>
        <w:t>mâinilor şi picioarelor, frisoane, rigiditate la nivelul muşchilor şi articulaţiilor, spasm muscular</w:t>
      </w:r>
    </w:p>
    <w:p w:rsidR="00E10080" w:rsidRPr="00B130F9" w:rsidRDefault="00E10080" w:rsidP="00E10080">
      <w:pPr>
        <w:pStyle w:val="ListParagraph"/>
        <w:numPr>
          <w:ilvl w:val="0"/>
          <w:numId w:val="11"/>
        </w:numPr>
        <w:tabs>
          <w:tab w:val="left" w:pos="567"/>
          <w:tab w:val="left" w:pos="940"/>
        </w:tabs>
        <w:ind w:left="0" w:firstLine="0"/>
        <w:jc w:val="both"/>
        <w:rPr>
          <w:rFonts w:eastAsia="Wingdings"/>
        </w:rPr>
      </w:pPr>
      <w:r w:rsidRPr="000012B4">
        <w:rPr>
          <w:rFonts w:eastAsia="Times New Roman"/>
          <w:b/>
          <w:bCs/>
        </w:rPr>
        <w:t xml:space="preserve">Testele pot evidenţia: </w:t>
      </w:r>
      <w:r w:rsidRPr="000012B4">
        <w:rPr>
          <w:rFonts w:eastAsia="Times New Roman"/>
        </w:rPr>
        <w:t>lichid în jurul inimii, lichid în plămâni, ritm neregulat al inimii,</w:t>
      </w:r>
      <w:r w:rsidRPr="000012B4">
        <w:rPr>
          <w:rFonts w:eastAsia="Times New Roman"/>
          <w:b/>
          <w:bCs/>
        </w:rPr>
        <w:t xml:space="preserve"> </w:t>
      </w:r>
      <w:r w:rsidRPr="000012B4">
        <w:rPr>
          <w:rFonts w:eastAsia="Times New Roman"/>
        </w:rPr>
        <w:t>neutropenie febrilă, sângerări gastro-intestinale, concentraţii mari de acid uric în sânge.</w:t>
      </w:r>
    </w:p>
    <w:p w:rsidR="00F22F90" w:rsidRDefault="00F22F90" w:rsidP="00E10080">
      <w:pPr>
        <w:tabs>
          <w:tab w:val="left" w:pos="567"/>
        </w:tabs>
        <w:rPr>
          <w:rFonts w:eastAsia="Times New Roman"/>
          <w:b/>
          <w:bCs/>
        </w:rPr>
      </w:pPr>
    </w:p>
    <w:p w:rsidR="006B2F79" w:rsidRDefault="006B2F79" w:rsidP="00E10080">
      <w:pPr>
        <w:tabs>
          <w:tab w:val="left" w:pos="567"/>
        </w:tabs>
        <w:rPr>
          <w:rFonts w:eastAsia="Times New Roman"/>
          <w:b/>
          <w:bCs/>
        </w:rPr>
      </w:pPr>
    </w:p>
    <w:p w:rsidR="00F22F90" w:rsidRPr="00F22F90" w:rsidRDefault="00E10080" w:rsidP="00E10080">
      <w:pPr>
        <w:tabs>
          <w:tab w:val="left" w:pos="567"/>
        </w:tabs>
        <w:rPr>
          <w:rFonts w:eastAsia="Times New Roman"/>
          <w:b/>
          <w:bCs/>
        </w:rPr>
      </w:pPr>
      <w:r w:rsidRPr="000012B4">
        <w:rPr>
          <w:rFonts w:eastAsia="Times New Roman"/>
          <w:b/>
          <w:bCs/>
        </w:rPr>
        <w:t>Reacţii adverse mai puţin frecvente (pot afecta până la 1 din 100 persoane)</w:t>
      </w:r>
    </w:p>
    <w:p w:rsidR="00E10080" w:rsidRPr="00F22F90" w:rsidRDefault="00E10080" w:rsidP="00E10080">
      <w:pPr>
        <w:pStyle w:val="ListParagraph"/>
        <w:numPr>
          <w:ilvl w:val="0"/>
          <w:numId w:val="12"/>
        </w:numPr>
        <w:tabs>
          <w:tab w:val="left" w:pos="567"/>
          <w:tab w:val="left" w:pos="940"/>
        </w:tabs>
        <w:ind w:left="0" w:firstLine="0"/>
        <w:rPr>
          <w:rFonts w:eastAsia="Wingdings"/>
        </w:rPr>
      </w:pPr>
      <w:r w:rsidRPr="000012B4">
        <w:rPr>
          <w:rFonts w:eastAsia="Times New Roman"/>
          <w:b/>
          <w:bCs/>
        </w:rPr>
        <w:t xml:space="preserve">Inimă şi plămâni: </w:t>
      </w:r>
      <w:r w:rsidRPr="000012B4">
        <w:rPr>
          <w:rFonts w:eastAsia="Times New Roman"/>
        </w:rPr>
        <w:t>infarct miocardic (inclusiv cu evoluţie letală), inflamaţie a învelişului (sac</w:t>
      </w:r>
      <w:r w:rsidRPr="000012B4">
        <w:rPr>
          <w:rFonts w:eastAsia="Times New Roman"/>
          <w:b/>
          <w:bCs/>
        </w:rPr>
        <w:t xml:space="preserve"> </w:t>
      </w:r>
      <w:r w:rsidRPr="000012B4">
        <w:rPr>
          <w:rFonts w:eastAsia="Times New Roman"/>
        </w:rPr>
        <w:t>fibros) din jurul inimii, bătăi neregulate ale inimii, durere în piept din cauza lipsei alimentării cu sânge a inimii (angină pectorală), tensiune arterială mică, îngustare a căilor respiratorii care poate duce la dificultăţi de respiraţie, astm bronşic, creşterea tensiunii arteriale în arterele (vase de sânge) de la nivelul plămânilor</w:t>
      </w:r>
    </w:p>
    <w:p w:rsidR="00E10080" w:rsidRPr="00F22F90" w:rsidRDefault="00E10080" w:rsidP="00E10080">
      <w:pPr>
        <w:pStyle w:val="ListParagraph"/>
        <w:numPr>
          <w:ilvl w:val="0"/>
          <w:numId w:val="12"/>
        </w:numPr>
        <w:tabs>
          <w:tab w:val="left" w:pos="567"/>
          <w:tab w:val="left" w:pos="940"/>
        </w:tabs>
        <w:ind w:left="0" w:firstLine="0"/>
        <w:rPr>
          <w:rFonts w:eastAsia="Wingdings"/>
        </w:rPr>
      </w:pPr>
      <w:r w:rsidRPr="000012B4">
        <w:rPr>
          <w:rFonts w:eastAsia="Times New Roman"/>
          <w:b/>
          <w:bCs/>
        </w:rPr>
        <w:t xml:space="preserve">Probleme digestive: </w:t>
      </w:r>
      <w:r w:rsidRPr="000012B4">
        <w:rPr>
          <w:rFonts w:eastAsia="Times New Roman"/>
        </w:rPr>
        <w:t>inflamaţie a pancreasului, ulcer peptic, inflamaţie la nivelul tubului</w:t>
      </w:r>
      <w:r w:rsidRPr="000012B4">
        <w:rPr>
          <w:rFonts w:eastAsia="Times New Roman"/>
          <w:b/>
          <w:bCs/>
        </w:rPr>
        <w:t xml:space="preserve"> </w:t>
      </w:r>
      <w:r w:rsidRPr="000012B4">
        <w:rPr>
          <w:rFonts w:eastAsia="Times New Roman"/>
        </w:rPr>
        <w:t>digestiv, umflare a burţii (abdomenului), ruptură a pielii la nivelul anusului, dificultate la înghiţire, inflamaţie a vezicii biliare, blocaj al căilor biliare, reflux gastro-esofagian (o boală în care sucul gastric şi alt conţinut al stomacului se întorc în esofag)</w:t>
      </w:r>
    </w:p>
    <w:p w:rsidR="00E10080" w:rsidRPr="00F22F90" w:rsidRDefault="00E10080" w:rsidP="00E10080">
      <w:pPr>
        <w:pStyle w:val="ListParagraph"/>
        <w:numPr>
          <w:ilvl w:val="0"/>
          <w:numId w:val="12"/>
        </w:numPr>
        <w:tabs>
          <w:tab w:val="left" w:pos="567"/>
          <w:tab w:val="left" w:pos="940"/>
        </w:tabs>
        <w:ind w:left="0" w:firstLine="0"/>
        <w:rPr>
          <w:rFonts w:eastAsia="Wingdings"/>
        </w:rPr>
      </w:pPr>
      <w:r w:rsidRPr="000012B4">
        <w:rPr>
          <w:rFonts w:eastAsia="Times New Roman"/>
          <w:b/>
          <w:bCs/>
        </w:rPr>
        <w:t xml:space="preserve">Piele, păr, ochi, general: </w:t>
      </w:r>
      <w:r w:rsidRPr="000012B4">
        <w:rPr>
          <w:rFonts w:eastAsia="Times New Roman"/>
        </w:rPr>
        <w:t>reacţie alergică incluzând noduli roşii, dureroşi pe piele (eritem</w:t>
      </w:r>
      <w:r w:rsidRPr="000012B4">
        <w:rPr>
          <w:rFonts w:eastAsia="Times New Roman"/>
          <w:b/>
          <w:bCs/>
        </w:rPr>
        <w:t xml:space="preserve"> </w:t>
      </w:r>
      <w:r w:rsidRPr="000012B4">
        <w:rPr>
          <w:rFonts w:eastAsia="Times New Roman"/>
        </w:rPr>
        <w:t>nodos), senzaţie de teamă, confuzie, modificări ale dispoziţiei, scăderea libidoului, leşin, tremurături, inflamaţie a ochiului care determină înroșire sau durere, o afecţiune a pielii caracterizată prin pete bine definite, roşii, dureroase, cu debut brusc al febrei şi număr crescut de celule albe din sânge (dermatoză neutrofilică), pierderea auzului, sensibilitate la lumină, deficienţe de vedere, creşterea secreției lacrimale, modificări ale culorii pielii, inflamaţie a ţesutului gras de sub piele, ulcerații ale pielii, apariţia de vezicule pe piele, afecţiuni ale unghiilor, afecțiuni ale firului de păr, sindrom mână-picior, insuficienţă renală, urinare frecventă, mărirea sânilor la bărbaţi, tulburări menstruale, disconfort şi slăbiciune generale, scăderea funcţiei glandei tiroide, pierderea echilibrului în timpul mersului, osteonecroză (o boală în care scade aportul de sânge la nivelul oaselor, ceea ce poate determina pierderea ţesutului osos şi moartea osului), inflamație a articulaţiilor, tumefierea pielii oriunde pe suprafaţa corpului</w:t>
      </w:r>
    </w:p>
    <w:p w:rsidR="00E10080" w:rsidRPr="00F22F90" w:rsidRDefault="00E10080" w:rsidP="00E10080">
      <w:pPr>
        <w:pStyle w:val="ListParagraph"/>
        <w:numPr>
          <w:ilvl w:val="0"/>
          <w:numId w:val="12"/>
        </w:numPr>
        <w:tabs>
          <w:tab w:val="left" w:pos="567"/>
          <w:tab w:val="left" w:pos="940"/>
        </w:tabs>
        <w:ind w:left="0" w:firstLine="0"/>
        <w:rPr>
          <w:rFonts w:eastAsia="Wingdings"/>
        </w:rPr>
      </w:pPr>
      <w:r w:rsidRPr="000012B4">
        <w:rPr>
          <w:rFonts w:eastAsia="Times New Roman"/>
          <w:b/>
          <w:bCs/>
        </w:rPr>
        <w:t xml:space="preserve">Dureri: </w:t>
      </w:r>
      <w:r w:rsidRPr="000012B4">
        <w:rPr>
          <w:rFonts w:eastAsia="Times New Roman"/>
        </w:rPr>
        <w:t>inflamaţie a unei vene care poate determina înroșire, durere şi tumefiere, inflamaţie a</w:t>
      </w:r>
      <w:r w:rsidRPr="000012B4">
        <w:rPr>
          <w:rFonts w:eastAsia="Times New Roman"/>
          <w:b/>
          <w:bCs/>
        </w:rPr>
        <w:t xml:space="preserve"> </w:t>
      </w:r>
      <w:r w:rsidRPr="000012B4">
        <w:rPr>
          <w:rFonts w:eastAsia="Times New Roman"/>
        </w:rPr>
        <w:t>unui tendon</w:t>
      </w:r>
    </w:p>
    <w:p w:rsidR="00E10080" w:rsidRPr="000012B4" w:rsidRDefault="00E10080" w:rsidP="00E10080">
      <w:pPr>
        <w:pStyle w:val="ListParagraph"/>
        <w:numPr>
          <w:ilvl w:val="0"/>
          <w:numId w:val="12"/>
        </w:numPr>
        <w:tabs>
          <w:tab w:val="left" w:pos="567"/>
          <w:tab w:val="left" w:pos="940"/>
        </w:tabs>
        <w:ind w:left="0" w:firstLine="0"/>
        <w:rPr>
          <w:rFonts w:eastAsia="Wingdings"/>
        </w:rPr>
      </w:pPr>
      <w:r w:rsidRPr="000012B4">
        <w:rPr>
          <w:rFonts w:eastAsia="Times New Roman"/>
          <w:b/>
          <w:bCs/>
        </w:rPr>
        <w:t xml:space="preserve">Creier: </w:t>
      </w:r>
      <w:r w:rsidRPr="000012B4">
        <w:rPr>
          <w:rFonts w:eastAsia="Times New Roman"/>
        </w:rPr>
        <w:t>pierderea memoriei</w:t>
      </w:r>
    </w:p>
    <w:p w:rsidR="00E10080" w:rsidRPr="000012B4" w:rsidRDefault="00E10080" w:rsidP="00E10080">
      <w:pPr>
        <w:pStyle w:val="ListParagraph"/>
        <w:numPr>
          <w:ilvl w:val="0"/>
          <w:numId w:val="12"/>
        </w:numPr>
        <w:tabs>
          <w:tab w:val="left" w:pos="567"/>
          <w:tab w:val="left" w:pos="940"/>
        </w:tabs>
        <w:ind w:left="0" w:firstLine="0"/>
        <w:rPr>
          <w:rFonts w:eastAsia="Wingdings"/>
        </w:rPr>
      </w:pPr>
      <w:r w:rsidRPr="000012B4">
        <w:rPr>
          <w:rFonts w:eastAsia="Times New Roman"/>
          <w:b/>
          <w:bCs/>
        </w:rPr>
        <w:t xml:space="preserve">Testele pot evidenţia: </w:t>
      </w:r>
      <w:r w:rsidRPr="000012B4">
        <w:rPr>
          <w:rFonts w:eastAsia="Times New Roman"/>
        </w:rPr>
        <w:t>rezultate anormale ale analizelor de sânge şi funcţie renală posibil</w:t>
      </w:r>
      <w:r w:rsidRPr="000012B4">
        <w:rPr>
          <w:rFonts w:eastAsia="Times New Roman"/>
          <w:b/>
          <w:bCs/>
        </w:rPr>
        <w:t xml:space="preserve"> </w:t>
      </w:r>
      <w:r w:rsidRPr="000012B4">
        <w:rPr>
          <w:rFonts w:eastAsia="Times New Roman"/>
        </w:rPr>
        <w:t>afectată din cauza produşilor de degradare ai tumorii distruse (sindrom de liză tumorală), concentraţii mici de albumină în sânge, valori mici ale limfocitelor (un tip de celule albe din sânge) în sânge, valori mari ale colesterolului în sânge, tumefierea ganglionilor limfatici, sângerări la nivelul creierului, neregularitate a activităţii electrice a inimii, creştere în dimensiuni a inimii, inflamaţie a ficatului, proteine în urină, valoare crescută a creatin-fosfokinazei (o enzimă care se găseşte în principal în inimă, creier şi muşchii scheletici), valoare crescută a troponinei (o enzimă care se găseşte în principal în inimă şi în muşchii scheletici), valoare crescută a gamma-glutamiltransferazei (o enzimă care se găseşte în principal în ficat)</w:t>
      </w:r>
      <w:r>
        <w:rPr>
          <w:rFonts w:eastAsia="Times New Roman"/>
        </w:rPr>
        <w:t>,</w:t>
      </w:r>
      <w:r w:rsidRPr="00306396">
        <w:t xml:space="preserve"> </w:t>
      </w:r>
      <w:r w:rsidRPr="00FC613F">
        <w:rPr>
          <w:rFonts w:eastAsia="Times New Roman"/>
        </w:rPr>
        <w:t>lichid cu aspect lăptos în jurul plămânilor (chilotorax</w:t>
      </w:r>
      <w:r w:rsidRPr="00FA2777">
        <w:t>).</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b/>
          <w:bCs/>
        </w:rPr>
        <w:t>Reacţii adverse rare (pot afecta până la 1 din 1000 persoane)</w:t>
      </w:r>
    </w:p>
    <w:p w:rsidR="00E10080" w:rsidRPr="000012B4" w:rsidRDefault="00E10080" w:rsidP="00E10080">
      <w:pPr>
        <w:pStyle w:val="ListParagraph"/>
        <w:numPr>
          <w:ilvl w:val="0"/>
          <w:numId w:val="13"/>
        </w:numPr>
        <w:tabs>
          <w:tab w:val="left" w:pos="567"/>
          <w:tab w:val="left" w:pos="940"/>
        </w:tabs>
        <w:ind w:left="0" w:firstLine="0"/>
      </w:pPr>
      <w:r w:rsidRPr="000012B4">
        <w:rPr>
          <w:rFonts w:eastAsia="Times New Roman"/>
          <w:b/>
          <w:bCs/>
        </w:rPr>
        <w:t xml:space="preserve">Inimă şi plămâni: </w:t>
      </w:r>
      <w:r w:rsidRPr="000012B4">
        <w:rPr>
          <w:rFonts w:eastAsia="Times New Roman"/>
        </w:rPr>
        <w:t>mărirea ventriculului drept al inimii, inflamaţie a muşchiului inimii, cumul</w:t>
      </w:r>
      <w:r w:rsidRPr="000012B4">
        <w:rPr>
          <w:rFonts w:eastAsia="Times New Roman"/>
          <w:b/>
          <w:bCs/>
        </w:rPr>
        <w:t xml:space="preserve"> </w:t>
      </w:r>
      <w:r w:rsidRPr="000012B4">
        <w:rPr>
          <w:rFonts w:eastAsia="Times New Roman"/>
        </w:rPr>
        <w:t>de simptome ce rezultă din blocarea alimentării cu sânge a muşchiului inimii (sindrom coronarian acut), stop cardiac (oprirea fluxului de sânge la nivelul inimii), boală coronariană (de inimă), inflamaţie a ţesutului care acoperă inima şi plămânii, cheaguri de sânge, cheaguri de sânge în plămâni</w:t>
      </w:r>
    </w:p>
    <w:p w:rsidR="00E10080" w:rsidRPr="00F22F90" w:rsidRDefault="00E10080" w:rsidP="00E10080">
      <w:pPr>
        <w:pStyle w:val="ListParagraph"/>
        <w:numPr>
          <w:ilvl w:val="0"/>
          <w:numId w:val="13"/>
        </w:numPr>
        <w:tabs>
          <w:tab w:val="left" w:pos="567"/>
          <w:tab w:val="left" w:pos="940"/>
        </w:tabs>
        <w:ind w:left="0" w:firstLine="0"/>
        <w:rPr>
          <w:rFonts w:eastAsia="Wingdings"/>
        </w:rPr>
      </w:pPr>
      <w:bookmarkStart w:id="6" w:name="page64"/>
      <w:bookmarkEnd w:id="6"/>
      <w:r w:rsidRPr="000012B4">
        <w:rPr>
          <w:rFonts w:eastAsia="Times New Roman"/>
          <w:b/>
          <w:bCs/>
        </w:rPr>
        <w:t xml:space="preserve">Probleme digestive: </w:t>
      </w:r>
      <w:r w:rsidRPr="000012B4">
        <w:rPr>
          <w:rFonts w:eastAsia="Times New Roman"/>
        </w:rPr>
        <w:t>pierdere de substanţe nutritive vitale, cum sunt proteinele din tubul</w:t>
      </w:r>
      <w:r w:rsidRPr="000012B4">
        <w:rPr>
          <w:rFonts w:eastAsia="Times New Roman"/>
          <w:b/>
          <w:bCs/>
        </w:rPr>
        <w:t xml:space="preserve"> </w:t>
      </w:r>
      <w:r w:rsidRPr="000012B4">
        <w:rPr>
          <w:rFonts w:eastAsia="Times New Roman"/>
        </w:rPr>
        <w:t>digestiv, obstrucţie intestinală, fistulă anală (formarea unui canal anormal din anus spre pielea din jurul anusului), afectarea funcţiei rinichilor, diabet zaharat</w:t>
      </w:r>
    </w:p>
    <w:p w:rsidR="00E10080" w:rsidRPr="00F22F90" w:rsidRDefault="00E10080" w:rsidP="00E10080">
      <w:pPr>
        <w:pStyle w:val="ListParagraph"/>
        <w:numPr>
          <w:ilvl w:val="0"/>
          <w:numId w:val="13"/>
        </w:numPr>
        <w:tabs>
          <w:tab w:val="left" w:pos="567"/>
          <w:tab w:val="left" w:pos="940"/>
        </w:tabs>
        <w:ind w:left="0" w:firstLine="0"/>
        <w:rPr>
          <w:rFonts w:eastAsia="Wingdings"/>
        </w:rPr>
      </w:pPr>
      <w:r w:rsidRPr="000012B4">
        <w:rPr>
          <w:rFonts w:eastAsia="Times New Roman"/>
          <w:b/>
          <w:bCs/>
        </w:rPr>
        <w:t xml:space="preserve">Piele, păr, ochi, general: </w:t>
      </w:r>
      <w:r w:rsidRPr="000012B4">
        <w:rPr>
          <w:rFonts w:eastAsia="Times New Roman"/>
        </w:rPr>
        <w:t>convulsii, inflamaţie a nervului optic care poate duce la pierderea</w:t>
      </w:r>
      <w:r w:rsidRPr="000012B4">
        <w:rPr>
          <w:rFonts w:eastAsia="Times New Roman"/>
          <w:b/>
          <w:bCs/>
        </w:rPr>
        <w:t xml:space="preserve"> </w:t>
      </w:r>
      <w:r w:rsidRPr="000012B4">
        <w:rPr>
          <w:rFonts w:eastAsia="Times New Roman"/>
        </w:rPr>
        <w:t>parţială sau completă a vederii, erupţii pe piele de forme diferite şi culoare albastru-violet, funcţie anormal crescută a glandei tiroide, inflamaţie a glandei tiroide, ataxie (o boală asociată cu absenţa coordonării musculare), dificultăţi de mers, avort spontan, inflamaţie a vaselor de sânge de la nivelul pielii, fibroză a pielii</w:t>
      </w:r>
    </w:p>
    <w:p w:rsidR="00E10080" w:rsidRPr="00F22F90" w:rsidRDefault="00E10080" w:rsidP="00E10080">
      <w:pPr>
        <w:pStyle w:val="ListParagraph"/>
        <w:numPr>
          <w:ilvl w:val="0"/>
          <w:numId w:val="13"/>
        </w:numPr>
        <w:tabs>
          <w:tab w:val="left" w:pos="567"/>
          <w:tab w:val="left" w:pos="940"/>
        </w:tabs>
        <w:ind w:left="0" w:firstLine="0"/>
        <w:rPr>
          <w:rFonts w:eastAsia="Wingdings"/>
        </w:rPr>
      </w:pPr>
      <w:r w:rsidRPr="000012B4">
        <w:rPr>
          <w:rFonts w:eastAsia="Times New Roman"/>
          <w:b/>
          <w:bCs/>
        </w:rPr>
        <w:t xml:space="preserve">Creier: </w:t>
      </w:r>
      <w:r w:rsidRPr="000012B4">
        <w:rPr>
          <w:rFonts w:eastAsia="Times New Roman"/>
        </w:rPr>
        <w:t>accident vascular cerebral, episod trecător de afectare neurologică determinat de lipsa</w:t>
      </w:r>
      <w:r w:rsidRPr="000012B4">
        <w:rPr>
          <w:rFonts w:eastAsia="Times New Roman"/>
          <w:b/>
          <w:bCs/>
        </w:rPr>
        <w:t xml:space="preserve"> </w:t>
      </w:r>
      <w:r w:rsidRPr="000012B4">
        <w:rPr>
          <w:rFonts w:eastAsia="Times New Roman"/>
        </w:rPr>
        <w:t>alimentării cu sânge, paralizie a nervului facial, demenţă</w:t>
      </w:r>
    </w:p>
    <w:p w:rsidR="00E10080" w:rsidRPr="000012B4" w:rsidRDefault="00E10080" w:rsidP="00E10080">
      <w:pPr>
        <w:pStyle w:val="ListParagraph"/>
        <w:numPr>
          <w:ilvl w:val="0"/>
          <w:numId w:val="13"/>
        </w:numPr>
        <w:tabs>
          <w:tab w:val="left" w:pos="567"/>
          <w:tab w:val="left" w:pos="940"/>
        </w:tabs>
        <w:ind w:left="0" w:firstLine="0"/>
        <w:rPr>
          <w:rFonts w:eastAsia="Wingdings"/>
        </w:rPr>
      </w:pPr>
      <w:r w:rsidRPr="000012B4">
        <w:rPr>
          <w:rFonts w:eastAsia="Times New Roman"/>
          <w:b/>
          <w:bCs/>
        </w:rPr>
        <w:t xml:space="preserve">Sistem imunitar: </w:t>
      </w:r>
      <w:r w:rsidRPr="000012B4">
        <w:rPr>
          <w:rFonts w:eastAsia="Times New Roman"/>
        </w:rPr>
        <w:t>reacţie alergică severă</w:t>
      </w:r>
    </w:p>
    <w:p w:rsidR="00E10080" w:rsidRPr="006B2F79" w:rsidRDefault="00E10080" w:rsidP="00E10080">
      <w:pPr>
        <w:pStyle w:val="ListParagraph"/>
        <w:numPr>
          <w:ilvl w:val="0"/>
          <w:numId w:val="13"/>
        </w:numPr>
        <w:tabs>
          <w:tab w:val="left" w:pos="567"/>
          <w:tab w:val="left" w:pos="940"/>
        </w:tabs>
        <w:ind w:left="0" w:firstLine="0"/>
        <w:rPr>
          <w:rFonts w:eastAsia="Wingdings"/>
        </w:rPr>
      </w:pPr>
      <w:r w:rsidRPr="000012B4">
        <w:rPr>
          <w:rFonts w:eastAsia="Times New Roman"/>
          <w:b/>
          <w:bCs/>
        </w:rPr>
        <w:t xml:space="preserve">Ţesut musculo-scheletic şi conjunctiv: </w:t>
      </w:r>
      <w:r w:rsidRPr="000012B4">
        <w:rPr>
          <w:rFonts w:eastAsia="Times New Roman"/>
        </w:rPr>
        <w:t>fuziune întârziată a capetelor rotunjite care formează</w:t>
      </w:r>
      <w:r w:rsidRPr="000012B4">
        <w:rPr>
          <w:rFonts w:eastAsia="Times New Roman"/>
          <w:b/>
          <w:bCs/>
        </w:rPr>
        <w:t xml:space="preserve"> </w:t>
      </w:r>
      <w:r w:rsidRPr="000012B4">
        <w:rPr>
          <w:rFonts w:eastAsia="Times New Roman"/>
        </w:rPr>
        <w:t>articulaţiile (epifizele), creştere lentă sau întârziată.</w:t>
      </w:r>
    </w:p>
    <w:p w:rsidR="00F22F90" w:rsidRPr="00F22F90" w:rsidRDefault="00E10080" w:rsidP="00E10080">
      <w:pPr>
        <w:tabs>
          <w:tab w:val="left" w:pos="567"/>
        </w:tabs>
        <w:rPr>
          <w:rFonts w:eastAsia="Times New Roman"/>
          <w:b/>
          <w:bCs/>
        </w:rPr>
      </w:pPr>
      <w:r w:rsidRPr="000012B4">
        <w:rPr>
          <w:rFonts w:eastAsia="Times New Roman"/>
          <w:b/>
          <w:bCs/>
        </w:rPr>
        <w:t>Alte reacţii adverse care au fost raportate cu frecvenţă necunoscută (care nu poate fi estimată din datele disponibile)</w:t>
      </w:r>
    </w:p>
    <w:p w:rsidR="00E10080" w:rsidRPr="000012B4" w:rsidRDefault="00E10080" w:rsidP="00E10080">
      <w:pPr>
        <w:pStyle w:val="ListParagraph"/>
        <w:numPr>
          <w:ilvl w:val="0"/>
          <w:numId w:val="14"/>
        </w:numPr>
        <w:tabs>
          <w:tab w:val="left" w:pos="567"/>
          <w:tab w:val="left" w:pos="940"/>
        </w:tabs>
        <w:ind w:left="0" w:firstLine="0"/>
        <w:rPr>
          <w:rFonts w:eastAsia="Wingdings"/>
        </w:rPr>
      </w:pPr>
      <w:r w:rsidRPr="000012B4">
        <w:rPr>
          <w:rFonts w:eastAsia="Times New Roman"/>
        </w:rPr>
        <w:t>Inflamaţie a plămânilor</w:t>
      </w:r>
    </w:p>
    <w:p w:rsidR="00E10080" w:rsidRPr="000012B4" w:rsidRDefault="00E10080" w:rsidP="00E10080">
      <w:pPr>
        <w:pStyle w:val="ListParagraph"/>
        <w:numPr>
          <w:ilvl w:val="0"/>
          <w:numId w:val="14"/>
        </w:numPr>
        <w:tabs>
          <w:tab w:val="left" w:pos="567"/>
          <w:tab w:val="left" w:pos="940"/>
        </w:tabs>
        <w:ind w:left="0" w:firstLine="0"/>
        <w:rPr>
          <w:rFonts w:eastAsia="Wingdings"/>
        </w:rPr>
      </w:pPr>
      <w:r w:rsidRPr="000012B4">
        <w:rPr>
          <w:rFonts w:eastAsia="Times New Roman"/>
        </w:rPr>
        <w:t>Sângerări la nivelul stomacului sau intestinelor care pot duce la deces</w:t>
      </w:r>
    </w:p>
    <w:p w:rsidR="00E10080" w:rsidRPr="002106FC" w:rsidRDefault="00E10080" w:rsidP="00E10080">
      <w:pPr>
        <w:pStyle w:val="ListParagraph"/>
        <w:numPr>
          <w:ilvl w:val="0"/>
          <w:numId w:val="14"/>
        </w:numPr>
        <w:tabs>
          <w:tab w:val="left" w:pos="567"/>
          <w:tab w:val="left" w:pos="940"/>
        </w:tabs>
        <w:ind w:left="0" w:firstLine="0"/>
        <w:rPr>
          <w:rFonts w:eastAsia="Wingdings"/>
        </w:rPr>
      </w:pPr>
      <w:r w:rsidRPr="002106FC">
        <w:rPr>
          <w:rFonts w:eastAsia="Times New Roman"/>
        </w:rPr>
        <w:t>Reapariție (reactivare) a infecției cu virusul hepatitic B dacă ați avut în trecut hepatită B (o infecție a ficatului)</w:t>
      </w:r>
    </w:p>
    <w:p w:rsidR="00E10080" w:rsidRPr="000012B4" w:rsidRDefault="00E10080" w:rsidP="00E10080">
      <w:pPr>
        <w:pStyle w:val="ListParagraph"/>
        <w:numPr>
          <w:ilvl w:val="0"/>
          <w:numId w:val="14"/>
        </w:numPr>
        <w:tabs>
          <w:tab w:val="left" w:pos="567"/>
          <w:tab w:val="left" w:pos="940"/>
        </w:tabs>
        <w:ind w:left="0" w:firstLine="0"/>
        <w:rPr>
          <w:rFonts w:eastAsia="Wingdings"/>
        </w:rPr>
      </w:pPr>
      <w:r w:rsidRPr="000012B4">
        <w:rPr>
          <w:rFonts w:eastAsia="Times New Roman"/>
        </w:rPr>
        <w:t>Reacţie cu febră, apariţia de vezicule pe piele şi ulceraţii la nivelul mucoaselor</w:t>
      </w:r>
    </w:p>
    <w:p w:rsidR="00E10080" w:rsidRPr="002106FC" w:rsidRDefault="00E10080" w:rsidP="00E10080">
      <w:pPr>
        <w:pStyle w:val="ListParagraph"/>
        <w:numPr>
          <w:ilvl w:val="0"/>
          <w:numId w:val="14"/>
        </w:numPr>
        <w:tabs>
          <w:tab w:val="left" w:pos="567"/>
          <w:tab w:val="left" w:pos="940"/>
        </w:tabs>
        <w:ind w:left="0" w:firstLine="0"/>
        <w:rPr>
          <w:rFonts w:eastAsia="Wingdings"/>
        </w:rPr>
      </w:pPr>
      <w:r w:rsidRPr="002106FC">
        <w:rPr>
          <w:rFonts w:eastAsia="Times New Roman"/>
        </w:rPr>
        <w:t>Boală a rinichilor cu simptome care includ edem și rezultate anormale ale testelor de laborator, cum sunt prezența de proteine în urină și valori mici ale concentrațiilor de proteine în sânge</w:t>
      </w:r>
    </w:p>
    <w:p w:rsidR="00E10080" w:rsidRPr="000012B4" w:rsidRDefault="00E10080" w:rsidP="00E10080">
      <w:pPr>
        <w:pStyle w:val="ListParagraph"/>
        <w:numPr>
          <w:ilvl w:val="0"/>
          <w:numId w:val="14"/>
        </w:numPr>
        <w:tabs>
          <w:tab w:val="left" w:pos="567"/>
          <w:tab w:val="left" w:pos="920"/>
        </w:tabs>
        <w:ind w:left="0" w:firstLine="0"/>
        <w:rPr>
          <w:rFonts w:eastAsia="Wingdings"/>
        </w:rPr>
      </w:pPr>
      <w:r w:rsidRPr="000012B4">
        <w:rPr>
          <w:rFonts w:eastAsia="Times New Roman"/>
        </w:rPr>
        <w:t>Deteriorarea vaselor de sânge, cunoscută ca microangiopatie trombotică (MAT), incluzând scăderea numărului de celule roșii din sânge, scăderea trombocitelor și formarea cheagurilor de sânge</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rPr>
        <w:t>Medicul va verifica unele dintre aceste reacţii în timpul tratamentului dumneavoastră.</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b/>
          <w:bCs/>
        </w:rPr>
        <w:t>Raportarea reacţiilor adverse</w:t>
      </w:r>
    </w:p>
    <w:p w:rsidR="00E10080" w:rsidRPr="000012B4" w:rsidRDefault="00E10080" w:rsidP="00E10080">
      <w:pPr>
        <w:tabs>
          <w:tab w:val="left" w:pos="567"/>
        </w:tabs>
      </w:pPr>
    </w:p>
    <w:p w:rsidR="00DD7F71" w:rsidRPr="00BF4498" w:rsidRDefault="00DD7F71" w:rsidP="00DD7F71">
      <w:pPr>
        <w:rPr>
          <w:lang w:val="ro-RO"/>
        </w:rPr>
      </w:pPr>
      <w:r w:rsidRPr="00BF4498">
        <w:rPr>
          <w:lang w:val="ro-RO"/>
        </w:rPr>
        <w:t>Dacă manifestaţi orice reacţii adverse, adresaţi-vă medicului dumneavoastră sau farmacistului. Acestea includ orice posibile reacţii adverse nemenţionate în acest prospect. De asemenea, puteţi raporta reacţiile adverse direct la Agenţia Naţională a Medicamentului şi a Dispozitivelor Medicale din România</w:t>
      </w:r>
    </w:p>
    <w:p w:rsidR="00DD7F71" w:rsidRPr="00BF4498" w:rsidRDefault="00DD7F71" w:rsidP="00DD7F71">
      <w:pPr>
        <w:rPr>
          <w:lang w:val="ro-RO"/>
        </w:rPr>
      </w:pPr>
      <w:r w:rsidRPr="00BF4498">
        <w:rPr>
          <w:lang w:val="ro-RO"/>
        </w:rPr>
        <w:t>Str. Aviator Sănătescu nr. 48, sector 1</w:t>
      </w:r>
    </w:p>
    <w:p w:rsidR="00DD7F71" w:rsidRPr="00BF4498" w:rsidRDefault="00DD7F71" w:rsidP="00DD7F71">
      <w:pPr>
        <w:rPr>
          <w:lang w:val="ro-RO"/>
        </w:rPr>
      </w:pPr>
      <w:r w:rsidRPr="00BF4498">
        <w:rPr>
          <w:lang w:val="ro-RO"/>
        </w:rPr>
        <w:t>Bucuresti 011478- RO</w:t>
      </w:r>
    </w:p>
    <w:p w:rsidR="00DD7F71" w:rsidRPr="00BF4498" w:rsidRDefault="00DD7F71" w:rsidP="00DD7F71">
      <w:pPr>
        <w:rPr>
          <w:u w:val="single"/>
          <w:lang w:val="it-IT"/>
        </w:rPr>
      </w:pPr>
      <w:r w:rsidRPr="00BF4498">
        <w:rPr>
          <w:lang w:val="it-IT"/>
        </w:rPr>
        <w:t xml:space="preserve">e-mail: </w:t>
      </w:r>
      <w:hyperlink r:id="rId7" w:history="1">
        <w:r w:rsidRPr="00BF4498">
          <w:rPr>
            <w:rStyle w:val="Hyperlink"/>
            <w:lang w:val="it-IT"/>
          </w:rPr>
          <w:t>adr@anm.ro</w:t>
        </w:r>
      </w:hyperlink>
    </w:p>
    <w:p w:rsidR="00DD7F71" w:rsidRPr="00BF4498" w:rsidRDefault="00DD7F71" w:rsidP="00DD7F71">
      <w:pPr>
        <w:rPr>
          <w:lang w:val="nl-NL"/>
        </w:rPr>
      </w:pPr>
      <w:r w:rsidRPr="00BF4498">
        <w:rPr>
          <w:lang w:val="nl-NL"/>
        </w:rPr>
        <w:t xml:space="preserve">Website: </w:t>
      </w:r>
      <w:hyperlink r:id="rId8" w:history="1">
        <w:r w:rsidRPr="00BF4498">
          <w:rPr>
            <w:rStyle w:val="Hyperlink"/>
            <w:lang w:val="nl-NL"/>
          </w:rPr>
          <w:t>www.anm.ro</w:t>
        </w:r>
      </w:hyperlink>
    </w:p>
    <w:p w:rsidR="00DD7F71" w:rsidRPr="00B13889" w:rsidRDefault="00DD7F71" w:rsidP="00DD7F71">
      <w:pPr>
        <w:rPr>
          <w:lang w:val="ro-RO"/>
        </w:rPr>
      </w:pPr>
      <w:r w:rsidRPr="00BF4498">
        <w:rPr>
          <w:lang w:val="ro-RO"/>
        </w:rPr>
        <w:t>Raportând reacţiile adverse, puteţi contribui la furnizarea de informaţii suplimentare privind siguranţa acestui medicament</w:t>
      </w:r>
    </w:p>
    <w:p w:rsidR="00E10080" w:rsidRPr="000012B4" w:rsidRDefault="00E10080" w:rsidP="00E10080">
      <w:pPr>
        <w:tabs>
          <w:tab w:val="left" w:pos="567"/>
        </w:tabs>
      </w:pPr>
    </w:p>
    <w:p w:rsidR="00E10080" w:rsidRPr="000012B4" w:rsidRDefault="00E10080" w:rsidP="00E10080">
      <w:pPr>
        <w:tabs>
          <w:tab w:val="left" w:pos="567"/>
        </w:tabs>
      </w:pPr>
    </w:p>
    <w:p w:rsidR="00E10080" w:rsidRPr="000012B4" w:rsidRDefault="00E10080" w:rsidP="00E10080">
      <w:pPr>
        <w:numPr>
          <w:ilvl w:val="0"/>
          <w:numId w:val="7"/>
        </w:numPr>
        <w:tabs>
          <w:tab w:val="left" w:pos="567"/>
          <w:tab w:val="left" w:pos="940"/>
        </w:tabs>
        <w:rPr>
          <w:rFonts w:eastAsia="Times New Roman"/>
          <w:b/>
          <w:bCs/>
        </w:rPr>
      </w:pPr>
      <w:r w:rsidRPr="000012B4">
        <w:rPr>
          <w:rFonts w:eastAsia="Times New Roman"/>
          <w:b/>
          <w:bCs/>
        </w:rPr>
        <w:t xml:space="preserve">Cum se păstrează </w:t>
      </w:r>
      <w:r>
        <w:rPr>
          <w:rFonts w:eastAsia="Times New Roman"/>
          <w:b/>
          <w:bCs/>
        </w:rPr>
        <w:t>Nodriga</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rPr>
        <w:t>Nu lăsaţi acest medicament la vederea şi îndemâna copiilor.</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rPr>
        <w:t>Nu utilizaţi acest medicament după data de expirare înscrisă pe eticheta flaconului, blister sau cutie după EXP. Data de expirare se referă la ultima zi a lunii respective.</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rPr>
        <w:t>Acest medicament nu necesită condiţii speciale de păstrare.</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rPr>
        <w:t>Nu aruncaţi niciun medicament pe calea apei sau a reziduurilor menajere. Întrebaţi farmacistul cum să aruncaţi medicamentele pe care nu le mai folosiţi. Aceste măsuri vor ajuta la protejarea mediului.</w:t>
      </w:r>
    </w:p>
    <w:p w:rsidR="00E10080" w:rsidRPr="000012B4" w:rsidRDefault="00E10080" w:rsidP="00E10080">
      <w:pPr>
        <w:tabs>
          <w:tab w:val="left" w:pos="567"/>
        </w:tabs>
      </w:pPr>
    </w:p>
    <w:p w:rsidR="00E10080" w:rsidRPr="000012B4" w:rsidRDefault="00E10080" w:rsidP="00E10080">
      <w:pPr>
        <w:tabs>
          <w:tab w:val="left" w:pos="567"/>
        </w:tabs>
      </w:pPr>
    </w:p>
    <w:p w:rsidR="00E10080" w:rsidRPr="000012B4" w:rsidRDefault="00E10080" w:rsidP="00E10080">
      <w:pPr>
        <w:numPr>
          <w:ilvl w:val="0"/>
          <w:numId w:val="8"/>
        </w:numPr>
        <w:tabs>
          <w:tab w:val="left" w:pos="567"/>
          <w:tab w:val="left" w:pos="940"/>
        </w:tabs>
        <w:rPr>
          <w:rFonts w:eastAsia="Times New Roman"/>
          <w:b/>
          <w:bCs/>
        </w:rPr>
      </w:pPr>
      <w:r w:rsidRPr="000012B4">
        <w:rPr>
          <w:rFonts w:eastAsia="Times New Roman"/>
          <w:b/>
          <w:bCs/>
        </w:rPr>
        <w:t>Conţinutul ambalajului şi alte informaţii</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b/>
          <w:bCs/>
        </w:rPr>
        <w:t xml:space="preserve">Ce conţine </w:t>
      </w:r>
      <w:r>
        <w:rPr>
          <w:rFonts w:eastAsia="Times New Roman"/>
          <w:b/>
          <w:bCs/>
        </w:rPr>
        <w:t>Nodriga</w:t>
      </w:r>
    </w:p>
    <w:p w:rsidR="00E10080" w:rsidRPr="000012B4" w:rsidRDefault="00E10080" w:rsidP="00E10080">
      <w:pPr>
        <w:tabs>
          <w:tab w:val="left" w:pos="567"/>
        </w:tabs>
      </w:pPr>
    </w:p>
    <w:p w:rsidR="00E10080" w:rsidRPr="000012B4" w:rsidRDefault="00E10080" w:rsidP="00E10080">
      <w:pPr>
        <w:tabs>
          <w:tab w:val="left" w:pos="567"/>
          <w:tab w:val="left" w:pos="940"/>
        </w:tabs>
        <w:rPr>
          <w:rFonts w:eastAsia="Wingdings"/>
        </w:rPr>
      </w:pPr>
      <w:r w:rsidRPr="000012B4">
        <w:rPr>
          <w:rFonts w:eastAsia="Times New Roman"/>
        </w:rPr>
        <w:t xml:space="preserve">Substanţa activă este dasatinib. Fiecare comprimat filmat conţine 20 mg, </w:t>
      </w:r>
      <w:r w:rsidRPr="00C53E7A">
        <w:rPr>
          <w:rFonts w:eastAsia="Times New Roman"/>
          <w:highlight w:val="lightGray"/>
        </w:rPr>
        <w:t>50 mg, 70 mg, 100 mg sau 140 mg</w:t>
      </w:r>
      <w:r w:rsidRPr="000012B4">
        <w:rPr>
          <w:rFonts w:eastAsia="Times New Roman"/>
        </w:rPr>
        <w:t xml:space="preserve"> dasatinib (sub formă de monohidrat).</w:t>
      </w:r>
    </w:p>
    <w:p w:rsidR="00E10080" w:rsidRPr="000012B4" w:rsidRDefault="00E10080" w:rsidP="00E10080">
      <w:pPr>
        <w:tabs>
          <w:tab w:val="left" w:pos="567"/>
        </w:tabs>
        <w:rPr>
          <w:rFonts w:eastAsia="Wingdings"/>
        </w:rPr>
      </w:pPr>
    </w:p>
    <w:p w:rsidR="00E10080" w:rsidRDefault="00E10080" w:rsidP="00E10080">
      <w:pPr>
        <w:tabs>
          <w:tab w:val="left" w:pos="567"/>
          <w:tab w:val="left" w:pos="940"/>
        </w:tabs>
        <w:sectPr w:rsidR="00E10080" w:rsidSect="00E10080">
          <w:headerReference w:type="default" r:id="rId9"/>
          <w:footerReference w:type="default" r:id="rId10"/>
          <w:pgSz w:w="12240" w:h="15840"/>
          <w:pgMar w:top="1134" w:right="1418" w:bottom="1134" w:left="1418" w:header="0" w:footer="0" w:gutter="0"/>
          <w:cols w:space="720" w:equalWidth="0">
            <w:col w:w="9382"/>
          </w:cols>
          <w:docGrid w:linePitch="299"/>
        </w:sectPr>
      </w:pPr>
      <w:r w:rsidRPr="000012B4">
        <w:rPr>
          <w:rFonts w:eastAsia="Times New Roman"/>
        </w:rPr>
        <w:t xml:space="preserve">       Celelalte componente sunt:</w:t>
      </w:r>
      <w:r w:rsidRPr="000012B4">
        <w:rPr>
          <w:rFonts w:eastAsia="Wingdings"/>
        </w:rPr>
        <w:t xml:space="preserve">   </w:t>
      </w:r>
    </w:p>
    <w:p w:rsidR="00E10080" w:rsidRPr="000012B4" w:rsidRDefault="00E10080" w:rsidP="00E10080">
      <w:pPr>
        <w:tabs>
          <w:tab w:val="left" w:pos="567"/>
          <w:tab w:val="left" w:pos="1480"/>
        </w:tabs>
        <w:rPr>
          <w:rFonts w:eastAsia="Wingdings"/>
        </w:rPr>
      </w:pPr>
      <w:bookmarkStart w:id="7" w:name="page65"/>
      <w:bookmarkEnd w:id="7"/>
      <w:r w:rsidRPr="000012B4">
        <w:rPr>
          <w:rFonts w:eastAsia="Times New Roman"/>
          <w:i/>
          <w:iCs/>
        </w:rPr>
        <w:t xml:space="preserve">       Nucleul comprimatului: </w:t>
      </w:r>
      <w:r w:rsidR="00FC613F">
        <w:rPr>
          <w:rFonts w:eastAsia="Times New Roman"/>
        </w:rPr>
        <w:t>lactoză monohidrat</w:t>
      </w:r>
      <w:r w:rsidRPr="000012B4">
        <w:rPr>
          <w:rFonts w:eastAsia="Times New Roman"/>
        </w:rPr>
        <w:t>,</w:t>
      </w:r>
      <w:r w:rsidRPr="000012B4">
        <w:rPr>
          <w:rFonts w:eastAsia="Times New Roman"/>
          <w:i/>
          <w:iCs/>
        </w:rPr>
        <w:t xml:space="preserve"> </w:t>
      </w:r>
      <w:r w:rsidRPr="000012B4">
        <w:rPr>
          <w:rFonts w:eastAsia="Times New Roman"/>
        </w:rPr>
        <w:t>celuloză microcristalină; croscarmeloză sodică;      hidroxipropil celuloză; stearat de magneziu.</w:t>
      </w:r>
    </w:p>
    <w:p w:rsidR="00E10080" w:rsidRPr="000012B4" w:rsidRDefault="00E10080" w:rsidP="00E10080">
      <w:pPr>
        <w:tabs>
          <w:tab w:val="left" w:pos="567"/>
          <w:tab w:val="left" w:pos="1480"/>
        </w:tabs>
        <w:rPr>
          <w:rFonts w:eastAsia="Wingdings"/>
        </w:rPr>
      </w:pPr>
      <w:r w:rsidRPr="000012B4">
        <w:rPr>
          <w:rFonts w:eastAsia="Times New Roman"/>
          <w:i/>
          <w:iCs/>
        </w:rPr>
        <w:t xml:space="preserve">      Film: </w:t>
      </w:r>
      <w:r w:rsidRPr="000012B4">
        <w:rPr>
          <w:rFonts w:eastAsia="Times New Roman"/>
        </w:rPr>
        <w:t>lactoză monohidrat, hipromeloză; dioxid de titan (E171); triacetin. (vezi pct. 2 “</w:t>
      </w:r>
      <w:r>
        <w:rPr>
          <w:rFonts w:eastAsia="Times New Roman"/>
        </w:rPr>
        <w:t>Nodriga</w:t>
      </w:r>
      <w:r w:rsidRPr="000012B4">
        <w:rPr>
          <w:rFonts w:eastAsia="Times New Roman"/>
        </w:rPr>
        <w:t xml:space="preserve"> conţine lactoză și sodiu”)</w:t>
      </w: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b/>
          <w:bCs/>
        </w:rPr>
        <w:t xml:space="preserve">Cum arată </w:t>
      </w:r>
      <w:r>
        <w:rPr>
          <w:rFonts w:eastAsia="Times New Roman"/>
          <w:b/>
          <w:bCs/>
        </w:rPr>
        <w:t>Nodriga</w:t>
      </w:r>
      <w:r w:rsidRPr="000012B4">
        <w:rPr>
          <w:rFonts w:eastAsia="Times New Roman"/>
          <w:b/>
          <w:bCs/>
        </w:rPr>
        <w:t xml:space="preserve"> şi conţinutul ambalajului</w:t>
      </w:r>
    </w:p>
    <w:p w:rsidR="00E10080" w:rsidRPr="000012B4" w:rsidRDefault="00E10080" w:rsidP="00E10080">
      <w:pPr>
        <w:tabs>
          <w:tab w:val="left" w:pos="567"/>
        </w:tabs>
      </w:pPr>
    </w:p>
    <w:p w:rsidR="00E10080" w:rsidRPr="000012B4" w:rsidRDefault="00E10080" w:rsidP="00E10080">
      <w:pPr>
        <w:tabs>
          <w:tab w:val="left" w:pos="567"/>
        </w:tabs>
        <w:jc w:val="both"/>
      </w:pPr>
      <w:r>
        <w:rPr>
          <w:rFonts w:eastAsia="Times New Roman"/>
        </w:rPr>
        <w:t>Nodriga</w:t>
      </w:r>
      <w:r w:rsidRPr="000012B4">
        <w:rPr>
          <w:rFonts w:eastAsia="Times New Roman"/>
        </w:rPr>
        <w:t xml:space="preserve"> 20 mg: comprimatul filmat este alb sau aproape alb, biconvex, rotund cu un diametru de aproximativ 5,6 mm, cu „D7SB” </w:t>
      </w:r>
      <w:r>
        <w:rPr>
          <w:rFonts w:eastAsia="Times New Roman"/>
        </w:rPr>
        <w:t>marcat</w:t>
      </w:r>
      <w:r w:rsidRPr="000012B4">
        <w:rPr>
          <w:rFonts w:eastAsia="Times New Roman"/>
        </w:rPr>
        <w:t xml:space="preserve"> pe o parte și „20” pe cealaltă parte.</w:t>
      </w:r>
    </w:p>
    <w:p w:rsidR="00E10080" w:rsidRPr="000012B4" w:rsidRDefault="00E10080" w:rsidP="00E10080">
      <w:pPr>
        <w:tabs>
          <w:tab w:val="left" w:pos="567"/>
        </w:tabs>
      </w:pPr>
    </w:p>
    <w:p w:rsidR="00E10080" w:rsidRPr="00C53E7A" w:rsidRDefault="00E10080" w:rsidP="00E10080">
      <w:pPr>
        <w:tabs>
          <w:tab w:val="left" w:pos="567"/>
        </w:tabs>
        <w:rPr>
          <w:highlight w:val="lightGray"/>
        </w:rPr>
      </w:pPr>
      <w:r w:rsidRPr="00C53E7A">
        <w:rPr>
          <w:rFonts w:eastAsia="Times New Roman"/>
          <w:highlight w:val="lightGray"/>
        </w:rPr>
        <w:t>Nodriga 50 mg: comprimatul filmat este alb sau aproape alb, biconvex, oval cu un diametru de aproximativ 11 mm și o lățime de aproximativ 6,0 mm , cu „D7SB” marcat pe o parte și „50” pe cealaltă parte.</w:t>
      </w:r>
    </w:p>
    <w:p w:rsidR="00E10080" w:rsidRPr="00C53E7A" w:rsidRDefault="00E10080" w:rsidP="00E10080">
      <w:pPr>
        <w:tabs>
          <w:tab w:val="left" w:pos="567"/>
        </w:tabs>
        <w:rPr>
          <w:highlight w:val="lightGray"/>
        </w:rPr>
      </w:pPr>
    </w:p>
    <w:p w:rsidR="00E10080" w:rsidRPr="00C53E7A" w:rsidRDefault="00E10080" w:rsidP="00E10080">
      <w:pPr>
        <w:tabs>
          <w:tab w:val="left" w:pos="567"/>
        </w:tabs>
        <w:jc w:val="both"/>
        <w:rPr>
          <w:highlight w:val="lightGray"/>
        </w:rPr>
      </w:pPr>
      <w:r w:rsidRPr="00C53E7A">
        <w:rPr>
          <w:rFonts w:eastAsia="Times New Roman"/>
          <w:highlight w:val="lightGray"/>
        </w:rPr>
        <w:t xml:space="preserve">Nodriga 70 mg: </w:t>
      </w:r>
      <w:bookmarkStart w:id="8" w:name="_Hlk76552482"/>
      <w:r w:rsidRPr="00C53E7A">
        <w:rPr>
          <w:rFonts w:eastAsia="Times New Roman"/>
          <w:highlight w:val="lightGray"/>
        </w:rPr>
        <w:t>comprimatul filmat este alb sau aproape alb, biconvex, rotund cu un diametru de aproximativ 9,1 mm, cu „D7SB” marcat pe o parte și „70” pe cealaltă parte.</w:t>
      </w:r>
      <w:bookmarkEnd w:id="8"/>
    </w:p>
    <w:p w:rsidR="00E10080" w:rsidRPr="00C53E7A" w:rsidRDefault="00E10080" w:rsidP="00E10080">
      <w:pPr>
        <w:tabs>
          <w:tab w:val="left" w:pos="567"/>
        </w:tabs>
        <w:rPr>
          <w:highlight w:val="lightGray"/>
        </w:rPr>
      </w:pPr>
    </w:p>
    <w:p w:rsidR="00E10080" w:rsidRPr="00C53E7A" w:rsidRDefault="00E10080" w:rsidP="00E10080">
      <w:pPr>
        <w:tabs>
          <w:tab w:val="left" w:pos="567"/>
        </w:tabs>
        <w:rPr>
          <w:highlight w:val="lightGray"/>
        </w:rPr>
      </w:pPr>
      <w:r w:rsidRPr="00C53E7A">
        <w:rPr>
          <w:rFonts w:eastAsia="Times New Roman"/>
          <w:highlight w:val="lightGray"/>
        </w:rPr>
        <w:t xml:space="preserve">Nodriga 100 mg: </w:t>
      </w:r>
      <w:bookmarkStart w:id="9" w:name="_Hlk76552495"/>
      <w:r w:rsidRPr="00C53E7A">
        <w:rPr>
          <w:rFonts w:eastAsia="Times New Roman"/>
          <w:highlight w:val="lightGray"/>
        </w:rPr>
        <w:t>comprimatul filmat este alb sau aproape alb, biconvex, oval cu un diametru de aproximativ 15,1 mm și o lățime de aproximativ 7,1 mm , cu „D7SB” marcat pe o parte și „100” pe cealaltă parte.</w:t>
      </w:r>
      <w:bookmarkEnd w:id="9"/>
    </w:p>
    <w:p w:rsidR="00E10080" w:rsidRPr="00C53E7A" w:rsidRDefault="00E10080" w:rsidP="00E10080">
      <w:pPr>
        <w:tabs>
          <w:tab w:val="left" w:pos="567"/>
        </w:tabs>
        <w:rPr>
          <w:highlight w:val="lightGray"/>
        </w:rPr>
      </w:pPr>
    </w:p>
    <w:p w:rsidR="00E10080" w:rsidRPr="000012B4" w:rsidRDefault="00E10080" w:rsidP="00E10080">
      <w:pPr>
        <w:tabs>
          <w:tab w:val="left" w:pos="567"/>
        </w:tabs>
      </w:pPr>
      <w:r w:rsidRPr="00C53E7A">
        <w:rPr>
          <w:rFonts w:eastAsia="Times New Roman"/>
          <w:highlight w:val="lightGray"/>
        </w:rPr>
        <w:t xml:space="preserve">Nodriga 140 mg: </w:t>
      </w:r>
      <w:bookmarkStart w:id="10" w:name="_Hlk76552512"/>
      <w:r w:rsidRPr="00C53E7A">
        <w:rPr>
          <w:rFonts w:eastAsia="Times New Roman"/>
          <w:highlight w:val="lightGray"/>
        </w:rPr>
        <w:t>comprimatul filmat este alb sau aproape alb, biconvex, rotund cu un diametru de aproximativ 11,7 mm, cu „D7SB” marcat pe o parte și „140” pe cealaltă parte</w:t>
      </w:r>
      <w:bookmarkEnd w:id="10"/>
      <w:r w:rsidRPr="00C53E7A">
        <w:rPr>
          <w:rFonts w:eastAsia="Times New Roman"/>
          <w:highlight w:val="lightGray"/>
        </w:rPr>
        <w:t>.</w:t>
      </w:r>
    </w:p>
    <w:p w:rsidR="00E10080" w:rsidRPr="000012B4" w:rsidRDefault="00E10080" w:rsidP="00E10080">
      <w:pPr>
        <w:tabs>
          <w:tab w:val="left" w:pos="567"/>
        </w:tabs>
        <w:rPr>
          <w:rFonts w:eastAsia="Times New Roman"/>
        </w:rPr>
      </w:pPr>
    </w:p>
    <w:p w:rsidR="00E10080" w:rsidRPr="000012B4" w:rsidRDefault="00E10080" w:rsidP="00E10080">
      <w:pPr>
        <w:tabs>
          <w:tab w:val="left" w:pos="567"/>
        </w:tabs>
      </w:pPr>
      <w:bookmarkStart w:id="11" w:name="_Hlk76554058"/>
      <w:r>
        <w:rPr>
          <w:rFonts w:eastAsia="Times New Roman"/>
        </w:rPr>
        <w:t>Nodriga</w:t>
      </w:r>
      <w:r w:rsidRPr="000012B4">
        <w:rPr>
          <w:rFonts w:eastAsia="Times New Roman"/>
        </w:rPr>
        <w:t xml:space="preserve"> 20 mg, 50 mg sau 70 mg comprimate filmate </w:t>
      </w:r>
      <w:bookmarkEnd w:id="11"/>
      <w:r w:rsidRPr="000012B4">
        <w:rPr>
          <w:rFonts w:eastAsia="Times New Roman"/>
        </w:rPr>
        <w:t xml:space="preserve">sunt disponibile în cutii care conțin </w:t>
      </w:r>
      <w:bookmarkStart w:id="12" w:name="_Hlk76554103"/>
      <w:r w:rsidRPr="000012B4">
        <w:rPr>
          <w:rFonts w:eastAsia="Times New Roman"/>
        </w:rPr>
        <w:t>60 comprimate filmate în blistere sau conținând 60 x 1 comprimate filmate în blistere cu unidoză.</w:t>
      </w:r>
    </w:p>
    <w:bookmarkEnd w:id="12"/>
    <w:p w:rsidR="00E10080" w:rsidRPr="000012B4" w:rsidRDefault="00E10080" w:rsidP="00E10080">
      <w:pPr>
        <w:tabs>
          <w:tab w:val="left" w:pos="567"/>
        </w:tabs>
      </w:pPr>
    </w:p>
    <w:p w:rsidR="00E10080" w:rsidRPr="00C53E7A" w:rsidRDefault="00E10080" w:rsidP="00E10080">
      <w:pPr>
        <w:tabs>
          <w:tab w:val="left" w:pos="567"/>
        </w:tabs>
        <w:rPr>
          <w:rFonts w:eastAsia="Times New Roman"/>
          <w:highlight w:val="lightGray"/>
        </w:rPr>
      </w:pPr>
      <w:bookmarkStart w:id="13" w:name="_Hlk76554112"/>
      <w:r w:rsidRPr="00C53E7A">
        <w:rPr>
          <w:rFonts w:eastAsia="Times New Roman"/>
          <w:highlight w:val="lightGray"/>
        </w:rPr>
        <w:t xml:space="preserve">Nodriga 100 mg comprimate filmate </w:t>
      </w:r>
      <w:bookmarkEnd w:id="13"/>
      <w:r w:rsidRPr="00C53E7A">
        <w:rPr>
          <w:rFonts w:eastAsia="Times New Roman"/>
          <w:highlight w:val="lightGray"/>
        </w:rPr>
        <w:t xml:space="preserve">sunt disponibile în cutii care conțin </w:t>
      </w:r>
      <w:bookmarkStart w:id="14" w:name="_Hlk76554135"/>
      <w:r w:rsidRPr="00C53E7A">
        <w:rPr>
          <w:rFonts w:eastAsia="Times New Roman"/>
          <w:highlight w:val="lightGray"/>
        </w:rPr>
        <w:t>30 comprimate filmate în blistere sau conținând 30 x 1 comprimate filmate în blistere cu unidoză.</w:t>
      </w:r>
      <w:bookmarkEnd w:id="14"/>
    </w:p>
    <w:p w:rsidR="00E10080" w:rsidRPr="00C53E7A" w:rsidRDefault="00E10080" w:rsidP="00E10080">
      <w:pPr>
        <w:tabs>
          <w:tab w:val="left" w:pos="567"/>
        </w:tabs>
        <w:rPr>
          <w:rFonts w:eastAsia="Times New Roman"/>
          <w:highlight w:val="lightGray"/>
        </w:rPr>
      </w:pPr>
    </w:p>
    <w:p w:rsidR="00E10080" w:rsidRPr="000012B4" w:rsidRDefault="00E10080" w:rsidP="00E10080">
      <w:pPr>
        <w:tabs>
          <w:tab w:val="left" w:pos="567"/>
        </w:tabs>
      </w:pPr>
      <w:bookmarkStart w:id="15" w:name="_Hlk76554146"/>
      <w:r w:rsidRPr="00C53E7A">
        <w:rPr>
          <w:rFonts w:eastAsia="Times New Roman"/>
          <w:highlight w:val="lightGray"/>
        </w:rPr>
        <w:t xml:space="preserve">Nodriga 140 mg comprimate filmate </w:t>
      </w:r>
      <w:bookmarkEnd w:id="15"/>
      <w:r w:rsidRPr="00C53E7A">
        <w:rPr>
          <w:rFonts w:eastAsia="Times New Roman"/>
          <w:highlight w:val="lightGray"/>
        </w:rPr>
        <w:t xml:space="preserve">sunt disponibile în cutii care conțin </w:t>
      </w:r>
      <w:bookmarkStart w:id="16" w:name="_Hlk76554161"/>
      <w:r w:rsidRPr="00C53E7A">
        <w:rPr>
          <w:rFonts w:eastAsia="Times New Roman"/>
          <w:highlight w:val="lightGray"/>
        </w:rPr>
        <w:t>30 comprimate filmate în blistere.</w:t>
      </w:r>
    </w:p>
    <w:bookmarkEnd w:id="16"/>
    <w:p w:rsidR="00E10080" w:rsidRPr="000012B4" w:rsidRDefault="00E10080" w:rsidP="00E10080">
      <w:pPr>
        <w:tabs>
          <w:tab w:val="left" w:pos="567"/>
        </w:tabs>
      </w:pP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rPr>
        <w:t>Este posibil ca nu toate mărimile de ambalaj să fie comercializate.</w:t>
      </w:r>
    </w:p>
    <w:p w:rsidR="00E10080" w:rsidRPr="000012B4" w:rsidRDefault="00E10080" w:rsidP="00E10080">
      <w:pPr>
        <w:tabs>
          <w:tab w:val="left" w:pos="567"/>
        </w:tabs>
      </w:pP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b/>
          <w:bCs/>
        </w:rPr>
        <w:t>Deţinătorul autorizaţiei de punere pe piaţă</w:t>
      </w:r>
      <w:r>
        <w:rPr>
          <w:rFonts w:eastAsia="Times New Roman"/>
          <w:b/>
          <w:bCs/>
        </w:rPr>
        <w:t xml:space="preserve"> şi fabricantul</w:t>
      </w:r>
    </w:p>
    <w:p w:rsidR="00E10080" w:rsidRPr="000012B4" w:rsidRDefault="00E10080" w:rsidP="00E10080">
      <w:pPr>
        <w:tabs>
          <w:tab w:val="left" w:pos="567"/>
        </w:tabs>
      </w:pPr>
    </w:p>
    <w:p w:rsidR="00E10080" w:rsidRPr="000012B4" w:rsidRDefault="00E10080" w:rsidP="00E10080">
      <w:pPr>
        <w:tabs>
          <w:tab w:val="left" w:pos="567"/>
        </w:tabs>
        <w:rPr>
          <w:rFonts w:eastAsia="Times New Roman"/>
          <w:b/>
          <w:bCs/>
        </w:rPr>
      </w:pPr>
      <w:bookmarkStart w:id="17" w:name="_Hlk76554180"/>
    </w:p>
    <w:p w:rsidR="00E10080" w:rsidRPr="000012B4" w:rsidRDefault="00E10080" w:rsidP="00E10080">
      <w:pPr>
        <w:tabs>
          <w:tab w:val="left" w:pos="567"/>
        </w:tabs>
        <w:rPr>
          <w:rFonts w:eastAsia="Times New Roman"/>
        </w:rPr>
      </w:pPr>
      <w:r w:rsidRPr="000012B4">
        <w:rPr>
          <w:rFonts w:eastAsia="Times New Roman"/>
          <w:b/>
          <w:bCs/>
        </w:rPr>
        <w:t xml:space="preserve">        </w:t>
      </w:r>
      <w:r w:rsidRPr="000012B4">
        <w:rPr>
          <w:rFonts w:eastAsia="Times New Roman"/>
        </w:rPr>
        <w:t xml:space="preserve">Alkaloid – INT d.o.o., </w:t>
      </w:r>
    </w:p>
    <w:p w:rsidR="00E10080" w:rsidRPr="000012B4" w:rsidRDefault="00E10080" w:rsidP="00E10080">
      <w:pPr>
        <w:tabs>
          <w:tab w:val="left" w:pos="567"/>
        </w:tabs>
        <w:rPr>
          <w:rFonts w:eastAsia="Times New Roman"/>
        </w:rPr>
      </w:pPr>
      <w:r w:rsidRPr="000012B4">
        <w:rPr>
          <w:rFonts w:eastAsia="Times New Roman"/>
        </w:rPr>
        <w:t xml:space="preserve">        Šlandrova ulica 4, 1231 Ljubljana – Črnuče, </w:t>
      </w:r>
    </w:p>
    <w:p w:rsidR="00E10080" w:rsidRPr="000012B4" w:rsidRDefault="00E10080" w:rsidP="00E10080">
      <w:pPr>
        <w:tabs>
          <w:tab w:val="left" w:pos="567"/>
        </w:tabs>
        <w:rPr>
          <w:rFonts w:eastAsia="Times New Roman"/>
        </w:rPr>
      </w:pPr>
      <w:r w:rsidRPr="000012B4">
        <w:rPr>
          <w:rFonts w:eastAsia="Times New Roman"/>
        </w:rPr>
        <w:t xml:space="preserve">        Slovenia</w:t>
      </w:r>
    </w:p>
    <w:p w:rsidR="00E10080" w:rsidRPr="000012B4" w:rsidRDefault="00E10080" w:rsidP="00E10080">
      <w:pPr>
        <w:tabs>
          <w:tab w:val="left" w:pos="567"/>
        </w:tabs>
        <w:rPr>
          <w:rFonts w:eastAsia="Times New Roman"/>
        </w:rPr>
      </w:pPr>
      <w:r w:rsidRPr="000012B4">
        <w:rPr>
          <w:rFonts w:eastAsia="Times New Roman"/>
        </w:rPr>
        <w:t xml:space="preserve">        </w:t>
      </w:r>
      <w:r>
        <w:rPr>
          <w:rFonts w:eastAsia="Times New Roman"/>
        </w:rPr>
        <w:t>t</w:t>
      </w:r>
      <w:r w:rsidRPr="000012B4">
        <w:rPr>
          <w:rFonts w:eastAsia="Times New Roman"/>
        </w:rPr>
        <w:t>el</w:t>
      </w:r>
      <w:r>
        <w:rPr>
          <w:rFonts w:eastAsia="Times New Roman"/>
        </w:rPr>
        <w:t>efon</w:t>
      </w:r>
      <w:r w:rsidRPr="000012B4">
        <w:rPr>
          <w:rFonts w:eastAsia="Times New Roman"/>
        </w:rPr>
        <w:t>: + 386 1 300 42 90</w:t>
      </w:r>
    </w:p>
    <w:p w:rsidR="00E10080" w:rsidRPr="000012B4" w:rsidRDefault="00E10080" w:rsidP="00E10080">
      <w:pPr>
        <w:tabs>
          <w:tab w:val="left" w:pos="567"/>
        </w:tabs>
        <w:rPr>
          <w:rFonts w:eastAsia="Times New Roman"/>
        </w:rPr>
      </w:pPr>
      <w:r w:rsidRPr="000012B4">
        <w:rPr>
          <w:rFonts w:eastAsia="Times New Roman"/>
        </w:rPr>
        <w:t xml:space="preserve">        </w:t>
      </w:r>
      <w:r>
        <w:rPr>
          <w:rFonts w:eastAsia="Times New Roman"/>
        </w:rPr>
        <w:t>f</w:t>
      </w:r>
      <w:r w:rsidRPr="000012B4">
        <w:rPr>
          <w:rFonts w:eastAsia="Times New Roman"/>
        </w:rPr>
        <w:t>ax: + 386 1 300 42 91</w:t>
      </w:r>
    </w:p>
    <w:p w:rsidR="00E10080" w:rsidRPr="000012B4" w:rsidRDefault="00E10080" w:rsidP="00E10080">
      <w:pPr>
        <w:tabs>
          <w:tab w:val="left" w:pos="567"/>
        </w:tabs>
      </w:pPr>
      <w:r w:rsidRPr="000012B4">
        <w:rPr>
          <w:rFonts w:eastAsia="Times New Roman"/>
        </w:rPr>
        <w:t xml:space="preserve">        e</w:t>
      </w:r>
      <w:r>
        <w:rPr>
          <w:rFonts w:eastAsia="Times New Roman"/>
        </w:rPr>
        <w:t>-</w:t>
      </w:r>
      <w:r w:rsidRPr="000012B4">
        <w:rPr>
          <w:rFonts w:eastAsia="Times New Roman"/>
        </w:rPr>
        <w:t>mail: info@alkaloid.si</w:t>
      </w:r>
    </w:p>
    <w:bookmarkEnd w:id="17"/>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b/>
          <w:bCs/>
          <w:spacing w:val="-1"/>
        </w:rPr>
        <w:t xml:space="preserve">Acest medicament este autorizat în </w:t>
      </w:r>
      <w:r>
        <w:rPr>
          <w:rFonts w:eastAsia="Times New Roman"/>
          <w:b/>
          <w:bCs/>
          <w:spacing w:val="-1"/>
        </w:rPr>
        <w:t>s</w:t>
      </w:r>
      <w:r w:rsidRPr="000012B4">
        <w:rPr>
          <w:rFonts w:eastAsia="Times New Roman"/>
          <w:b/>
          <w:bCs/>
          <w:spacing w:val="-1"/>
        </w:rPr>
        <w:t xml:space="preserve">tatele </w:t>
      </w:r>
      <w:r>
        <w:rPr>
          <w:rFonts w:eastAsia="Times New Roman"/>
          <w:b/>
          <w:bCs/>
          <w:spacing w:val="-1"/>
        </w:rPr>
        <w:t>m</w:t>
      </w:r>
      <w:r w:rsidRPr="000012B4">
        <w:rPr>
          <w:rFonts w:eastAsia="Times New Roman"/>
          <w:b/>
          <w:bCs/>
          <w:spacing w:val="-1"/>
        </w:rPr>
        <w:t>embre ale Spaț</w:t>
      </w:r>
      <w:r w:rsidR="00F22F90">
        <w:rPr>
          <w:rFonts w:eastAsia="Times New Roman"/>
          <w:b/>
          <w:bCs/>
          <w:spacing w:val="-1"/>
        </w:rPr>
        <w:t xml:space="preserve">iului Economic European sub </w:t>
      </w:r>
      <w:r w:rsidRPr="000012B4">
        <w:rPr>
          <w:rFonts w:eastAsia="Times New Roman"/>
          <w:b/>
          <w:bCs/>
          <w:spacing w:val="-1"/>
        </w:rPr>
        <w:t>următoarele denumiri comerciale:</w:t>
      </w:r>
    </w:p>
    <w:p w:rsidR="00E10080" w:rsidRPr="000012B4" w:rsidRDefault="00E10080" w:rsidP="00E10080">
      <w:pPr>
        <w:tabs>
          <w:tab w:val="left" w:pos="567"/>
        </w:tabs>
      </w:pPr>
    </w:p>
    <w:p w:rsidR="00E10080" w:rsidRPr="000012B4" w:rsidRDefault="00E10080" w:rsidP="00E10080">
      <w:pPr>
        <w:tabs>
          <w:tab w:val="left" w:pos="567"/>
        </w:tabs>
      </w:pPr>
    </w:p>
    <w:p w:rsidR="00E10080" w:rsidRDefault="00E10080" w:rsidP="00E10080">
      <w:pPr>
        <w:tabs>
          <w:tab w:val="left" w:pos="567"/>
        </w:tabs>
      </w:pPr>
      <w:r w:rsidRPr="000012B4">
        <w:rPr>
          <w:b/>
          <w:bCs/>
        </w:rPr>
        <w:t xml:space="preserve">Croatia </w:t>
      </w:r>
      <w:r w:rsidRPr="000012B4">
        <w:t xml:space="preserve">   </w:t>
      </w:r>
      <w:r w:rsidRPr="000012B4">
        <w:tab/>
      </w:r>
      <w:r w:rsidRPr="000012B4">
        <w:tab/>
      </w:r>
      <w:r w:rsidRPr="000012B4">
        <w:tab/>
      </w:r>
    </w:p>
    <w:p w:rsidR="00E10080" w:rsidRPr="000012B4" w:rsidRDefault="0068346B" w:rsidP="00E10080">
      <w:pPr>
        <w:tabs>
          <w:tab w:val="left" w:pos="567"/>
        </w:tabs>
      </w:pPr>
      <w:r>
        <w:t>Nodriga</w:t>
      </w:r>
      <w:r w:rsidR="00E10080" w:rsidRPr="000012B4">
        <w:t xml:space="preserve"> 20 mg filmom obložene tablete </w:t>
      </w:r>
    </w:p>
    <w:p w:rsidR="00E10080" w:rsidRPr="00C53E7A" w:rsidRDefault="0068346B" w:rsidP="00E10080">
      <w:pPr>
        <w:tabs>
          <w:tab w:val="left" w:pos="567"/>
        </w:tabs>
        <w:rPr>
          <w:highlight w:val="lightGray"/>
        </w:rPr>
      </w:pPr>
      <w:r w:rsidRPr="00C53E7A">
        <w:rPr>
          <w:highlight w:val="lightGray"/>
        </w:rPr>
        <w:t>Nodriga</w:t>
      </w:r>
      <w:r w:rsidRPr="00C53E7A">
        <w:rPr>
          <w:highlight w:val="lightGray"/>
          <w:lang w:val="mk-MK"/>
        </w:rPr>
        <w:t xml:space="preserve"> </w:t>
      </w:r>
      <w:r w:rsidR="00E10080" w:rsidRPr="00C53E7A">
        <w:rPr>
          <w:highlight w:val="lightGray"/>
        </w:rPr>
        <w:t>50 mg filmom obložene tablete</w:t>
      </w:r>
    </w:p>
    <w:p w:rsidR="00E10080" w:rsidRPr="00C53E7A" w:rsidRDefault="0068346B" w:rsidP="00E10080">
      <w:pPr>
        <w:tabs>
          <w:tab w:val="left" w:pos="567"/>
        </w:tabs>
        <w:rPr>
          <w:highlight w:val="lightGray"/>
        </w:rPr>
      </w:pPr>
      <w:r w:rsidRPr="00C53E7A">
        <w:rPr>
          <w:highlight w:val="lightGray"/>
        </w:rPr>
        <w:t>Nodriga</w:t>
      </w:r>
      <w:r w:rsidRPr="00C53E7A">
        <w:rPr>
          <w:highlight w:val="lightGray"/>
          <w:lang w:val="mk-MK"/>
        </w:rPr>
        <w:t xml:space="preserve"> </w:t>
      </w:r>
      <w:r w:rsidR="00E10080" w:rsidRPr="00C53E7A">
        <w:rPr>
          <w:highlight w:val="lightGray"/>
        </w:rPr>
        <w:t>70 mg filmom obložene tablete</w:t>
      </w:r>
    </w:p>
    <w:p w:rsidR="00E10080" w:rsidRPr="00C53E7A" w:rsidRDefault="0068346B" w:rsidP="00E10080">
      <w:pPr>
        <w:tabs>
          <w:tab w:val="left" w:pos="567"/>
        </w:tabs>
        <w:rPr>
          <w:highlight w:val="lightGray"/>
        </w:rPr>
      </w:pPr>
      <w:r w:rsidRPr="00C53E7A">
        <w:rPr>
          <w:highlight w:val="lightGray"/>
        </w:rPr>
        <w:t>Nodriga</w:t>
      </w:r>
      <w:r w:rsidRPr="00C53E7A">
        <w:rPr>
          <w:highlight w:val="lightGray"/>
          <w:lang w:val="mk-MK"/>
        </w:rPr>
        <w:t xml:space="preserve"> </w:t>
      </w:r>
      <w:r w:rsidR="00E10080" w:rsidRPr="00C53E7A">
        <w:rPr>
          <w:highlight w:val="lightGray"/>
        </w:rPr>
        <w:t>100 mg filmom obložene tablete</w:t>
      </w:r>
    </w:p>
    <w:p w:rsidR="00E10080" w:rsidRPr="000012B4" w:rsidRDefault="0068346B" w:rsidP="00E10080">
      <w:pPr>
        <w:tabs>
          <w:tab w:val="left" w:pos="567"/>
        </w:tabs>
      </w:pPr>
      <w:r w:rsidRPr="00C53E7A">
        <w:rPr>
          <w:highlight w:val="lightGray"/>
        </w:rPr>
        <w:t>Nodriga</w:t>
      </w:r>
      <w:r w:rsidRPr="00C53E7A">
        <w:rPr>
          <w:highlight w:val="lightGray"/>
          <w:lang w:val="mk-MK"/>
        </w:rPr>
        <w:t xml:space="preserve"> </w:t>
      </w:r>
      <w:r w:rsidR="00E10080" w:rsidRPr="00C53E7A">
        <w:rPr>
          <w:highlight w:val="lightGray"/>
        </w:rPr>
        <w:t>140 mg filmom obložene tablete</w:t>
      </w:r>
    </w:p>
    <w:p w:rsidR="00E10080" w:rsidRPr="000012B4" w:rsidRDefault="00E10080" w:rsidP="00E10080">
      <w:pPr>
        <w:tabs>
          <w:tab w:val="left" w:pos="567"/>
        </w:tabs>
      </w:pPr>
    </w:p>
    <w:p w:rsidR="00E10080" w:rsidRDefault="00E10080" w:rsidP="00E10080">
      <w:pPr>
        <w:tabs>
          <w:tab w:val="left" w:pos="567"/>
        </w:tabs>
      </w:pPr>
      <w:r w:rsidRPr="000012B4">
        <w:rPr>
          <w:b/>
          <w:bCs/>
        </w:rPr>
        <w:t xml:space="preserve">Bulgaria </w:t>
      </w:r>
      <w:r w:rsidRPr="000012B4">
        <w:t xml:space="preserve">                                    </w:t>
      </w:r>
    </w:p>
    <w:p w:rsidR="00E10080" w:rsidRPr="000012B4" w:rsidRDefault="0068346B" w:rsidP="00E10080">
      <w:pPr>
        <w:tabs>
          <w:tab w:val="left" w:pos="567"/>
        </w:tabs>
      </w:pPr>
      <w:r>
        <w:t xml:space="preserve">Nodriga </w:t>
      </w:r>
      <w:r w:rsidR="00E10080" w:rsidRPr="000012B4">
        <w:t>20 mg film-coated tablets/</w:t>
      </w:r>
    </w:p>
    <w:p w:rsidR="00E10080" w:rsidRPr="000012B4" w:rsidRDefault="0068346B" w:rsidP="00E10080">
      <w:pPr>
        <w:tabs>
          <w:tab w:val="left" w:pos="567"/>
        </w:tabs>
      </w:pPr>
      <w:r>
        <w:rPr>
          <w:lang w:val="mk-MK"/>
        </w:rPr>
        <w:t>Нодрига</w:t>
      </w:r>
      <w:r w:rsidR="00E10080" w:rsidRPr="000012B4">
        <w:t xml:space="preserve"> 20 mg филмирани таблетки</w:t>
      </w:r>
    </w:p>
    <w:p w:rsidR="00E10080" w:rsidRPr="000012B4" w:rsidRDefault="00E10080" w:rsidP="00E10080">
      <w:pPr>
        <w:tabs>
          <w:tab w:val="left" w:pos="567"/>
        </w:tabs>
      </w:pPr>
    </w:p>
    <w:p w:rsidR="00E10080" w:rsidRPr="00C53E7A" w:rsidRDefault="0068346B" w:rsidP="00E10080">
      <w:pPr>
        <w:tabs>
          <w:tab w:val="left" w:pos="567"/>
        </w:tabs>
        <w:rPr>
          <w:highlight w:val="lightGray"/>
        </w:rPr>
      </w:pPr>
      <w:r w:rsidRPr="00C53E7A">
        <w:rPr>
          <w:highlight w:val="lightGray"/>
        </w:rPr>
        <w:t xml:space="preserve">Nodriga </w:t>
      </w:r>
      <w:r w:rsidR="00E10080" w:rsidRPr="00C53E7A">
        <w:rPr>
          <w:highlight w:val="lightGray"/>
        </w:rPr>
        <w:t>50 mg film-coated tablets/</w:t>
      </w:r>
    </w:p>
    <w:p w:rsidR="00E10080" w:rsidRPr="00C53E7A" w:rsidRDefault="0068346B" w:rsidP="00E10080">
      <w:pPr>
        <w:tabs>
          <w:tab w:val="left" w:pos="567"/>
        </w:tabs>
        <w:rPr>
          <w:highlight w:val="lightGray"/>
        </w:rPr>
      </w:pPr>
      <w:r w:rsidRPr="00C53E7A">
        <w:rPr>
          <w:highlight w:val="lightGray"/>
          <w:lang w:val="mk-MK"/>
        </w:rPr>
        <w:t xml:space="preserve">Нодрига </w:t>
      </w:r>
      <w:r w:rsidR="00E10080" w:rsidRPr="00C53E7A">
        <w:rPr>
          <w:highlight w:val="lightGray"/>
        </w:rPr>
        <w:t>50 mg филмирани таблетки</w:t>
      </w:r>
    </w:p>
    <w:p w:rsidR="00E10080" w:rsidRPr="00C53E7A" w:rsidRDefault="00E10080" w:rsidP="00E10080">
      <w:pPr>
        <w:tabs>
          <w:tab w:val="left" w:pos="567"/>
        </w:tabs>
        <w:rPr>
          <w:highlight w:val="lightGray"/>
        </w:rPr>
      </w:pPr>
    </w:p>
    <w:p w:rsidR="00E10080" w:rsidRPr="00C53E7A" w:rsidRDefault="0068346B" w:rsidP="00E10080">
      <w:pPr>
        <w:tabs>
          <w:tab w:val="left" w:pos="567"/>
        </w:tabs>
        <w:rPr>
          <w:highlight w:val="lightGray"/>
        </w:rPr>
      </w:pPr>
      <w:r w:rsidRPr="00C53E7A">
        <w:rPr>
          <w:highlight w:val="lightGray"/>
        </w:rPr>
        <w:t xml:space="preserve">Nodriga </w:t>
      </w:r>
      <w:r w:rsidR="00E10080" w:rsidRPr="00C53E7A">
        <w:rPr>
          <w:highlight w:val="lightGray"/>
        </w:rPr>
        <w:t>70 mg film-coated tablets/</w:t>
      </w:r>
    </w:p>
    <w:p w:rsidR="00E10080" w:rsidRPr="00C53E7A" w:rsidRDefault="0068346B" w:rsidP="00E10080">
      <w:pPr>
        <w:tabs>
          <w:tab w:val="left" w:pos="567"/>
        </w:tabs>
        <w:rPr>
          <w:highlight w:val="lightGray"/>
        </w:rPr>
      </w:pPr>
      <w:r w:rsidRPr="00C53E7A">
        <w:rPr>
          <w:highlight w:val="lightGray"/>
          <w:lang w:val="mk-MK"/>
        </w:rPr>
        <w:t xml:space="preserve">Нодрига </w:t>
      </w:r>
      <w:r w:rsidR="00E10080" w:rsidRPr="00C53E7A">
        <w:rPr>
          <w:highlight w:val="lightGray"/>
        </w:rPr>
        <w:t>70 mg филмирани таблетки</w:t>
      </w:r>
    </w:p>
    <w:p w:rsidR="00E10080" w:rsidRPr="00C53E7A" w:rsidRDefault="00E10080" w:rsidP="00E10080">
      <w:pPr>
        <w:tabs>
          <w:tab w:val="left" w:pos="567"/>
        </w:tabs>
        <w:rPr>
          <w:highlight w:val="lightGray"/>
        </w:rPr>
      </w:pPr>
    </w:p>
    <w:p w:rsidR="00E10080" w:rsidRPr="00C53E7A" w:rsidRDefault="0068346B" w:rsidP="00E10080">
      <w:pPr>
        <w:tabs>
          <w:tab w:val="left" w:pos="567"/>
        </w:tabs>
        <w:rPr>
          <w:highlight w:val="lightGray"/>
        </w:rPr>
      </w:pPr>
      <w:r w:rsidRPr="00C53E7A">
        <w:rPr>
          <w:highlight w:val="lightGray"/>
        </w:rPr>
        <w:t xml:space="preserve">Nodriga </w:t>
      </w:r>
      <w:r w:rsidR="00E10080" w:rsidRPr="00C53E7A">
        <w:rPr>
          <w:highlight w:val="lightGray"/>
        </w:rPr>
        <w:t xml:space="preserve">100 mg film-coated tablets/ </w:t>
      </w:r>
    </w:p>
    <w:p w:rsidR="00E10080" w:rsidRPr="00C53E7A" w:rsidRDefault="0068346B" w:rsidP="00E10080">
      <w:pPr>
        <w:tabs>
          <w:tab w:val="left" w:pos="567"/>
        </w:tabs>
        <w:rPr>
          <w:highlight w:val="lightGray"/>
        </w:rPr>
      </w:pPr>
      <w:r w:rsidRPr="00C53E7A">
        <w:rPr>
          <w:highlight w:val="lightGray"/>
          <w:lang w:val="mk-MK"/>
        </w:rPr>
        <w:t xml:space="preserve">Нодрига </w:t>
      </w:r>
      <w:r w:rsidR="00E10080" w:rsidRPr="00C53E7A">
        <w:rPr>
          <w:highlight w:val="lightGray"/>
        </w:rPr>
        <w:t>100 mg филмирани таблетки</w:t>
      </w:r>
    </w:p>
    <w:p w:rsidR="00E10080" w:rsidRPr="00C53E7A" w:rsidRDefault="00E10080" w:rsidP="00E10080">
      <w:pPr>
        <w:tabs>
          <w:tab w:val="left" w:pos="567"/>
        </w:tabs>
        <w:rPr>
          <w:highlight w:val="lightGray"/>
        </w:rPr>
      </w:pPr>
    </w:p>
    <w:p w:rsidR="00E10080" w:rsidRPr="00C53E7A" w:rsidRDefault="0068346B" w:rsidP="00E10080">
      <w:pPr>
        <w:tabs>
          <w:tab w:val="left" w:pos="567"/>
        </w:tabs>
        <w:rPr>
          <w:highlight w:val="lightGray"/>
        </w:rPr>
      </w:pPr>
      <w:r w:rsidRPr="00C53E7A">
        <w:rPr>
          <w:highlight w:val="lightGray"/>
        </w:rPr>
        <w:t xml:space="preserve">Nodriga </w:t>
      </w:r>
      <w:r w:rsidR="00E10080" w:rsidRPr="00C53E7A">
        <w:rPr>
          <w:highlight w:val="lightGray"/>
        </w:rPr>
        <w:t>140 mg film-coated tablets/</w:t>
      </w:r>
    </w:p>
    <w:p w:rsidR="00E10080" w:rsidRPr="000012B4" w:rsidRDefault="0068346B" w:rsidP="00E10080">
      <w:pPr>
        <w:tabs>
          <w:tab w:val="left" w:pos="567"/>
        </w:tabs>
      </w:pPr>
      <w:r w:rsidRPr="00C53E7A">
        <w:rPr>
          <w:highlight w:val="lightGray"/>
          <w:lang w:val="mk-MK"/>
        </w:rPr>
        <w:t>Нодрига</w:t>
      </w:r>
      <w:r w:rsidR="00E10080" w:rsidRPr="00C53E7A">
        <w:rPr>
          <w:highlight w:val="lightGray"/>
        </w:rPr>
        <w:t xml:space="preserve"> 140 mg филмирани таблетки</w:t>
      </w:r>
    </w:p>
    <w:p w:rsidR="00E10080" w:rsidRPr="000012B4" w:rsidRDefault="00E10080" w:rsidP="00E10080">
      <w:pPr>
        <w:tabs>
          <w:tab w:val="left" w:pos="567"/>
        </w:tabs>
        <w:rPr>
          <w:b/>
          <w:bCs/>
        </w:rPr>
      </w:pPr>
    </w:p>
    <w:p w:rsidR="00E10080" w:rsidRDefault="00E10080" w:rsidP="00E10080">
      <w:pPr>
        <w:tabs>
          <w:tab w:val="left" w:pos="567"/>
        </w:tabs>
      </w:pPr>
      <w:r w:rsidRPr="000012B4">
        <w:rPr>
          <w:b/>
          <w:bCs/>
        </w:rPr>
        <w:t>Romania</w:t>
      </w:r>
      <w:r w:rsidRPr="000012B4">
        <w:t xml:space="preserve">                         </w:t>
      </w:r>
      <w:r w:rsidRPr="000012B4">
        <w:tab/>
      </w:r>
    </w:p>
    <w:p w:rsidR="00E10080" w:rsidRPr="000012B4" w:rsidRDefault="00E10080" w:rsidP="00E10080">
      <w:pPr>
        <w:tabs>
          <w:tab w:val="left" w:pos="567"/>
        </w:tabs>
      </w:pPr>
      <w:r>
        <w:t>Nodriga</w:t>
      </w:r>
      <w:r w:rsidRPr="000012B4">
        <w:t xml:space="preserve"> 20 mg comprimate filmate</w:t>
      </w:r>
    </w:p>
    <w:p w:rsidR="00E10080" w:rsidRPr="00C53E7A" w:rsidRDefault="00E10080" w:rsidP="00E10080">
      <w:pPr>
        <w:tabs>
          <w:tab w:val="left" w:pos="567"/>
        </w:tabs>
        <w:rPr>
          <w:highlight w:val="lightGray"/>
        </w:rPr>
      </w:pPr>
      <w:r w:rsidRPr="00C53E7A">
        <w:rPr>
          <w:highlight w:val="lightGray"/>
        </w:rPr>
        <w:t>Nodriga 50 mg comprimate filmate</w:t>
      </w:r>
    </w:p>
    <w:p w:rsidR="00E10080" w:rsidRPr="00C53E7A" w:rsidRDefault="00E10080" w:rsidP="00E10080">
      <w:pPr>
        <w:tabs>
          <w:tab w:val="left" w:pos="567"/>
        </w:tabs>
        <w:rPr>
          <w:highlight w:val="lightGray"/>
        </w:rPr>
      </w:pPr>
      <w:r w:rsidRPr="00C53E7A">
        <w:rPr>
          <w:highlight w:val="lightGray"/>
        </w:rPr>
        <w:t>Nodriga 70 mg comprimate filmate</w:t>
      </w:r>
    </w:p>
    <w:p w:rsidR="00E10080" w:rsidRPr="00C53E7A" w:rsidRDefault="00E10080" w:rsidP="00E10080">
      <w:pPr>
        <w:tabs>
          <w:tab w:val="left" w:pos="567"/>
        </w:tabs>
        <w:rPr>
          <w:highlight w:val="lightGray"/>
        </w:rPr>
      </w:pPr>
      <w:r w:rsidRPr="00C53E7A">
        <w:rPr>
          <w:highlight w:val="lightGray"/>
        </w:rPr>
        <w:t>Nodriga 100 mg comprimate filmate</w:t>
      </w:r>
    </w:p>
    <w:p w:rsidR="00E10080" w:rsidRPr="000012B4" w:rsidRDefault="00E10080" w:rsidP="00E10080">
      <w:pPr>
        <w:tabs>
          <w:tab w:val="left" w:pos="567"/>
        </w:tabs>
      </w:pPr>
      <w:r w:rsidRPr="00C53E7A">
        <w:rPr>
          <w:highlight w:val="lightGray"/>
        </w:rPr>
        <w:t>Nodriga 140 mg comprimate filmate</w:t>
      </w:r>
    </w:p>
    <w:p w:rsidR="00E10080" w:rsidRPr="000012B4" w:rsidRDefault="00E10080" w:rsidP="00E10080">
      <w:pPr>
        <w:tabs>
          <w:tab w:val="left" w:pos="567"/>
        </w:tabs>
      </w:pPr>
    </w:p>
    <w:p w:rsidR="00E10080" w:rsidRDefault="00E10080" w:rsidP="00E10080">
      <w:pPr>
        <w:tabs>
          <w:tab w:val="left" w:pos="567"/>
        </w:tabs>
      </w:pPr>
      <w:r w:rsidRPr="000012B4">
        <w:rPr>
          <w:b/>
          <w:bCs/>
        </w:rPr>
        <w:t>Slovenia</w:t>
      </w:r>
      <w:r w:rsidRPr="000012B4">
        <w:t xml:space="preserve">                              </w:t>
      </w:r>
      <w:r w:rsidRPr="000012B4">
        <w:tab/>
      </w:r>
    </w:p>
    <w:p w:rsidR="00E10080" w:rsidRPr="000012B4" w:rsidRDefault="0068346B" w:rsidP="00E10080">
      <w:pPr>
        <w:tabs>
          <w:tab w:val="left" w:pos="567"/>
        </w:tabs>
      </w:pPr>
      <w:r>
        <w:t xml:space="preserve">Nodriga </w:t>
      </w:r>
      <w:r w:rsidR="00E10080" w:rsidRPr="000012B4">
        <w:t>20 mg filmsko obložene tablete</w:t>
      </w:r>
    </w:p>
    <w:p w:rsidR="00E10080" w:rsidRPr="00C53E7A" w:rsidRDefault="0068346B" w:rsidP="00E10080">
      <w:pPr>
        <w:tabs>
          <w:tab w:val="left" w:pos="567"/>
        </w:tabs>
        <w:rPr>
          <w:highlight w:val="lightGray"/>
        </w:rPr>
      </w:pPr>
      <w:r w:rsidRPr="00C53E7A">
        <w:rPr>
          <w:highlight w:val="lightGray"/>
        </w:rPr>
        <w:t xml:space="preserve">Nodriga </w:t>
      </w:r>
      <w:r w:rsidR="00E10080" w:rsidRPr="00C53E7A">
        <w:rPr>
          <w:highlight w:val="lightGray"/>
        </w:rPr>
        <w:t xml:space="preserve">50 mg filmsko obložene tablete </w:t>
      </w:r>
    </w:p>
    <w:p w:rsidR="00E10080" w:rsidRPr="00C53E7A" w:rsidRDefault="0068346B" w:rsidP="00E10080">
      <w:pPr>
        <w:tabs>
          <w:tab w:val="left" w:pos="567"/>
        </w:tabs>
        <w:rPr>
          <w:highlight w:val="lightGray"/>
        </w:rPr>
      </w:pPr>
      <w:r w:rsidRPr="00C53E7A">
        <w:rPr>
          <w:highlight w:val="lightGray"/>
        </w:rPr>
        <w:t xml:space="preserve">Nodriga </w:t>
      </w:r>
      <w:r w:rsidR="00E10080" w:rsidRPr="00C53E7A">
        <w:rPr>
          <w:highlight w:val="lightGray"/>
        </w:rPr>
        <w:t xml:space="preserve">70 mg filmsko obložene tablete </w:t>
      </w:r>
    </w:p>
    <w:p w:rsidR="00E10080" w:rsidRPr="00C53E7A" w:rsidRDefault="0068346B" w:rsidP="00E10080">
      <w:pPr>
        <w:tabs>
          <w:tab w:val="left" w:pos="567"/>
        </w:tabs>
        <w:rPr>
          <w:highlight w:val="lightGray"/>
        </w:rPr>
      </w:pPr>
      <w:r w:rsidRPr="00C53E7A">
        <w:rPr>
          <w:highlight w:val="lightGray"/>
        </w:rPr>
        <w:t xml:space="preserve">Nodriga </w:t>
      </w:r>
      <w:r w:rsidR="00E10080" w:rsidRPr="00C53E7A">
        <w:rPr>
          <w:highlight w:val="lightGray"/>
        </w:rPr>
        <w:t xml:space="preserve">100 mg filmsko obložene tablete </w:t>
      </w:r>
    </w:p>
    <w:p w:rsidR="00E10080" w:rsidRPr="000012B4" w:rsidRDefault="0068346B" w:rsidP="00E10080">
      <w:pPr>
        <w:tabs>
          <w:tab w:val="left" w:pos="567"/>
        </w:tabs>
      </w:pPr>
      <w:r w:rsidRPr="00C53E7A">
        <w:rPr>
          <w:highlight w:val="lightGray"/>
        </w:rPr>
        <w:t xml:space="preserve">Nodriga </w:t>
      </w:r>
      <w:r w:rsidR="00E10080" w:rsidRPr="00C53E7A">
        <w:rPr>
          <w:highlight w:val="lightGray"/>
        </w:rPr>
        <w:t>140 mg filmsko obložene tablete</w:t>
      </w:r>
    </w:p>
    <w:p w:rsidR="00E10080" w:rsidRPr="000012B4" w:rsidRDefault="00E10080" w:rsidP="00E10080">
      <w:pPr>
        <w:tabs>
          <w:tab w:val="left" w:pos="567"/>
        </w:tabs>
      </w:pPr>
    </w:p>
    <w:p w:rsidR="00E10080" w:rsidRPr="000012B4" w:rsidRDefault="00E10080" w:rsidP="00E10080">
      <w:pPr>
        <w:tabs>
          <w:tab w:val="left" w:pos="567"/>
        </w:tabs>
      </w:pPr>
    </w:p>
    <w:p w:rsidR="00E10080" w:rsidRPr="000012B4" w:rsidRDefault="00E10080" w:rsidP="00E10080">
      <w:pPr>
        <w:tabs>
          <w:tab w:val="left" w:pos="567"/>
        </w:tabs>
      </w:pPr>
      <w:r w:rsidRPr="000012B4">
        <w:rPr>
          <w:rFonts w:eastAsia="Times New Roman"/>
          <w:b/>
          <w:bCs/>
          <w:spacing w:val="-1"/>
        </w:rPr>
        <w:t>Acest prospect a fost revizuit în</w:t>
      </w:r>
      <w:r>
        <w:rPr>
          <w:rFonts w:eastAsia="Times New Roman"/>
          <w:b/>
          <w:bCs/>
          <w:spacing w:val="-1"/>
        </w:rPr>
        <w:t xml:space="preserve"> </w:t>
      </w:r>
      <w:r w:rsidR="000C0DDE">
        <w:rPr>
          <w:rFonts w:eastAsia="Times New Roman"/>
          <w:b/>
          <w:bCs/>
          <w:spacing w:val="-1"/>
        </w:rPr>
        <w:t xml:space="preserve">Iulie </w:t>
      </w:r>
      <w:r>
        <w:rPr>
          <w:rFonts w:eastAsia="Times New Roman"/>
          <w:b/>
          <w:bCs/>
          <w:spacing w:val="-1"/>
        </w:rPr>
        <w:t>2022</w:t>
      </w:r>
    </w:p>
    <w:p w:rsidR="00E10080" w:rsidRPr="000012B4" w:rsidRDefault="00E10080" w:rsidP="00E10080">
      <w:pPr>
        <w:tabs>
          <w:tab w:val="left" w:pos="567"/>
        </w:tabs>
      </w:pPr>
    </w:p>
    <w:p w:rsidR="00E10080" w:rsidRPr="000012B4" w:rsidRDefault="00E10080" w:rsidP="00E10080">
      <w:pPr>
        <w:tabs>
          <w:tab w:val="left" w:pos="567"/>
        </w:tabs>
      </w:pPr>
    </w:p>
    <w:p w:rsidR="00610EBB" w:rsidRDefault="00610EBB"/>
    <w:sectPr w:rsidR="00610EBB" w:rsidSect="00D445B7">
      <w:type w:val="continuous"/>
      <w:pgSz w:w="12240" w:h="15840"/>
      <w:pgMar w:top="1134" w:right="1418" w:bottom="1134" w:left="1418" w:header="0" w:footer="0" w:gutter="0"/>
      <w:cols w:space="720" w:equalWidth="0">
        <w:col w:w="9382"/>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751" w:rsidRDefault="008B7751">
      <w:r>
        <w:separator/>
      </w:r>
    </w:p>
  </w:endnote>
  <w:endnote w:type="continuationSeparator" w:id="0">
    <w:p w:rsidR="008B7751" w:rsidRDefault="008B7751">
      <w:r>
        <w:continuationSeparator/>
      </w:r>
    </w:p>
  </w:endnote>
  <w:endnote w:type="continuationNotice" w:id="1">
    <w:p w:rsidR="008B7751" w:rsidRDefault="008B77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4980146"/>
      <w:docPartObj>
        <w:docPartGallery w:val="Page Numbers (Bottom of Page)"/>
        <w:docPartUnique/>
      </w:docPartObj>
    </w:sdtPr>
    <w:sdtEndPr>
      <w:rPr>
        <w:noProof/>
      </w:rPr>
    </w:sdtEndPr>
    <w:sdtContent>
      <w:p w:rsidR="000012B4" w:rsidRPr="00D445B7" w:rsidRDefault="00E10080">
        <w:pPr>
          <w:pStyle w:val="Footer"/>
          <w:jc w:val="center"/>
          <w:rPr>
            <w:sz w:val="20"/>
            <w:szCs w:val="20"/>
          </w:rPr>
        </w:pPr>
        <w:r w:rsidRPr="00D445B7">
          <w:rPr>
            <w:sz w:val="20"/>
            <w:szCs w:val="20"/>
          </w:rPr>
          <w:fldChar w:fldCharType="begin"/>
        </w:r>
        <w:r w:rsidRPr="00D445B7">
          <w:rPr>
            <w:sz w:val="20"/>
            <w:szCs w:val="20"/>
          </w:rPr>
          <w:instrText xml:space="preserve"> PAGE   \* MERGEFORMAT </w:instrText>
        </w:r>
        <w:r w:rsidRPr="00D445B7">
          <w:rPr>
            <w:sz w:val="20"/>
            <w:szCs w:val="20"/>
          </w:rPr>
          <w:fldChar w:fldCharType="separate"/>
        </w:r>
        <w:r w:rsidR="00C243CD">
          <w:rPr>
            <w:noProof/>
            <w:sz w:val="20"/>
            <w:szCs w:val="20"/>
          </w:rPr>
          <w:t>1</w:t>
        </w:r>
        <w:r w:rsidRPr="00D445B7">
          <w:rPr>
            <w:noProof/>
            <w:sz w:val="20"/>
            <w:szCs w:val="20"/>
          </w:rPr>
          <w:fldChar w:fldCharType="end"/>
        </w:r>
      </w:p>
    </w:sdtContent>
  </w:sdt>
  <w:p w:rsidR="000012B4" w:rsidRDefault="008B77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751" w:rsidRDefault="008B7751">
      <w:r>
        <w:separator/>
      </w:r>
    </w:p>
  </w:footnote>
  <w:footnote w:type="continuationSeparator" w:id="0">
    <w:p w:rsidR="008B7751" w:rsidRDefault="008B7751">
      <w:r>
        <w:continuationSeparator/>
      </w:r>
    </w:p>
  </w:footnote>
  <w:footnote w:type="continuationNotice" w:id="1">
    <w:p w:rsidR="008B7751" w:rsidRDefault="008B775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F54" w:rsidRDefault="00BE0F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3A31"/>
    <w:multiLevelType w:val="hybridMultilevel"/>
    <w:tmpl w:val="6CBC0064"/>
    <w:lvl w:ilvl="0" w:tplc="5948BB40">
      <w:start w:val="3"/>
      <w:numFmt w:val="decimal"/>
      <w:lvlText w:val="%1."/>
      <w:lvlJc w:val="left"/>
    </w:lvl>
    <w:lvl w:ilvl="1" w:tplc="218449A4">
      <w:numFmt w:val="decimal"/>
      <w:lvlText w:val=""/>
      <w:lvlJc w:val="left"/>
    </w:lvl>
    <w:lvl w:ilvl="2" w:tplc="9FBC857C">
      <w:numFmt w:val="decimal"/>
      <w:lvlText w:val=""/>
      <w:lvlJc w:val="left"/>
    </w:lvl>
    <w:lvl w:ilvl="3" w:tplc="7272E7C4">
      <w:numFmt w:val="decimal"/>
      <w:lvlText w:val=""/>
      <w:lvlJc w:val="left"/>
    </w:lvl>
    <w:lvl w:ilvl="4" w:tplc="07908C84">
      <w:numFmt w:val="decimal"/>
      <w:lvlText w:val=""/>
      <w:lvlJc w:val="left"/>
    </w:lvl>
    <w:lvl w:ilvl="5" w:tplc="076C21FE">
      <w:numFmt w:val="decimal"/>
      <w:lvlText w:val=""/>
      <w:lvlJc w:val="left"/>
    </w:lvl>
    <w:lvl w:ilvl="6" w:tplc="7E2269F8">
      <w:numFmt w:val="decimal"/>
      <w:lvlText w:val=""/>
      <w:lvlJc w:val="left"/>
    </w:lvl>
    <w:lvl w:ilvl="7" w:tplc="ED02116A">
      <w:numFmt w:val="decimal"/>
      <w:lvlText w:val=""/>
      <w:lvlJc w:val="left"/>
    </w:lvl>
    <w:lvl w:ilvl="8" w:tplc="7118497A">
      <w:numFmt w:val="decimal"/>
      <w:lvlText w:val=""/>
      <w:lvlJc w:val="left"/>
    </w:lvl>
  </w:abstractNum>
  <w:abstractNum w:abstractNumId="1" w15:restartNumberingAfterBreak="0">
    <w:nsid w:val="0C9A11F5"/>
    <w:multiLevelType w:val="hybridMultilevel"/>
    <w:tmpl w:val="9E52479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903BCC"/>
    <w:multiLevelType w:val="hybridMultilevel"/>
    <w:tmpl w:val="67B27B26"/>
    <w:lvl w:ilvl="0" w:tplc="7EB69A5E">
      <w:start w:val="5"/>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14744A3E"/>
    <w:multiLevelType w:val="hybridMultilevel"/>
    <w:tmpl w:val="D3F04250"/>
    <w:lvl w:ilvl="0" w:tplc="7EB69A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FE3625"/>
    <w:multiLevelType w:val="hybridMultilevel"/>
    <w:tmpl w:val="277063C4"/>
    <w:lvl w:ilvl="0" w:tplc="D892E832">
      <w:start w:val="5"/>
      <w:numFmt w:val="decimal"/>
      <w:lvlText w:val="%1."/>
      <w:lvlJc w:val="left"/>
    </w:lvl>
    <w:lvl w:ilvl="1" w:tplc="6AFA8566">
      <w:numFmt w:val="decimal"/>
      <w:lvlText w:val=""/>
      <w:lvlJc w:val="left"/>
    </w:lvl>
    <w:lvl w:ilvl="2" w:tplc="23A2691A">
      <w:numFmt w:val="decimal"/>
      <w:lvlText w:val=""/>
      <w:lvlJc w:val="left"/>
    </w:lvl>
    <w:lvl w:ilvl="3" w:tplc="7C8EDB84">
      <w:numFmt w:val="decimal"/>
      <w:lvlText w:val=""/>
      <w:lvlJc w:val="left"/>
    </w:lvl>
    <w:lvl w:ilvl="4" w:tplc="1560847C">
      <w:numFmt w:val="decimal"/>
      <w:lvlText w:val=""/>
      <w:lvlJc w:val="left"/>
    </w:lvl>
    <w:lvl w:ilvl="5" w:tplc="18E8EDF0">
      <w:numFmt w:val="decimal"/>
      <w:lvlText w:val=""/>
      <w:lvlJc w:val="left"/>
    </w:lvl>
    <w:lvl w:ilvl="6" w:tplc="8E3C3B98">
      <w:numFmt w:val="decimal"/>
      <w:lvlText w:val=""/>
      <w:lvlJc w:val="left"/>
    </w:lvl>
    <w:lvl w:ilvl="7" w:tplc="A508C77E">
      <w:numFmt w:val="decimal"/>
      <w:lvlText w:val=""/>
      <w:lvlJc w:val="left"/>
    </w:lvl>
    <w:lvl w:ilvl="8" w:tplc="C4ACA89A">
      <w:numFmt w:val="decimal"/>
      <w:lvlText w:val=""/>
      <w:lvlJc w:val="left"/>
    </w:lvl>
  </w:abstractNum>
  <w:abstractNum w:abstractNumId="5" w15:restartNumberingAfterBreak="0">
    <w:nsid w:val="1CB75952"/>
    <w:multiLevelType w:val="hybridMultilevel"/>
    <w:tmpl w:val="FC76D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4B8B53"/>
    <w:multiLevelType w:val="hybridMultilevel"/>
    <w:tmpl w:val="E91A2E18"/>
    <w:lvl w:ilvl="0" w:tplc="D3502BF8">
      <w:start w:val="2"/>
      <w:numFmt w:val="decimal"/>
      <w:lvlText w:val="%1."/>
      <w:lvlJc w:val="left"/>
    </w:lvl>
    <w:lvl w:ilvl="1" w:tplc="34B6B770">
      <w:numFmt w:val="decimal"/>
      <w:lvlText w:val=""/>
      <w:lvlJc w:val="left"/>
    </w:lvl>
    <w:lvl w:ilvl="2" w:tplc="E0084996">
      <w:numFmt w:val="decimal"/>
      <w:lvlText w:val=""/>
      <w:lvlJc w:val="left"/>
    </w:lvl>
    <w:lvl w:ilvl="3" w:tplc="8B7CB3A6">
      <w:numFmt w:val="decimal"/>
      <w:lvlText w:val=""/>
      <w:lvlJc w:val="left"/>
    </w:lvl>
    <w:lvl w:ilvl="4" w:tplc="9BC0C222">
      <w:numFmt w:val="decimal"/>
      <w:lvlText w:val=""/>
      <w:lvlJc w:val="left"/>
    </w:lvl>
    <w:lvl w:ilvl="5" w:tplc="0C36F3E6">
      <w:numFmt w:val="decimal"/>
      <w:lvlText w:val=""/>
      <w:lvlJc w:val="left"/>
    </w:lvl>
    <w:lvl w:ilvl="6" w:tplc="8564DC24">
      <w:numFmt w:val="decimal"/>
      <w:lvlText w:val=""/>
      <w:lvlJc w:val="left"/>
    </w:lvl>
    <w:lvl w:ilvl="7" w:tplc="D9E4C1F4">
      <w:numFmt w:val="decimal"/>
      <w:lvlText w:val=""/>
      <w:lvlJc w:val="left"/>
    </w:lvl>
    <w:lvl w:ilvl="8" w:tplc="681C864C">
      <w:numFmt w:val="decimal"/>
      <w:lvlText w:val=""/>
      <w:lvlJc w:val="left"/>
    </w:lvl>
  </w:abstractNum>
  <w:abstractNum w:abstractNumId="7" w15:restartNumberingAfterBreak="0">
    <w:nsid w:val="3CA88ECF"/>
    <w:multiLevelType w:val="hybridMultilevel"/>
    <w:tmpl w:val="8DC69056"/>
    <w:lvl w:ilvl="0" w:tplc="D20A5ADE">
      <w:start w:val="6"/>
      <w:numFmt w:val="decimal"/>
      <w:lvlText w:val="%1."/>
      <w:lvlJc w:val="left"/>
    </w:lvl>
    <w:lvl w:ilvl="1" w:tplc="6FD6DD74">
      <w:numFmt w:val="decimal"/>
      <w:lvlText w:val=""/>
      <w:lvlJc w:val="left"/>
    </w:lvl>
    <w:lvl w:ilvl="2" w:tplc="36FA9F28">
      <w:numFmt w:val="decimal"/>
      <w:lvlText w:val=""/>
      <w:lvlJc w:val="left"/>
    </w:lvl>
    <w:lvl w:ilvl="3" w:tplc="6C42BA66">
      <w:numFmt w:val="decimal"/>
      <w:lvlText w:val=""/>
      <w:lvlJc w:val="left"/>
    </w:lvl>
    <w:lvl w:ilvl="4" w:tplc="76A6206E">
      <w:numFmt w:val="decimal"/>
      <w:lvlText w:val=""/>
      <w:lvlJc w:val="left"/>
    </w:lvl>
    <w:lvl w:ilvl="5" w:tplc="7F80DC86">
      <w:numFmt w:val="decimal"/>
      <w:lvlText w:val=""/>
      <w:lvlJc w:val="left"/>
    </w:lvl>
    <w:lvl w:ilvl="6" w:tplc="A526171E">
      <w:numFmt w:val="decimal"/>
      <w:lvlText w:val=""/>
      <w:lvlJc w:val="left"/>
    </w:lvl>
    <w:lvl w:ilvl="7" w:tplc="59128042">
      <w:numFmt w:val="decimal"/>
      <w:lvlText w:val=""/>
      <w:lvlJc w:val="left"/>
    </w:lvl>
    <w:lvl w:ilvl="8" w:tplc="C0D2B5AC">
      <w:numFmt w:val="decimal"/>
      <w:lvlText w:val=""/>
      <w:lvlJc w:val="left"/>
    </w:lvl>
  </w:abstractNum>
  <w:abstractNum w:abstractNumId="8" w15:restartNumberingAfterBreak="0">
    <w:nsid w:val="47361BF7"/>
    <w:multiLevelType w:val="hybridMultilevel"/>
    <w:tmpl w:val="DB7A8E4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51BF6B48"/>
    <w:multiLevelType w:val="hybridMultilevel"/>
    <w:tmpl w:val="1D8ABC42"/>
    <w:lvl w:ilvl="0" w:tplc="B2448A1C">
      <w:start w:val="1"/>
      <w:numFmt w:val="decimal"/>
      <w:lvlText w:val="%1."/>
      <w:lvlJc w:val="left"/>
    </w:lvl>
    <w:lvl w:ilvl="1" w:tplc="E87220AE">
      <w:numFmt w:val="decimal"/>
      <w:lvlText w:val=""/>
      <w:lvlJc w:val="left"/>
    </w:lvl>
    <w:lvl w:ilvl="2" w:tplc="FF88BF28">
      <w:numFmt w:val="decimal"/>
      <w:lvlText w:val=""/>
      <w:lvlJc w:val="left"/>
    </w:lvl>
    <w:lvl w:ilvl="3" w:tplc="02E44CE0">
      <w:numFmt w:val="decimal"/>
      <w:lvlText w:val=""/>
      <w:lvlJc w:val="left"/>
    </w:lvl>
    <w:lvl w:ilvl="4" w:tplc="C72A4F54">
      <w:numFmt w:val="decimal"/>
      <w:lvlText w:val=""/>
      <w:lvlJc w:val="left"/>
    </w:lvl>
    <w:lvl w:ilvl="5" w:tplc="BA04CD06">
      <w:numFmt w:val="decimal"/>
      <w:lvlText w:val=""/>
      <w:lvlJc w:val="left"/>
    </w:lvl>
    <w:lvl w:ilvl="6" w:tplc="08C254E8">
      <w:numFmt w:val="decimal"/>
      <w:lvlText w:val=""/>
      <w:lvlJc w:val="left"/>
    </w:lvl>
    <w:lvl w:ilvl="7" w:tplc="B6AC8B3A">
      <w:numFmt w:val="decimal"/>
      <w:lvlText w:val=""/>
      <w:lvlJc w:val="left"/>
    </w:lvl>
    <w:lvl w:ilvl="8" w:tplc="ABCC5250">
      <w:numFmt w:val="decimal"/>
      <w:lvlText w:val=""/>
      <w:lvlJc w:val="left"/>
    </w:lvl>
  </w:abstractNum>
  <w:abstractNum w:abstractNumId="10" w15:restartNumberingAfterBreak="0">
    <w:nsid w:val="54074DE5"/>
    <w:multiLevelType w:val="hybridMultilevel"/>
    <w:tmpl w:val="30E897F2"/>
    <w:lvl w:ilvl="0" w:tplc="7EB69A5E">
      <w:start w:val="5"/>
      <w:numFmt w:val="bullet"/>
      <w:lvlText w:val="-"/>
      <w:lvlJc w:val="left"/>
      <w:rPr>
        <w:rFonts w:ascii="Times New Roman" w:eastAsia="Times New Roman" w:hAnsi="Times New Roman" w:cs="Times New Roman" w:hint="default"/>
      </w:rPr>
    </w:lvl>
    <w:lvl w:ilvl="1" w:tplc="BCF45778">
      <w:numFmt w:val="decimal"/>
      <w:lvlText w:val=""/>
      <w:lvlJc w:val="left"/>
    </w:lvl>
    <w:lvl w:ilvl="2" w:tplc="1696C15E">
      <w:numFmt w:val="decimal"/>
      <w:lvlText w:val=""/>
      <w:lvlJc w:val="left"/>
    </w:lvl>
    <w:lvl w:ilvl="3" w:tplc="EDB616F8">
      <w:numFmt w:val="decimal"/>
      <w:lvlText w:val=""/>
      <w:lvlJc w:val="left"/>
    </w:lvl>
    <w:lvl w:ilvl="4" w:tplc="6D086790">
      <w:numFmt w:val="decimal"/>
      <w:lvlText w:val=""/>
      <w:lvlJc w:val="left"/>
    </w:lvl>
    <w:lvl w:ilvl="5" w:tplc="8EA4D416">
      <w:numFmt w:val="decimal"/>
      <w:lvlText w:val=""/>
      <w:lvlJc w:val="left"/>
    </w:lvl>
    <w:lvl w:ilvl="6" w:tplc="04CEA080">
      <w:numFmt w:val="decimal"/>
      <w:lvlText w:val=""/>
      <w:lvlJc w:val="left"/>
    </w:lvl>
    <w:lvl w:ilvl="7" w:tplc="DDF23FC2">
      <w:numFmt w:val="decimal"/>
      <w:lvlText w:val=""/>
      <w:lvlJc w:val="left"/>
    </w:lvl>
    <w:lvl w:ilvl="8" w:tplc="84E23910">
      <w:numFmt w:val="decimal"/>
      <w:lvlText w:val=""/>
      <w:lvlJc w:val="left"/>
    </w:lvl>
  </w:abstractNum>
  <w:abstractNum w:abstractNumId="11" w15:restartNumberingAfterBreak="0">
    <w:nsid w:val="55B36DC0"/>
    <w:multiLevelType w:val="hybridMultilevel"/>
    <w:tmpl w:val="A63CF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1A554D"/>
    <w:multiLevelType w:val="hybridMultilevel"/>
    <w:tmpl w:val="104E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1F1690"/>
    <w:multiLevelType w:val="hybridMultilevel"/>
    <w:tmpl w:val="77D46A8A"/>
    <w:lvl w:ilvl="0" w:tplc="8B1C28D8">
      <w:start w:val="4"/>
      <w:numFmt w:val="decimal"/>
      <w:lvlText w:val="%1."/>
      <w:lvlJc w:val="left"/>
    </w:lvl>
    <w:lvl w:ilvl="1" w:tplc="47E8F41E">
      <w:numFmt w:val="decimal"/>
      <w:lvlText w:val=""/>
      <w:lvlJc w:val="left"/>
    </w:lvl>
    <w:lvl w:ilvl="2" w:tplc="BFD4C92E">
      <w:numFmt w:val="decimal"/>
      <w:lvlText w:val=""/>
      <w:lvlJc w:val="left"/>
    </w:lvl>
    <w:lvl w:ilvl="3" w:tplc="81FACC42">
      <w:numFmt w:val="decimal"/>
      <w:lvlText w:val=""/>
      <w:lvlJc w:val="left"/>
    </w:lvl>
    <w:lvl w:ilvl="4" w:tplc="8B90BD86">
      <w:numFmt w:val="decimal"/>
      <w:lvlText w:val=""/>
      <w:lvlJc w:val="left"/>
    </w:lvl>
    <w:lvl w:ilvl="5" w:tplc="433011B6">
      <w:numFmt w:val="decimal"/>
      <w:lvlText w:val=""/>
      <w:lvlJc w:val="left"/>
    </w:lvl>
    <w:lvl w:ilvl="6" w:tplc="C41A8DD4">
      <w:numFmt w:val="decimal"/>
      <w:lvlText w:val=""/>
      <w:lvlJc w:val="left"/>
    </w:lvl>
    <w:lvl w:ilvl="7" w:tplc="A2588CAC">
      <w:numFmt w:val="decimal"/>
      <w:lvlText w:val=""/>
      <w:lvlJc w:val="left"/>
    </w:lvl>
    <w:lvl w:ilvl="8" w:tplc="21368B8A">
      <w:numFmt w:val="decimal"/>
      <w:lvlText w:val=""/>
      <w:lvlJc w:val="left"/>
    </w:lvl>
  </w:abstractNum>
  <w:abstractNum w:abstractNumId="14" w15:restartNumberingAfterBreak="0">
    <w:nsid w:val="64429599"/>
    <w:multiLevelType w:val="hybridMultilevel"/>
    <w:tmpl w:val="2A403918"/>
    <w:lvl w:ilvl="0" w:tplc="A86A8DAA">
      <w:start w:val="1"/>
      <w:numFmt w:val="bullet"/>
      <w:lvlText w:val="a"/>
      <w:lvlJc w:val="left"/>
    </w:lvl>
    <w:lvl w:ilvl="1" w:tplc="503C69C6">
      <w:numFmt w:val="decimal"/>
      <w:lvlText w:val=""/>
      <w:lvlJc w:val="left"/>
    </w:lvl>
    <w:lvl w:ilvl="2" w:tplc="4B5EB760">
      <w:numFmt w:val="decimal"/>
      <w:lvlText w:val=""/>
      <w:lvlJc w:val="left"/>
    </w:lvl>
    <w:lvl w:ilvl="3" w:tplc="8DE2B2C4">
      <w:numFmt w:val="decimal"/>
      <w:lvlText w:val=""/>
      <w:lvlJc w:val="left"/>
    </w:lvl>
    <w:lvl w:ilvl="4" w:tplc="84227C04">
      <w:numFmt w:val="decimal"/>
      <w:lvlText w:val=""/>
      <w:lvlJc w:val="left"/>
    </w:lvl>
    <w:lvl w:ilvl="5" w:tplc="2C0A01D0">
      <w:numFmt w:val="decimal"/>
      <w:lvlText w:val=""/>
      <w:lvlJc w:val="left"/>
    </w:lvl>
    <w:lvl w:ilvl="6" w:tplc="C6ECD638">
      <w:numFmt w:val="decimal"/>
      <w:lvlText w:val=""/>
      <w:lvlJc w:val="left"/>
    </w:lvl>
    <w:lvl w:ilvl="7" w:tplc="D23A9640">
      <w:numFmt w:val="decimal"/>
      <w:lvlText w:val=""/>
      <w:lvlJc w:val="left"/>
    </w:lvl>
    <w:lvl w:ilvl="8" w:tplc="B6AC7C1A">
      <w:numFmt w:val="decimal"/>
      <w:lvlText w:val=""/>
      <w:lvlJc w:val="left"/>
    </w:lvl>
  </w:abstractNum>
  <w:abstractNum w:abstractNumId="15" w15:restartNumberingAfterBreak="0">
    <w:nsid w:val="6F5434F9"/>
    <w:multiLevelType w:val="hybridMultilevel"/>
    <w:tmpl w:val="1B5CF3A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16" w15:restartNumberingAfterBreak="0">
    <w:nsid w:val="73BE0431"/>
    <w:multiLevelType w:val="hybridMultilevel"/>
    <w:tmpl w:val="1302AB3C"/>
    <w:lvl w:ilvl="0" w:tplc="7EB69A5E">
      <w:start w:val="5"/>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7E0F6384"/>
    <w:multiLevelType w:val="hybridMultilevel"/>
    <w:tmpl w:val="2428740A"/>
    <w:lvl w:ilvl="0" w:tplc="3EE67D14">
      <w:start w:val="1"/>
      <w:numFmt w:val="decimal"/>
      <w:lvlText w:val="%1."/>
      <w:lvlJc w:val="left"/>
    </w:lvl>
    <w:lvl w:ilvl="1" w:tplc="E528BB46">
      <w:numFmt w:val="decimal"/>
      <w:lvlText w:val=""/>
      <w:lvlJc w:val="left"/>
    </w:lvl>
    <w:lvl w:ilvl="2" w:tplc="F470FBC4">
      <w:numFmt w:val="decimal"/>
      <w:lvlText w:val=""/>
      <w:lvlJc w:val="left"/>
    </w:lvl>
    <w:lvl w:ilvl="3" w:tplc="396659FC">
      <w:numFmt w:val="decimal"/>
      <w:lvlText w:val=""/>
      <w:lvlJc w:val="left"/>
    </w:lvl>
    <w:lvl w:ilvl="4" w:tplc="7868A93E">
      <w:numFmt w:val="decimal"/>
      <w:lvlText w:val=""/>
      <w:lvlJc w:val="left"/>
    </w:lvl>
    <w:lvl w:ilvl="5" w:tplc="1DD49462">
      <w:numFmt w:val="decimal"/>
      <w:lvlText w:val=""/>
      <w:lvlJc w:val="left"/>
    </w:lvl>
    <w:lvl w:ilvl="6" w:tplc="0E52D556">
      <w:numFmt w:val="decimal"/>
      <w:lvlText w:val=""/>
      <w:lvlJc w:val="left"/>
    </w:lvl>
    <w:lvl w:ilvl="7" w:tplc="FE0CC298">
      <w:numFmt w:val="decimal"/>
      <w:lvlText w:val=""/>
      <w:lvlJc w:val="left"/>
    </w:lvl>
    <w:lvl w:ilvl="8" w:tplc="E396831A">
      <w:numFmt w:val="decimal"/>
      <w:lvlText w:val=""/>
      <w:lvlJc w:val="left"/>
    </w:lvl>
  </w:abstractNum>
  <w:num w:numId="1">
    <w:abstractNumId w:val="9"/>
  </w:num>
  <w:num w:numId="2">
    <w:abstractNumId w:val="17"/>
  </w:num>
  <w:num w:numId="3">
    <w:abstractNumId w:val="6"/>
  </w:num>
  <w:num w:numId="4">
    <w:abstractNumId w:val="0"/>
  </w:num>
  <w:num w:numId="5">
    <w:abstractNumId w:val="14"/>
  </w:num>
  <w:num w:numId="6">
    <w:abstractNumId w:val="13"/>
  </w:num>
  <w:num w:numId="7">
    <w:abstractNumId w:val="4"/>
  </w:num>
  <w:num w:numId="8">
    <w:abstractNumId w:val="7"/>
  </w:num>
  <w:num w:numId="9">
    <w:abstractNumId w:val="5"/>
  </w:num>
  <w:num w:numId="10">
    <w:abstractNumId w:val="1"/>
  </w:num>
  <w:num w:numId="11">
    <w:abstractNumId w:val="11"/>
  </w:num>
  <w:num w:numId="12">
    <w:abstractNumId w:val="12"/>
  </w:num>
  <w:num w:numId="13">
    <w:abstractNumId w:val="8"/>
  </w:num>
  <w:num w:numId="14">
    <w:abstractNumId w:val="15"/>
  </w:num>
  <w:num w:numId="15">
    <w:abstractNumId w:val="3"/>
  </w:num>
  <w:num w:numId="16">
    <w:abstractNumId w:val="10"/>
  </w:num>
  <w:num w:numId="17">
    <w:abstractNumId w:val="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ACA"/>
    <w:rsid w:val="0007197F"/>
    <w:rsid w:val="000C0DDE"/>
    <w:rsid w:val="000D148C"/>
    <w:rsid w:val="001A61DE"/>
    <w:rsid w:val="003D5B3B"/>
    <w:rsid w:val="00413F86"/>
    <w:rsid w:val="00426ACA"/>
    <w:rsid w:val="004603BA"/>
    <w:rsid w:val="004D5D84"/>
    <w:rsid w:val="004F6FD0"/>
    <w:rsid w:val="00610EBB"/>
    <w:rsid w:val="006607A0"/>
    <w:rsid w:val="0068346B"/>
    <w:rsid w:val="00692B35"/>
    <w:rsid w:val="006B295B"/>
    <w:rsid w:val="006B2F79"/>
    <w:rsid w:val="00734BAC"/>
    <w:rsid w:val="007577E0"/>
    <w:rsid w:val="008B7751"/>
    <w:rsid w:val="008C43C4"/>
    <w:rsid w:val="00985A86"/>
    <w:rsid w:val="009B7426"/>
    <w:rsid w:val="00AC7F7F"/>
    <w:rsid w:val="00B130F9"/>
    <w:rsid w:val="00B34D2B"/>
    <w:rsid w:val="00BA04EF"/>
    <w:rsid w:val="00BE0F54"/>
    <w:rsid w:val="00C243CD"/>
    <w:rsid w:val="00C53E7A"/>
    <w:rsid w:val="00C61C9E"/>
    <w:rsid w:val="00DD7F71"/>
    <w:rsid w:val="00DE0409"/>
    <w:rsid w:val="00E10080"/>
    <w:rsid w:val="00E207EE"/>
    <w:rsid w:val="00EB0B86"/>
    <w:rsid w:val="00EB231F"/>
    <w:rsid w:val="00EB5776"/>
    <w:rsid w:val="00EE3804"/>
    <w:rsid w:val="00F22F90"/>
    <w:rsid w:val="00F61A22"/>
    <w:rsid w:val="00FA0D67"/>
    <w:rsid w:val="00FA2777"/>
    <w:rsid w:val="00FA3994"/>
    <w:rsid w:val="00FC6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6D4FA3-132E-47A8-98DA-E8D7C2871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080"/>
    <w:pPr>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10080"/>
    <w:pPr>
      <w:spacing w:after="0" w:line="240" w:lineRule="auto"/>
    </w:pPr>
    <w:rPr>
      <w:rFonts w:ascii="Calibri" w:eastAsia="Calibri" w:hAnsi="Calibri" w:cs="Times New Roman"/>
      <w:lang w:val="ro-RO"/>
    </w:rPr>
  </w:style>
  <w:style w:type="character" w:customStyle="1" w:styleId="NoSpacingChar">
    <w:name w:val="No Spacing Char"/>
    <w:link w:val="NoSpacing"/>
    <w:uiPriority w:val="1"/>
    <w:rsid w:val="00E10080"/>
    <w:rPr>
      <w:rFonts w:ascii="Calibri" w:eastAsia="Calibri" w:hAnsi="Calibri" w:cs="Times New Roman"/>
      <w:lang w:val="ro-RO"/>
    </w:rPr>
  </w:style>
  <w:style w:type="paragraph" w:styleId="ListParagraph">
    <w:name w:val="List Paragraph"/>
    <w:basedOn w:val="Normal"/>
    <w:uiPriority w:val="34"/>
    <w:qFormat/>
    <w:rsid w:val="00E10080"/>
    <w:pPr>
      <w:ind w:left="720"/>
      <w:contextualSpacing/>
    </w:pPr>
  </w:style>
  <w:style w:type="paragraph" w:styleId="Footer">
    <w:name w:val="footer"/>
    <w:basedOn w:val="Normal"/>
    <w:link w:val="FooterChar"/>
    <w:uiPriority w:val="99"/>
    <w:unhideWhenUsed/>
    <w:rsid w:val="00E10080"/>
    <w:pPr>
      <w:tabs>
        <w:tab w:val="center" w:pos="4680"/>
        <w:tab w:val="right" w:pos="9360"/>
      </w:tabs>
    </w:pPr>
  </w:style>
  <w:style w:type="character" w:customStyle="1" w:styleId="FooterChar">
    <w:name w:val="Footer Char"/>
    <w:basedOn w:val="DefaultParagraphFont"/>
    <w:link w:val="Footer"/>
    <w:uiPriority w:val="99"/>
    <w:rsid w:val="00E10080"/>
    <w:rPr>
      <w:rFonts w:ascii="Times New Roman" w:eastAsiaTheme="minorEastAsia" w:hAnsi="Times New Roman" w:cs="Times New Roman"/>
    </w:rPr>
  </w:style>
  <w:style w:type="paragraph" w:styleId="Header">
    <w:name w:val="header"/>
    <w:basedOn w:val="Normal"/>
    <w:link w:val="HeaderChar"/>
    <w:uiPriority w:val="99"/>
    <w:unhideWhenUsed/>
    <w:rsid w:val="00BE0F54"/>
    <w:pPr>
      <w:tabs>
        <w:tab w:val="center" w:pos="4680"/>
        <w:tab w:val="right" w:pos="9360"/>
      </w:tabs>
    </w:pPr>
  </w:style>
  <w:style w:type="character" w:customStyle="1" w:styleId="HeaderChar">
    <w:name w:val="Header Char"/>
    <w:basedOn w:val="DefaultParagraphFont"/>
    <w:link w:val="Header"/>
    <w:uiPriority w:val="99"/>
    <w:rsid w:val="00BE0F54"/>
    <w:rPr>
      <w:rFonts w:ascii="Times New Roman" w:eastAsiaTheme="minorEastAsia" w:hAnsi="Times New Roman" w:cs="Times New Roman"/>
    </w:rPr>
  </w:style>
  <w:style w:type="paragraph" w:styleId="BalloonText">
    <w:name w:val="Balloon Text"/>
    <w:basedOn w:val="Normal"/>
    <w:link w:val="BalloonTextChar"/>
    <w:uiPriority w:val="99"/>
    <w:semiHidden/>
    <w:unhideWhenUsed/>
    <w:rsid w:val="00BE0F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F54"/>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985A86"/>
    <w:rPr>
      <w:sz w:val="16"/>
      <w:szCs w:val="16"/>
    </w:rPr>
  </w:style>
  <w:style w:type="paragraph" w:styleId="CommentText">
    <w:name w:val="annotation text"/>
    <w:basedOn w:val="Normal"/>
    <w:link w:val="CommentTextChar"/>
    <w:uiPriority w:val="99"/>
    <w:semiHidden/>
    <w:unhideWhenUsed/>
    <w:rsid w:val="00985A86"/>
    <w:rPr>
      <w:sz w:val="20"/>
      <w:szCs w:val="20"/>
    </w:rPr>
  </w:style>
  <w:style w:type="character" w:customStyle="1" w:styleId="CommentTextChar">
    <w:name w:val="Comment Text Char"/>
    <w:basedOn w:val="DefaultParagraphFont"/>
    <w:link w:val="CommentText"/>
    <w:uiPriority w:val="99"/>
    <w:semiHidden/>
    <w:rsid w:val="00985A86"/>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5A86"/>
    <w:rPr>
      <w:b/>
      <w:bCs/>
    </w:rPr>
  </w:style>
  <w:style w:type="character" w:customStyle="1" w:styleId="CommentSubjectChar">
    <w:name w:val="Comment Subject Char"/>
    <w:basedOn w:val="CommentTextChar"/>
    <w:link w:val="CommentSubject"/>
    <w:uiPriority w:val="99"/>
    <w:semiHidden/>
    <w:rsid w:val="00985A86"/>
    <w:rPr>
      <w:rFonts w:ascii="Times New Roman" w:eastAsiaTheme="minorEastAsia" w:hAnsi="Times New Roman" w:cs="Times New Roman"/>
      <w:b/>
      <w:bCs/>
      <w:sz w:val="20"/>
      <w:szCs w:val="20"/>
    </w:rPr>
  </w:style>
  <w:style w:type="character" w:styleId="Hyperlink">
    <w:name w:val="Hyperlink"/>
    <w:rsid w:val="00DD7F71"/>
    <w:rPr>
      <w:color w:val="0000FF"/>
      <w:u w:val="single"/>
    </w:rPr>
  </w:style>
  <w:style w:type="paragraph" w:styleId="Revision">
    <w:name w:val="Revision"/>
    <w:hidden/>
    <w:uiPriority w:val="99"/>
    <w:semiHidden/>
    <w:rsid w:val="00692B35"/>
    <w:pPr>
      <w:spacing w:after="0" w:line="240" w:lineRule="auto"/>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m.ro" TargetMode="External"/><Relationship Id="rId3" Type="http://schemas.openxmlformats.org/officeDocument/2006/relationships/settings" Target="settings.xml"/><Relationship Id="rId7" Type="http://schemas.openxmlformats.org/officeDocument/2006/relationships/hyperlink" Target="mailto:adr@anm.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3473</Words>
  <Characters>19800</Characters>
  <Application>Microsoft Office Word</Application>
  <DocSecurity>0</DocSecurity>
  <Lines>165</Lines>
  <Paragraphs>46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Silviu Epuran</dc:creator>
  <cp:keywords/>
  <dc:description/>
  <cp:lastModifiedBy>Hristina Nelovska</cp:lastModifiedBy>
  <cp:revision>1</cp:revision>
  <dcterms:created xsi:type="dcterms:W3CDTF">2023-07-26T09:56:00Z</dcterms:created>
  <dcterms:modified xsi:type="dcterms:W3CDTF">2023-07-26T09:56:00Z</dcterms:modified>
</cp:coreProperties>
</file>