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94" w:rsidRPr="00335062" w:rsidRDefault="00506994" w:rsidP="00AB7A9E">
      <w:r w:rsidRPr="005A4A78">
        <w:rPr>
          <w:noProof/>
        </w:rPr>
        <w:t>1.3.1</w:t>
      </w:r>
      <w:r w:rsidRPr="005A4A78">
        <w:rPr>
          <w:noProof/>
        </w:rPr>
        <w:tab/>
        <w:t>Summary of Product Characteristics - Core</w:t>
      </w:r>
    </w:p>
    <w:p w:rsidR="001A6576" w:rsidRPr="00335062" w:rsidRDefault="001A6576" w:rsidP="00AB7A9E"/>
    <w:p w:rsidR="00506994" w:rsidRPr="00335062" w:rsidRDefault="00506994" w:rsidP="00AB7A9E">
      <w:pPr>
        <w:numPr>
          <w:ilvl w:val="0"/>
          <w:numId w:val="12"/>
        </w:numPr>
        <w:tabs>
          <w:tab w:val="left" w:pos="561"/>
        </w:tabs>
        <w:rPr>
          <w:rFonts w:eastAsia="Times New Roman"/>
          <w:b/>
          <w:bCs/>
        </w:rPr>
      </w:pPr>
      <w:r w:rsidRPr="00335062">
        <w:rPr>
          <w:rFonts w:eastAsia="Times New Roman"/>
          <w:b/>
          <w:bCs/>
        </w:rPr>
        <w:t>NAME OF THE MEDICINAL PRODUCT</w:t>
      </w:r>
    </w:p>
    <w:p w:rsidR="00506994" w:rsidRPr="00335062" w:rsidRDefault="00506994" w:rsidP="00AB7A9E"/>
    <w:p w:rsidR="00F36AB9" w:rsidRDefault="00F36AB9" w:rsidP="00F36AB9">
      <w:r w:rsidRPr="00335062">
        <w:t xml:space="preserve">[Product name] </w:t>
      </w:r>
      <w:r>
        <w:t>{</w:t>
      </w:r>
      <w:r w:rsidRPr="00335062">
        <w:t>5 mg</w:t>
      </w:r>
      <w:r>
        <w:t>}{</w:t>
      </w:r>
      <w:proofErr w:type="gramStart"/>
      <w:r w:rsidR="0080556D">
        <w:t>hard</w:t>
      </w:r>
      <w:proofErr w:type="gramEnd"/>
      <w:r w:rsidR="0080556D">
        <w:t xml:space="preserve"> capsules</w:t>
      </w:r>
      <w:r>
        <w:t>}</w:t>
      </w:r>
    </w:p>
    <w:p w:rsidR="00F36AB9" w:rsidRPr="00A10C7C" w:rsidRDefault="00F36AB9" w:rsidP="00F36AB9">
      <w:pPr>
        <w:rPr>
          <w:highlight w:val="lightGray"/>
        </w:rPr>
      </w:pPr>
      <w:r w:rsidRPr="00A10C7C">
        <w:rPr>
          <w:highlight w:val="lightGray"/>
        </w:rPr>
        <w:t xml:space="preserve">[Product name] </w:t>
      </w:r>
      <w:r>
        <w:rPr>
          <w:highlight w:val="lightGray"/>
        </w:rPr>
        <w:t>{</w:t>
      </w:r>
      <w:r w:rsidRPr="00A10C7C">
        <w:rPr>
          <w:highlight w:val="lightGray"/>
        </w:rPr>
        <w:t>10 mg</w:t>
      </w:r>
      <w:r>
        <w:rPr>
          <w:highlight w:val="lightGray"/>
        </w:rPr>
        <w:t>}{</w:t>
      </w:r>
      <w:proofErr w:type="gramStart"/>
      <w:r w:rsidRPr="00A10C7C">
        <w:rPr>
          <w:highlight w:val="lightGray"/>
        </w:rPr>
        <w:t>hard</w:t>
      </w:r>
      <w:proofErr w:type="gramEnd"/>
      <w:r w:rsidRPr="00A10C7C">
        <w:rPr>
          <w:highlight w:val="lightGray"/>
        </w:rPr>
        <w:t xml:space="preserve"> capsules</w:t>
      </w:r>
      <w:r>
        <w:rPr>
          <w:highlight w:val="lightGray"/>
        </w:rPr>
        <w:t>}</w:t>
      </w:r>
    </w:p>
    <w:p w:rsidR="00F36AB9" w:rsidRPr="00A10C7C" w:rsidRDefault="00F36AB9" w:rsidP="00F36AB9">
      <w:pPr>
        <w:rPr>
          <w:highlight w:val="lightGray"/>
        </w:rPr>
      </w:pPr>
      <w:r w:rsidRPr="00A10C7C">
        <w:rPr>
          <w:highlight w:val="lightGray"/>
        </w:rPr>
        <w:t xml:space="preserve">[Product name] </w:t>
      </w:r>
      <w:r>
        <w:rPr>
          <w:highlight w:val="lightGray"/>
        </w:rPr>
        <w:t>{</w:t>
      </w:r>
      <w:r w:rsidRPr="00A10C7C">
        <w:rPr>
          <w:highlight w:val="lightGray"/>
        </w:rPr>
        <w:t>15 mg</w:t>
      </w:r>
      <w:r>
        <w:rPr>
          <w:highlight w:val="lightGray"/>
        </w:rPr>
        <w:t>}{</w:t>
      </w:r>
      <w:proofErr w:type="gramStart"/>
      <w:r w:rsidRPr="00A10C7C">
        <w:rPr>
          <w:highlight w:val="lightGray"/>
        </w:rPr>
        <w:t>hard</w:t>
      </w:r>
      <w:proofErr w:type="gramEnd"/>
      <w:r w:rsidRPr="00A10C7C">
        <w:rPr>
          <w:highlight w:val="lightGray"/>
        </w:rPr>
        <w:t xml:space="preserve"> capsules</w:t>
      </w:r>
      <w:r>
        <w:rPr>
          <w:highlight w:val="lightGray"/>
        </w:rPr>
        <w:t>}</w:t>
      </w:r>
    </w:p>
    <w:p w:rsidR="00F36AB9" w:rsidRPr="00335062" w:rsidRDefault="00F36AB9" w:rsidP="00F36AB9">
      <w:r w:rsidRPr="00B477C6">
        <w:rPr>
          <w:highlight w:val="lightGray"/>
        </w:rPr>
        <w:t>[Product name] {25 mg</w:t>
      </w:r>
      <w:r>
        <w:rPr>
          <w:highlight w:val="lightGray"/>
        </w:rPr>
        <w:t>}</w:t>
      </w:r>
      <w:r w:rsidRPr="00B477C6">
        <w:rPr>
          <w:highlight w:val="lightGray"/>
        </w:rPr>
        <w:t>{</w:t>
      </w:r>
      <w:proofErr w:type="gramStart"/>
      <w:r w:rsidRPr="00B477C6">
        <w:rPr>
          <w:highlight w:val="lightGray"/>
        </w:rPr>
        <w:t>hard</w:t>
      </w:r>
      <w:proofErr w:type="gramEnd"/>
      <w:r w:rsidRPr="00B477C6">
        <w:rPr>
          <w:highlight w:val="lightGray"/>
        </w:rPr>
        <w:t xml:space="preserve"> capsules}</w:t>
      </w:r>
    </w:p>
    <w:p w:rsidR="00506994" w:rsidRPr="00335062" w:rsidRDefault="00506994" w:rsidP="00AB7A9E"/>
    <w:p w:rsidR="00506994" w:rsidRPr="00335062" w:rsidRDefault="00506994" w:rsidP="00AB7A9E">
      <w:pPr>
        <w:numPr>
          <w:ilvl w:val="0"/>
          <w:numId w:val="13"/>
        </w:numPr>
        <w:tabs>
          <w:tab w:val="left" w:pos="561"/>
        </w:tabs>
        <w:rPr>
          <w:rFonts w:eastAsia="Times New Roman"/>
          <w:b/>
          <w:bCs/>
        </w:rPr>
      </w:pPr>
      <w:r w:rsidRPr="00335062">
        <w:rPr>
          <w:rFonts w:eastAsia="Times New Roman"/>
          <w:b/>
          <w:bCs/>
        </w:rPr>
        <w:t>QUALITATIVE AND QUANTITATIVE COMPOSITION</w:t>
      </w:r>
    </w:p>
    <w:p w:rsidR="00506994" w:rsidRPr="00335062" w:rsidRDefault="00506994" w:rsidP="00AB7A9E"/>
    <w:p w:rsidR="00506994" w:rsidRPr="00335062" w:rsidRDefault="00506994" w:rsidP="00AB7A9E">
      <w:r w:rsidRPr="00437D9F">
        <w:rPr>
          <w:rFonts w:eastAsia="Times New Roman"/>
        </w:rPr>
        <w:t>Each capsule contains 5 mg of lenalidomide.</w:t>
      </w:r>
    </w:p>
    <w:p w:rsidR="00437D9F" w:rsidRDefault="00437D9F" w:rsidP="00AB7A9E">
      <w:pPr>
        <w:rPr>
          <w:rFonts w:eastAsia="Times New Roman"/>
          <w:highlight w:val="lightGray"/>
        </w:rPr>
      </w:pPr>
      <w:r w:rsidRPr="00437D9F">
        <w:rPr>
          <w:rFonts w:eastAsia="Times New Roman"/>
          <w:highlight w:val="lightGray"/>
        </w:rPr>
        <w:t>Each capsule contains 10 mg of lenalidomide.</w:t>
      </w:r>
    </w:p>
    <w:p w:rsidR="008D7328" w:rsidRPr="00437D9F" w:rsidRDefault="008D7328" w:rsidP="008D7328">
      <w:pPr>
        <w:rPr>
          <w:highlight w:val="lightGray"/>
        </w:rPr>
      </w:pPr>
      <w:r w:rsidRPr="00437D9F">
        <w:rPr>
          <w:rFonts w:eastAsia="Times New Roman"/>
          <w:highlight w:val="lightGray"/>
        </w:rPr>
        <w:t xml:space="preserve">Each capsule contains </w:t>
      </w:r>
      <w:r>
        <w:rPr>
          <w:rFonts w:eastAsia="Times New Roman"/>
          <w:highlight w:val="lightGray"/>
        </w:rPr>
        <w:t>15</w:t>
      </w:r>
      <w:r w:rsidRPr="00437D9F">
        <w:rPr>
          <w:rFonts w:eastAsia="Times New Roman"/>
          <w:highlight w:val="lightGray"/>
        </w:rPr>
        <w:t xml:space="preserve"> mg of lenalidomide.</w:t>
      </w:r>
    </w:p>
    <w:p w:rsidR="00437D9F" w:rsidRPr="00335062" w:rsidRDefault="00437D9F" w:rsidP="00AB7A9E">
      <w:r w:rsidRPr="00437D9F">
        <w:rPr>
          <w:rFonts w:eastAsia="Times New Roman"/>
          <w:highlight w:val="lightGray"/>
        </w:rPr>
        <w:t>Each capsule contains 25 mg of lenalidomide.</w:t>
      </w:r>
    </w:p>
    <w:p w:rsidR="00506994" w:rsidRPr="00335062" w:rsidRDefault="00506994" w:rsidP="00AB7A9E"/>
    <w:p w:rsidR="00506994" w:rsidRDefault="00506994" w:rsidP="00AB7A9E">
      <w:pPr>
        <w:rPr>
          <w:rFonts w:eastAsia="Times New Roman"/>
          <w:u w:val="single"/>
        </w:rPr>
      </w:pPr>
      <w:r w:rsidRPr="00335062">
        <w:rPr>
          <w:rFonts w:eastAsia="Times New Roman"/>
          <w:u w:val="single"/>
        </w:rPr>
        <w:t>Excipient(s) with known effect:</w:t>
      </w:r>
    </w:p>
    <w:p w:rsidR="005D63D8" w:rsidRPr="00335062" w:rsidRDefault="005D63D8" w:rsidP="00AB7A9E"/>
    <w:p w:rsidR="00506994" w:rsidRPr="00335062" w:rsidRDefault="00506994" w:rsidP="00AB7A9E">
      <w:r w:rsidRPr="0074718D">
        <w:rPr>
          <w:rFonts w:eastAsia="Times New Roman"/>
        </w:rPr>
        <w:t xml:space="preserve">Each capsule contains </w:t>
      </w:r>
      <w:r w:rsidR="00F532D4">
        <w:rPr>
          <w:rFonts w:eastAsia="Times New Roman"/>
        </w:rPr>
        <w:t>66.4</w:t>
      </w:r>
      <w:r w:rsidRPr="0074718D">
        <w:rPr>
          <w:rFonts w:eastAsia="Times New Roman"/>
        </w:rPr>
        <w:t xml:space="preserve"> mg of lactose.</w:t>
      </w:r>
    </w:p>
    <w:p w:rsidR="00506994" w:rsidRPr="0074718D" w:rsidRDefault="00506994" w:rsidP="00AB7A9E">
      <w:pPr>
        <w:rPr>
          <w:highlight w:val="lightGray"/>
        </w:rPr>
      </w:pPr>
      <w:r w:rsidRPr="0074718D">
        <w:rPr>
          <w:rFonts w:eastAsia="Times New Roman"/>
          <w:highlight w:val="lightGray"/>
        </w:rPr>
        <w:t xml:space="preserve">Each capsule contains </w:t>
      </w:r>
      <w:r>
        <w:rPr>
          <w:rFonts w:eastAsia="Times New Roman"/>
          <w:highlight w:val="lightGray"/>
        </w:rPr>
        <w:t>132.9</w:t>
      </w:r>
      <w:r w:rsidRPr="0074718D">
        <w:rPr>
          <w:rFonts w:eastAsia="Times New Roman"/>
          <w:highlight w:val="lightGray"/>
        </w:rPr>
        <w:t xml:space="preserve"> mg of lactose.</w:t>
      </w:r>
    </w:p>
    <w:p w:rsidR="00506994" w:rsidRPr="0074718D" w:rsidRDefault="00506994" w:rsidP="00AB7A9E">
      <w:pPr>
        <w:rPr>
          <w:highlight w:val="lightGray"/>
        </w:rPr>
      </w:pPr>
      <w:r w:rsidRPr="0074718D">
        <w:rPr>
          <w:rFonts w:eastAsia="Times New Roman"/>
          <w:highlight w:val="lightGray"/>
        </w:rPr>
        <w:t xml:space="preserve">Each capsule contains </w:t>
      </w:r>
      <w:r>
        <w:rPr>
          <w:rFonts w:eastAsia="Times New Roman"/>
          <w:highlight w:val="lightGray"/>
        </w:rPr>
        <w:t>199.3</w:t>
      </w:r>
      <w:r w:rsidRPr="0074718D">
        <w:rPr>
          <w:rFonts w:eastAsia="Times New Roman"/>
          <w:highlight w:val="lightGray"/>
        </w:rPr>
        <w:t xml:space="preserve"> mg of lactose.</w:t>
      </w:r>
    </w:p>
    <w:p w:rsidR="00506994" w:rsidRDefault="00506994" w:rsidP="00AB7A9E">
      <w:pPr>
        <w:rPr>
          <w:rFonts w:eastAsia="Times New Roman"/>
        </w:rPr>
      </w:pPr>
      <w:r w:rsidRPr="0074718D">
        <w:rPr>
          <w:rFonts w:eastAsia="Times New Roman"/>
          <w:highlight w:val="lightGray"/>
        </w:rPr>
        <w:t xml:space="preserve">Each capsule contains </w:t>
      </w:r>
      <w:r>
        <w:rPr>
          <w:rFonts w:eastAsia="Times New Roman"/>
          <w:highlight w:val="lightGray"/>
        </w:rPr>
        <w:t>332.2</w:t>
      </w:r>
      <w:r w:rsidRPr="0074718D">
        <w:rPr>
          <w:rFonts w:eastAsia="Times New Roman"/>
          <w:highlight w:val="lightGray"/>
        </w:rPr>
        <w:t xml:space="preserve"> mg of lactose.</w:t>
      </w:r>
    </w:p>
    <w:p w:rsidR="000308FB" w:rsidRDefault="000308FB" w:rsidP="00AB7A9E">
      <w:pPr>
        <w:rPr>
          <w:rFonts w:eastAsia="Times New Roman"/>
        </w:rPr>
      </w:pPr>
    </w:p>
    <w:p w:rsidR="00506994" w:rsidRPr="00335062" w:rsidRDefault="00506994" w:rsidP="00AB7A9E"/>
    <w:p w:rsidR="00506994" w:rsidRPr="00335062" w:rsidRDefault="00506994" w:rsidP="00AB7A9E">
      <w:r w:rsidRPr="00335062">
        <w:rPr>
          <w:rFonts w:eastAsia="Times New Roman"/>
        </w:rPr>
        <w:t>For the full list of excipients, see section 6.1.</w:t>
      </w:r>
    </w:p>
    <w:p w:rsidR="00506994" w:rsidRPr="00335062" w:rsidRDefault="00506994" w:rsidP="00AB7A9E"/>
    <w:p w:rsidR="00506994" w:rsidRPr="00335062" w:rsidRDefault="00506994" w:rsidP="00AB7A9E"/>
    <w:p w:rsidR="00506994" w:rsidRPr="00335062" w:rsidRDefault="00506994" w:rsidP="00AB7A9E">
      <w:pPr>
        <w:numPr>
          <w:ilvl w:val="0"/>
          <w:numId w:val="14"/>
        </w:numPr>
        <w:tabs>
          <w:tab w:val="left" w:pos="561"/>
        </w:tabs>
        <w:rPr>
          <w:rFonts w:eastAsia="Times New Roman"/>
          <w:b/>
          <w:bCs/>
        </w:rPr>
      </w:pPr>
      <w:r w:rsidRPr="00335062">
        <w:rPr>
          <w:rFonts w:eastAsia="Times New Roman"/>
          <w:b/>
          <w:bCs/>
        </w:rPr>
        <w:t>PHARMACEUTICAL FORM</w:t>
      </w:r>
    </w:p>
    <w:p w:rsidR="00506994" w:rsidRPr="00335062" w:rsidRDefault="00506994" w:rsidP="00AB7A9E"/>
    <w:p w:rsidR="00506994" w:rsidRPr="00335062" w:rsidRDefault="00506994" w:rsidP="00AB7A9E">
      <w:r w:rsidRPr="00335062">
        <w:rPr>
          <w:rFonts w:eastAsia="Times New Roman"/>
        </w:rPr>
        <w:t>Hard capsule.</w:t>
      </w:r>
    </w:p>
    <w:p w:rsidR="00506994" w:rsidRPr="00335062" w:rsidRDefault="00506994" w:rsidP="00AB7A9E"/>
    <w:p w:rsidR="00506994" w:rsidRPr="00007790" w:rsidRDefault="00506994" w:rsidP="00AB7A9E">
      <w:r w:rsidRPr="00007790">
        <w:rPr>
          <w:rFonts w:eastAsia="Times New Roman"/>
        </w:rPr>
        <w:t xml:space="preserve">Opaque white body and opaque white cap, </w:t>
      </w:r>
      <w:r w:rsidR="00751255" w:rsidRPr="00007790">
        <w:rPr>
          <w:rFonts w:eastAsia="Times New Roman"/>
        </w:rPr>
        <w:t>with a length of approximately</w:t>
      </w:r>
      <w:r w:rsidR="00467384" w:rsidRPr="00007790">
        <w:rPr>
          <w:rFonts w:eastAsia="Times New Roman"/>
        </w:rPr>
        <w:t xml:space="preserve"> </w:t>
      </w:r>
      <w:r w:rsidRPr="00007790">
        <w:rPr>
          <w:rFonts w:eastAsia="Times New Roman"/>
        </w:rPr>
        <w:t>18.0 mm, marked “L9NL” and “5”.</w:t>
      </w:r>
    </w:p>
    <w:p w:rsidR="00506994" w:rsidRPr="00751255" w:rsidRDefault="00506994" w:rsidP="00AB7A9E">
      <w:pPr>
        <w:rPr>
          <w:highlight w:val="lightGray"/>
        </w:rPr>
      </w:pPr>
      <w:r w:rsidRPr="00751255">
        <w:rPr>
          <w:rFonts w:eastAsia="Times New Roman"/>
          <w:highlight w:val="lightGray"/>
        </w:rPr>
        <w:t xml:space="preserve">Opaque yellow body and opaque green </w:t>
      </w:r>
      <w:r w:rsidR="003A3229">
        <w:rPr>
          <w:rFonts w:eastAsia="Times New Roman"/>
          <w:highlight w:val="lightGray"/>
        </w:rPr>
        <w:t xml:space="preserve">to light green </w:t>
      </w:r>
      <w:r w:rsidRPr="00751255">
        <w:rPr>
          <w:rFonts w:eastAsia="Times New Roman"/>
          <w:highlight w:val="lightGray"/>
        </w:rPr>
        <w:t xml:space="preserve">cap, </w:t>
      </w:r>
      <w:r w:rsidR="00751255" w:rsidRPr="00751255">
        <w:rPr>
          <w:rFonts w:eastAsia="Times New Roman"/>
          <w:highlight w:val="lightGray"/>
        </w:rPr>
        <w:t>with a length of approximately</w:t>
      </w:r>
      <w:r w:rsidR="00467384" w:rsidRPr="00751255">
        <w:rPr>
          <w:rFonts w:eastAsia="Times New Roman"/>
          <w:highlight w:val="lightGray"/>
        </w:rPr>
        <w:t xml:space="preserve"> </w:t>
      </w:r>
      <w:r w:rsidRPr="00751255">
        <w:rPr>
          <w:rFonts w:eastAsia="Times New Roman"/>
          <w:highlight w:val="lightGray"/>
        </w:rPr>
        <w:t>21.7 mm, marked “L9NL” and “10”.</w:t>
      </w:r>
    </w:p>
    <w:p w:rsidR="00506994" w:rsidRPr="00751255" w:rsidRDefault="00506994" w:rsidP="00AB7A9E">
      <w:pPr>
        <w:rPr>
          <w:highlight w:val="lightGray"/>
        </w:rPr>
      </w:pPr>
      <w:r w:rsidRPr="00751255">
        <w:rPr>
          <w:rFonts w:eastAsia="Times New Roman"/>
          <w:highlight w:val="lightGray"/>
        </w:rPr>
        <w:t>Opaque white body and opaque blue</w:t>
      </w:r>
      <w:r w:rsidR="003A3229">
        <w:rPr>
          <w:rFonts w:eastAsia="Times New Roman"/>
          <w:highlight w:val="lightGray"/>
        </w:rPr>
        <w:t xml:space="preserve"> to light blue</w:t>
      </w:r>
      <w:r w:rsidRPr="00751255">
        <w:rPr>
          <w:rFonts w:eastAsia="Times New Roman"/>
          <w:highlight w:val="lightGray"/>
        </w:rPr>
        <w:t xml:space="preserve"> cap,</w:t>
      </w:r>
      <w:r w:rsidR="00467384" w:rsidRPr="00751255">
        <w:rPr>
          <w:rFonts w:eastAsia="Times New Roman"/>
          <w:highlight w:val="lightGray"/>
        </w:rPr>
        <w:t xml:space="preserve"> </w:t>
      </w:r>
      <w:r w:rsidR="00751255" w:rsidRPr="00751255">
        <w:rPr>
          <w:rFonts w:eastAsia="Times New Roman"/>
          <w:highlight w:val="lightGray"/>
        </w:rPr>
        <w:t>with a length of approximately</w:t>
      </w:r>
      <w:r w:rsidRPr="00751255">
        <w:rPr>
          <w:rFonts w:eastAsia="Times New Roman"/>
          <w:highlight w:val="lightGray"/>
        </w:rPr>
        <w:t xml:space="preserve"> 21.7 mm, marked “L9NL” and “15”.</w:t>
      </w:r>
    </w:p>
    <w:p w:rsidR="00506994" w:rsidRPr="00751255" w:rsidRDefault="00506994" w:rsidP="00AB7A9E">
      <w:pPr>
        <w:rPr>
          <w:highlight w:val="lightGray"/>
        </w:rPr>
      </w:pPr>
      <w:r w:rsidRPr="00751255">
        <w:rPr>
          <w:rFonts w:eastAsia="Times New Roman"/>
          <w:highlight w:val="lightGray"/>
        </w:rPr>
        <w:t>Opaque white body and opaque white cap,</w:t>
      </w:r>
      <w:r w:rsidR="00751255" w:rsidRPr="00751255">
        <w:rPr>
          <w:rFonts w:eastAsia="Times New Roman"/>
          <w:highlight w:val="lightGray"/>
        </w:rPr>
        <w:t xml:space="preserve"> with a length of approximately</w:t>
      </w:r>
      <w:r w:rsidR="00467384" w:rsidRPr="00751255">
        <w:rPr>
          <w:rFonts w:eastAsia="Times New Roman"/>
          <w:highlight w:val="lightGray"/>
        </w:rPr>
        <w:t xml:space="preserve"> 2</w:t>
      </w:r>
      <w:r w:rsidRPr="00751255">
        <w:rPr>
          <w:rFonts w:eastAsia="Times New Roman"/>
          <w:highlight w:val="lightGray"/>
        </w:rPr>
        <w:t>1.7 mm, marked “L9NL” and “25”.</w:t>
      </w:r>
    </w:p>
    <w:p w:rsidR="003A3229" w:rsidRDefault="003A3229" w:rsidP="00AB7A9E"/>
    <w:p w:rsidR="00506994" w:rsidRPr="00335062" w:rsidRDefault="00506994" w:rsidP="00AB7A9E"/>
    <w:p w:rsidR="00506994" w:rsidRDefault="00506994" w:rsidP="00AB7A9E">
      <w:pPr>
        <w:numPr>
          <w:ilvl w:val="0"/>
          <w:numId w:val="15"/>
        </w:numPr>
        <w:tabs>
          <w:tab w:val="left" w:pos="568"/>
        </w:tabs>
        <w:ind w:right="-1"/>
        <w:rPr>
          <w:rFonts w:eastAsia="Times New Roman"/>
          <w:b/>
          <w:bCs/>
        </w:rPr>
      </w:pPr>
      <w:r w:rsidRPr="00335062">
        <w:rPr>
          <w:rFonts w:eastAsia="Times New Roman"/>
          <w:b/>
          <w:bCs/>
        </w:rPr>
        <w:t xml:space="preserve">CLINICAL PARTICULARS </w:t>
      </w:r>
    </w:p>
    <w:p w:rsidR="00506994" w:rsidRPr="00335062" w:rsidRDefault="00506994" w:rsidP="00AB7A9E">
      <w:pPr>
        <w:tabs>
          <w:tab w:val="left" w:pos="568"/>
        </w:tabs>
        <w:ind w:right="-1"/>
        <w:rPr>
          <w:rFonts w:eastAsia="Times New Roman"/>
          <w:b/>
          <w:bCs/>
        </w:rPr>
      </w:pPr>
    </w:p>
    <w:p w:rsidR="00506994" w:rsidRPr="00335062" w:rsidRDefault="00506994" w:rsidP="00AB7A9E">
      <w:pPr>
        <w:tabs>
          <w:tab w:val="left" w:pos="568"/>
        </w:tabs>
        <w:ind w:right="-1"/>
        <w:rPr>
          <w:rFonts w:eastAsia="Times New Roman"/>
          <w:b/>
          <w:bCs/>
        </w:rPr>
      </w:pPr>
      <w:r w:rsidRPr="00335062">
        <w:rPr>
          <w:rFonts w:eastAsia="Times New Roman"/>
          <w:b/>
          <w:bCs/>
        </w:rPr>
        <w:t xml:space="preserve">4.1 </w:t>
      </w:r>
      <w:r w:rsidRPr="00335062">
        <w:rPr>
          <w:rFonts w:eastAsia="Times New Roman"/>
          <w:b/>
          <w:bCs/>
        </w:rPr>
        <w:tab/>
        <w:t xml:space="preserve">Therapeutic indications </w:t>
      </w:r>
    </w:p>
    <w:p w:rsidR="00506994" w:rsidRDefault="00506994" w:rsidP="00AB7A9E">
      <w:pPr>
        <w:tabs>
          <w:tab w:val="left" w:pos="568"/>
        </w:tabs>
        <w:ind w:right="-1"/>
        <w:rPr>
          <w:rFonts w:eastAsia="Times New Roman"/>
          <w:b/>
          <w:bCs/>
          <w:u w:val="single"/>
        </w:rPr>
      </w:pPr>
    </w:p>
    <w:p w:rsidR="00506994" w:rsidRPr="004B5089" w:rsidRDefault="00506994" w:rsidP="00AB7A9E">
      <w:pPr>
        <w:tabs>
          <w:tab w:val="left" w:pos="568"/>
        </w:tabs>
        <w:ind w:right="-1"/>
        <w:rPr>
          <w:rFonts w:eastAsia="Times New Roman"/>
          <w:bCs/>
        </w:rPr>
      </w:pPr>
      <w:r w:rsidRPr="004B5089">
        <w:rPr>
          <w:rFonts w:eastAsia="Times New Roman"/>
          <w:bCs/>
          <w:u w:val="single"/>
        </w:rPr>
        <w:t>Multiple myeloma</w:t>
      </w:r>
    </w:p>
    <w:p w:rsidR="00506994" w:rsidRDefault="00671E2C" w:rsidP="00AB7A9E">
      <w:pPr>
        <w:rPr>
          <w:rFonts w:eastAsia="Times New Roman"/>
        </w:rPr>
      </w:pPr>
      <w:r w:rsidRPr="004B5089">
        <w:rPr>
          <w:rFonts w:eastAsia="Times New Roman"/>
        </w:rPr>
        <w:t>[Product name]</w:t>
      </w:r>
      <w:r w:rsidR="00506994" w:rsidRPr="003C11E3">
        <w:rPr>
          <w:rFonts w:eastAsia="Times New Roman"/>
        </w:rPr>
        <w:t xml:space="preserve"> as monotherapy is indicated for the maintenance treatment of adult patients with newly diagnosed multiple myeloma who have undergone autologous stem cell transplantation.</w:t>
      </w:r>
    </w:p>
    <w:p w:rsidR="00506994" w:rsidRDefault="00506994" w:rsidP="00AB7A9E">
      <w:pPr>
        <w:rPr>
          <w:rFonts w:eastAsia="Times New Roman"/>
        </w:rPr>
      </w:pPr>
    </w:p>
    <w:p w:rsidR="00506994" w:rsidRPr="004B5089" w:rsidRDefault="00506994" w:rsidP="00AB7A9E">
      <w:r w:rsidRPr="004B5089">
        <w:rPr>
          <w:rFonts w:eastAsia="Times New Roman"/>
        </w:rPr>
        <w:t>[Product name]</w:t>
      </w:r>
      <w:r>
        <w:rPr>
          <w:rFonts w:eastAsia="Times New Roman"/>
        </w:rPr>
        <w:t xml:space="preserve"> as combination therapy </w:t>
      </w:r>
      <w:r w:rsidR="00005C0C" w:rsidRPr="00005C0C">
        <w:rPr>
          <w:rFonts w:eastAsia="Times New Roman"/>
        </w:rPr>
        <w:t xml:space="preserve">with dexamethasone, or bortezomib and dexamethasone, or melphalan and prednisone </w:t>
      </w:r>
      <w:r w:rsidRPr="004B5089">
        <w:rPr>
          <w:rFonts w:eastAsia="Times New Roman"/>
        </w:rPr>
        <w:t>(see section 4.2) is indicated for the treatment of adult patients with previously untreated multiple myeloma who are not eligible for transplant.</w:t>
      </w:r>
    </w:p>
    <w:p w:rsidR="00506994" w:rsidRPr="004B5089" w:rsidRDefault="00506994" w:rsidP="00AB7A9E"/>
    <w:p w:rsidR="00506994" w:rsidRPr="004B5089" w:rsidRDefault="00506994" w:rsidP="00AB7A9E">
      <w:pPr>
        <w:ind w:right="340"/>
      </w:pPr>
      <w:r w:rsidRPr="004B5089">
        <w:rPr>
          <w:rFonts w:eastAsia="Times New Roman"/>
        </w:rPr>
        <w:t>[Product name] in combination with dexamethasone is indicated for the treatment of multiple myeloma in adult patients who have received at least one prior therapy.</w:t>
      </w:r>
    </w:p>
    <w:p w:rsidR="00506994" w:rsidRDefault="00506994" w:rsidP="00AB7A9E"/>
    <w:p w:rsidR="00005C0C" w:rsidRPr="004273C8" w:rsidRDefault="00005C0C" w:rsidP="00B2301B">
      <w:pPr>
        <w:shd w:val="clear" w:color="auto" w:fill="FDE9D9" w:themeFill="accent6" w:themeFillTint="33"/>
        <w:rPr>
          <w:u w:val="single"/>
        </w:rPr>
      </w:pPr>
      <w:r w:rsidRPr="004273C8">
        <w:rPr>
          <w:u w:val="single"/>
        </w:rPr>
        <w:t>Myelodysplastic syndromes</w:t>
      </w:r>
    </w:p>
    <w:p w:rsidR="00005C0C" w:rsidRDefault="00005C0C" w:rsidP="00B2301B">
      <w:pPr>
        <w:shd w:val="clear" w:color="auto" w:fill="FDE9D9" w:themeFill="accent6" w:themeFillTint="33"/>
      </w:pPr>
      <w:r w:rsidRPr="004B5089">
        <w:rPr>
          <w:rFonts w:eastAsia="Times New Roman"/>
        </w:rPr>
        <w:t>[Product name]</w:t>
      </w:r>
      <w:r>
        <w:t xml:space="preserve"> as monotherapy is indicated for the treatment of adult patients with transfusion-dependent anaemia due to low- or intermediate-1-risk myelodysplastic syndromes associated with an isolated deletion 5q cytogenetic abnormality when other therapeutic options are insufficient or inadequate.</w:t>
      </w:r>
    </w:p>
    <w:p w:rsidR="00005C0C" w:rsidRDefault="00005C0C" w:rsidP="00005C0C"/>
    <w:p w:rsidR="00005C0C" w:rsidRPr="004273C8" w:rsidRDefault="00005C0C" w:rsidP="00B2301B">
      <w:pPr>
        <w:shd w:val="clear" w:color="auto" w:fill="DBE5F1" w:themeFill="accent1" w:themeFillTint="33"/>
        <w:rPr>
          <w:u w:val="single"/>
        </w:rPr>
      </w:pPr>
      <w:r w:rsidRPr="004273C8">
        <w:rPr>
          <w:u w:val="single"/>
        </w:rPr>
        <w:t>Mantle cell lymphoma</w:t>
      </w:r>
    </w:p>
    <w:p w:rsidR="00005C0C" w:rsidRDefault="00005C0C" w:rsidP="00B2301B">
      <w:pPr>
        <w:shd w:val="clear" w:color="auto" w:fill="DBE5F1" w:themeFill="accent1" w:themeFillTint="33"/>
      </w:pPr>
      <w:r w:rsidRPr="004B5089">
        <w:rPr>
          <w:rFonts w:eastAsia="Times New Roman"/>
        </w:rPr>
        <w:t>[Product name]</w:t>
      </w:r>
      <w:r w:rsidRPr="003C11E3">
        <w:rPr>
          <w:rFonts w:eastAsia="Times New Roman"/>
        </w:rPr>
        <w:t xml:space="preserve"> </w:t>
      </w:r>
      <w:r>
        <w:t>as monotherapy is indicated for the treatment of adult patients with relapsed or refractory mantle cell lymphoma (see sections 4.4 and 5.1).</w:t>
      </w:r>
    </w:p>
    <w:p w:rsidR="00005C0C" w:rsidRDefault="00005C0C" w:rsidP="00005C0C"/>
    <w:p w:rsidR="00005C0C" w:rsidRPr="004273C8" w:rsidRDefault="00005C0C" w:rsidP="00005C0C">
      <w:pPr>
        <w:rPr>
          <w:u w:val="single"/>
        </w:rPr>
      </w:pPr>
      <w:r w:rsidRPr="004273C8">
        <w:rPr>
          <w:u w:val="single"/>
        </w:rPr>
        <w:t>Follicular lymphoma</w:t>
      </w:r>
    </w:p>
    <w:p w:rsidR="00005C0C" w:rsidRDefault="00005C0C" w:rsidP="00005C0C">
      <w:r w:rsidRPr="004B5089">
        <w:rPr>
          <w:rFonts w:eastAsia="Times New Roman"/>
        </w:rPr>
        <w:t>[Product name]</w:t>
      </w:r>
      <w:r>
        <w:t xml:space="preserve"> in combination with rituximab (anti-CD20 antibody) is indicated for the treatment of adult patients with previously treated follicular lymphoma (Grade 1 – 3a).</w:t>
      </w:r>
    </w:p>
    <w:p w:rsidR="00005C0C" w:rsidRPr="00335062" w:rsidRDefault="00005C0C" w:rsidP="00AB7A9E"/>
    <w:p w:rsidR="00506994" w:rsidRPr="00335062" w:rsidRDefault="00506994" w:rsidP="00AB7A9E">
      <w:pPr>
        <w:tabs>
          <w:tab w:val="left" w:pos="541"/>
        </w:tabs>
      </w:pPr>
      <w:r w:rsidRPr="00335062">
        <w:rPr>
          <w:rFonts w:eastAsia="Times New Roman"/>
          <w:b/>
          <w:bCs/>
        </w:rPr>
        <w:t>4.2</w:t>
      </w:r>
      <w:r w:rsidRPr="00335062">
        <w:rPr>
          <w:rFonts w:eastAsia="Times New Roman"/>
          <w:b/>
          <w:bCs/>
        </w:rPr>
        <w:tab/>
        <w:t>Posology and method of administration</w:t>
      </w:r>
    </w:p>
    <w:p w:rsidR="00506994" w:rsidRPr="00335062" w:rsidRDefault="00506994" w:rsidP="00AB7A9E"/>
    <w:p w:rsidR="00506994" w:rsidRPr="00335062" w:rsidRDefault="00506994" w:rsidP="00AB7A9E">
      <w:pPr>
        <w:ind w:right="120"/>
      </w:pPr>
      <w:r w:rsidRPr="00335062">
        <w:rPr>
          <w:rFonts w:eastAsia="Times New Roman"/>
        </w:rPr>
        <w:t>[Product name] treatment should be supervised by a physician experienced in the use of anti-cancer therapies.</w:t>
      </w:r>
    </w:p>
    <w:p w:rsidR="00506994" w:rsidRDefault="00506994" w:rsidP="00AB7A9E">
      <w:pPr>
        <w:rPr>
          <w:rFonts w:eastAsia="Times New Roman"/>
          <w:u w:val="single"/>
        </w:rPr>
      </w:pPr>
    </w:p>
    <w:p w:rsidR="00AD378F" w:rsidRPr="00AD378F" w:rsidRDefault="00AD378F" w:rsidP="00AB7A9E">
      <w:pPr>
        <w:rPr>
          <w:rFonts w:eastAsia="Times New Roman"/>
        </w:rPr>
      </w:pPr>
      <w:r w:rsidRPr="00AD378F">
        <w:rPr>
          <w:rFonts w:eastAsia="Times New Roman"/>
        </w:rPr>
        <w:t>For all indications described below:</w:t>
      </w:r>
    </w:p>
    <w:p w:rsidR="00AD378F" w:rsidRP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Dose is modified based upon clinical and laboratory findings (see section 4.4).</w:t>
      </w:r>
    </w:p>
    <w:p w:rsidR="00AD378F" w:rsidRP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 xml:space="preserve">Dose adjustments, during treatment and restart of treatment, are recommended to manage </w:t>
      </w:r>
      <w:r w:rsidR="00005C0C">
        <w:rPr>
          <w:rFonts w:eastAsia="Times New Roman"/>
        </w:rPr>
        <w:t>G</w:t>
      </w:r>
      <w:r w:rsidRPr="00AD378F">
        <w:rPr>
          <w:rFonts w:eastAsia="Times New Roman"/>
        </w:rPr>
        <w:t>rade 3 or</w:t>
      </w:r>
    </w:p>
    <w:p w:rsidR="00AD378F" w:rsidRPr="00AD378F" w:rsidRDefault="00AD378F" w:rsidP="00AB7A9E">
      <w:pPr>
        <w:ind w:left="425" w:firstLine="425"/>
        <w:rPr>
          <w:rFonts w:eastAsia="Times New Roman"/>
        </w:rPr>
      </w:pPr>
      <w:r w:rsidRPr="00AD378F">
        <w:rPr>
          <w:rFonts w:eastAsia="Times New Roman"/>
        </w:rPr>
        <w:t xml:space="preserve">4 thrombocytopenia, neutropenia, or other </w:t>
      </w:r>
      <w:r w:rsidR="00005C0C">
        <w:rPr>
          <w:rFonts w:eastAsia="Times New Roman"/>
        </w:rPr>
        <w:t>G</w:t>
      </w:r>
      <w:r w:rsidRPr="00AD378F">
        <w:rPr>
          <w:rFonts w:eastAsia="Times New Roman"/>
        </w:rPr>
        <w:t>rade 3 or 4 toxicity judged to be related to lenalidomide.</w:t>
      </w:r>
    </w:p>
    <w:p w:rsid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In case of neutropenia, the use of growth factors in patient management should be considered.</w:t>
      </w:r>
    </w:p>
    <w:p w:rsidR="00C93183" w:rsidRPr="00C93183" w:rsidRDefault="00C93183" w:rsidP="00AB7A9E">
      <w:pPr>
        <w:ind w:firstLine="425"/>
        <w:rPr>
          <w:rFonts w:eastAsia="Times New Roman"/>
        </w:rPr>
      </w:pPr>
      <w:r w:rsidRPr="00C93183">
        <w:rPr>
          <w:rFonts w:eastAsia="Times New Roman"/>
        </w:rPr>
        <w:t xml:space="preserve">• </w:t>
      </w:r>
      <w:r>
        <w:rPr>
          <w:rFonts w:eastAsia="Times New Roman"/>
        </w:rPr>
        <w:tab/>
      </w:r>
      <w:r w:rsidRPr="00C93183">
        <w:rPr>
          <w:rFonts w:eastAsia="Times New Roman"/>
        </w:rPr>
        <w:t>If less than 12 hours has elapsed since missing a dose, the patient can take the dose. If more than</w:t>
      </w:r>
    </w:p>
    <w:p w:rsidR="00C93183" w:rsidRPr="00C93183" w:rsidRDefault="00C93183" w:rsidP="00AB7A9E">
      <w:pPr>
        <w:ind w:left="425" w:firstLine="425"/>
        <w:rPr>
          <w:rFonts w:eastAsia="Times New Roman"/>
        </w:rPr>
      </w:pPr>
      <w:r w:rsidRPr="00C93183">
        <w:rPr>
          <w:rFonts w:eastAsia="Times New Roman"/>
        </w:rPr>
        <w:t>12 hours has elapsed since missing a dose at the normal time, the patient should not take the dose,</w:t>
      </w:r>
    </w:p>
    <w:p w:rsidR="00C93183" w:rsidRPr="00AD378F" w:rsidRDefault="00C93183" w:rsidP="00AB7A9E">
      <w:pPr>
        <w:ind w:left="425" w:firstLine="425"/>
        <w:rPr>
          <w:rFonts w:eastAsia="Times New Roman"/>
        </w:rPr>
      </w:pPr>
      <w:r w:rsidRPr="00C93183">
        <w:rPr>
          <w:rFonts w:eastAsia="Times New Roman"/>
        </w:rPr>
        <w:t>but take the next dose at the normal time on the following day.</w:t>
      </w:r>
    </w:p>
    <w:p w:rsidR="00AD378F" w:rsidRPr="00335062" w:rsidRDefault="00AD378F" w:rsidP="00AB7A9E">
      <w:pPr>
        <w:rPr>
          <w:rFonts w:eastAsia="Times New Roman"/>
          <w:u w:val="single"/>
        </w:rPr>
      </w:pPr>
    </w:p>
    <w:p w:rsidR="004D54CB" w:rsidRDefault="004D54CB" w:rsidP="00AB7A9E">
      <w:pPr>
        <w:rPr>
          <w:rFonts w:eastAsia="Times New Roman"/>
          <w:u w:val="single"/>
        </w:rPr>
      </w:pPr>
    </w:p>
    <w:p w:rsidR="00506994" w:rsidRPr="00335062" w:rsidRDefault="00506994" w:rsidP="00AB7A9E">
      <w:r w:rsidRPr="00335062">
        <w:rPr>
          <w:rFonts w:eastAsia="Times New Roman"/>
          <w:u w:val="single"/>
        </w:rPr>
        <w:t>Posology</w:t>
      </w:r>
    </w:p>
    <w:p w:rsidR="00506994" w:rsidRPr="004273C8" w:rsidRDefault="00506994" w:rsidP="00AB7A9E">
      <w:pPr>
        <w:rPr>
          <w:i/>
          <w:u w:val="single"/>
        </w:rPr>
      </w:pPr>
      <w:r w:rsidRPr="004273C8">
        <w:rPr>
          <w:rFonts w:eastAsia="Times New Roman"/>
          <w:bCs/>
          <w:i/>
          <w:u w:val="single"/>
        </w:rPr>
        <w:t>Newly diagnosed multiple myeloma</w:t>
      </w:r>
      <w:r w:rsidR="008D7328" w:rsidRPr="004273C8">
        <w:rPr>
          <w:rFonts w:eastAsia="Times New Roman"/>
          <w:bCs/>
          <w:i/>
          <w:u w:val="single"/>
        </w:rPr>
        <w:t xml:space="preserve"> (NDMM)</w:t>
      </w:r>
    </w:p>
    <w:p w:rsidR="00AB6EE6" w:rsidRPr="002A4B38" w:rsidRDefault="00AB6EE6" w:rsidP="00AB6EE6">
      <w:pPr>
        <w:pStyle w:val="ListParagraph"/>
        <w:numPr>
          <w:ilvl w:val="0"/>
          <w:numId w:val="57"/>
        </w:numPr>
        <w:rPr>
          <w:i/>
        </w:rPr>
      </w:pPr>
      <w:r w:rsidRPr="004273C8">
        <w:rPr>
          <w:rFonts w:eastAsia="Times New Roman"/>
          <w:u w:val="single"/>
        </w:rPr>
        <w:t>Lenalidomide in combination with dexamethasone until disease progression in patients who are not eligible for transplant</w:t>
      </w:r>
    </w:p>
    <w:p w:rsidR="00506994" w:rsidRDefault="00506994" w:rsidP="00AB6EE6"/>
    <w:p w:rsidR="00506994" w:rsidRPr="00335062" w:rsidRDefault="00506994" w:rsidP="00AB7A9E">
      <w:pPr>
        <w:ind w:right="40"/>
      </w:pPr>
      <w:r w:rsidRPr="00335062">
        <w:rPr>
          <w:rFonts w:eastAsia="Times New Roman"/>
        </w:rPr>
        <w:t xml:space="preserve">Lenalidomide treatment must not be started if the </w:t>
      </w:r>
      <w:r w:rsidR="008820D9">
        <w:rPr>
          <w:rFonts w:eastAsia="Times New Roman"/>
        </w:rPr>
        <w:t>Absolute Neutrophil Count (</w:t>
      </w:r>
      <w:r>
        <w:rPr>
          <w:rFonts w:eastAsia="Times New Roman"/>
        </w:rPr>
        <w:t>ANC</w:t>
      </w:r>
      <w:r w:rsidR="008820D9">
        <w:rPr>
          <w:rFonts w:eastAsia="Times New Roman"/>
        </w:rPr>
        <w:t>)</w:t>
      </w:r>
      <w:r w:rsidRPr="00335062">
        <w:rPr>
          <w:rFonts w:eastAsia="Times New Roman"/>
        </w:rPr>
        <w:t xml:space="preserve"> is &lt; 1.0 x 10</w:t>
      </w:r>
      <w:r w:rsidRPr="00335062">
        <w:rPr>
          <w:rFonts w:eastAsia="Times New Roman"/>
          <w:vertAlign w:val="superscript"/>
        </w:rPr>
        <w:t>9</w:t>
      </w:r>
      <w:r w:rsidRPr="00335062">
        <w:rPr>
          <w:rFonts w:eastAsia="Times New Roman"/>
        </w:rPr>
        <w:t>/L, and/or platelet counts are &lt; 50 x 10</w:t>
      </w:r>
      <w:r w:rsidRPr="00335062">
        <w:rPr>
          <w:rFonts w:eastAsia="Times New Roman"/>
          <w:vertAlign w:val="superscript"/>
        </w:rPr>
        <w:t>9</w:t>
      </w:r>
      <w:r w:rsidRPr="00335062">
        <w:rPr>
          <w:rFonts w:eastAsia="Times New Roman"/>
        </w:rPr>
        <w:t>/L.</w:t>
      </w:r>
    </w:p>
    <w:p w:rsidR="00506994" w:rsidRPr="00335062" w:rsidRDefault="00506994" w:rsidP="00AB7A9E"/>
    <w:p w:rsidR="00506994" w:rsidRPr="00D77DFF" w:rsidRDefault="00506994" w:rsidP="00AB7A9E">
      <w:r w:rsidRPr="00D77DFF">
        <w:rPr>
          <w:rFonts w:eastAsia="Times New Roman"/>
          <w:i/>
          <w:iCs/>
        </w:rPr>
        <w:t>Recommended dose</w:t>
      </w:r>
    </w:p>
    <w:p w:rsidR="00506994" w:rsidRPr="00335062" w:rsidRDefault="00506994" w:rsidP="00AB7A9E">
      <w:pPr>
        <w:ind w:right="80"/>
      </w:pPr>
      <w:r w:rsidRPr="00335062">
        <w:rPr>
          <w:rFonts w:eastAsia="Times New Roman"/>
        </w:rPr>
        <w:t>The recommended starting dose of lenalidomide is 25 mg orally once daily on days 1</w:t>
      </w:r>
      <w:r w:rsidR="006B7352">
        <w:rPr>
          <w:rFonts w:eastAsia="Times New Roman"/>
        </w:rPr>
        <w:t xml:space="preserve"> to </w:t>
      </w:r>
      <w:r w:rsidRPr="00335062">
        <w:rPr>
          <w:rFonts w:eastAsia="Times New Roman"/>
        </w:rPr>
        <w:t>21 of repeated 28-day cycles. The recommended dose of dexamethasone is 40 mg orally once daily on days 1, 8, 15 and 22 of repeated 28-day cycles. Patients may continue lenalidomide and dexamethasone therapy until disease progression or intolerance.</w:t>
      </w:r>
    </w:p>
    <w:p w:rsidR="00506994" w:rsidRPr="00335062" w:rsidRDefault="00506994" w:rsidP="00AB7A9E"/>
    <w:p w:rsidR="00506994" w:rsidRPr="002A4B38" w:rsidRDefault="00506994" w:rsidP="00AB7A9E">
      <w:pPr>
        <w:pStyle w:val="ListParagraph"/>
        <w:numPr>
          <w:ilvl w:val="0"/>
          <w:numId w:val="57"/>
        </w:numPr>
        <w:rPr>
          <w:i/>
        </w:rPr>
      </w:pPr>
      <w:r w:rsidRPr="002A4B38">
        <w:rPr>
          <w:i/>
        </w:rPr>
        <w:t>Dose reduction steps</w:t>
      </w:r>
    </w:p>
    <w:tbl>
      <w:tblPr>
        <w:tblStyle w:val="TableGrid"/>
        <w:tblW w:w="4947" w:type="pct"/>
        <w:jc w:val="center"/>
        <w:tblLook w:val="04A0" w:firstRow="1" w:lastRow="0" w:firstColumn="1" w:lastColumn="0" w:noHBand="0" w:noVBand="1"/>
      </w:tblPr>
      <w:tblGrid>
        <w:gridCol w:w="3200"/>
        <w:gridCol w:w="3306"/>
        <w:gridCol w:w="3304"/>
      </w:tblGrid>
      <w:tr w:rsidR="00506994" w:rsidRPr="00F30CC0" w:rsidTr="00847F91">
        <w:trPr>
          <w:jc w:val="center"/>
        </w:trPr>
        <w:tc>
          <w:tcPr>
            <w:tcW w:w="1631" w:type="pct"/>
          </w:tcPr>
          <w:p w:rsidR="00506994" w:rsidRPr="00F30CC0" w:rsidRDefault="00506994" w:rsidP="00AB7A9E"/>
        </w:tc>
        <w:tc>
          <w:tcPr>
            <w:tcW w:w="1685" w:type="pct"/>
            <w:vAlign w:val="bottom"/>
          </w:tcPr>
          <w:p w:rsidR="00506994" w:rsidRPr="00F30CC0" w:rsidRDefault="00506994" w:rsidP="00AB7A9E">
            <w:pPr>
              <w:jc w:val="center"/>
            </w:pPr>
            <w:r w:rsidRPr="00F30CC0">
              <w:t>Lenalidomide</w:t>
            </w:r>
            <w:r w:rsidR="000317D3" w:rsidRPr="000317D3">
              <w:rPr>
                <w:vertAlign w:val="superscript"/>
              </w:rPr>
              <w:t>a</w:t>
            </w:r>
          </w:p>
        </w:tc>
        <w:tc>
          <w:tcPr>
            <w:tcW w:w="1684" w:type="pct"/>
            <w:vAlign w:val="bottom"/>
          </w:tcPr>
          <w:p w:rsidR="00506994" w:rsidRPr="00F30CC0" w:rsidRDefault="00506994" w:rsidP="00AB7A9E">
            <w:pPr>
              <w:jc w:val="center"/>
            </w:pPr>
            <w:r w:rsidRPr="00F30CC0">
              <w:t>Dexamethasone</w:t>
            </w:r>
            <w:r w:rsidR="00AB6332" w:rsidRPr="00AB6332">
              <w:rPr>
                <w:vertAlign w:val="superscript"/>
              </w:rPr>
              <w:t>a</w:t>
            </w:r>
          </w:p>
        </w:tc>
      </w:tr>
      <w:tr w:rsidR="00506994" w:rsidRPr="00F30CC0" w:rsidTr="00847F91">
        <w:trPr>
          <w:jc w:val="center"/>
        </w:trPr>
        <w:tc>
          <w:tcPr>
            <w:tcW w:w="1631" w:type="pct"/>
            <w:vAlign w:val="bottom"/>
          </w:tcPr>
          <w:p w:rsidR="00506994" w:rsidRPr="00F30CC0" w:rsidRDefault="00506994" w:rsidP="00AB7A9E">
            <w:r w:rsidRPr="00F30CC0">
              <w:t>Starting dose</w:t>
            </w:r>
          </w:p>
        </w:tc>
        <w:tc>
          <w:tcPr>
            <w:tcW w:w="1685" w:type="pct"/>
            <w:vAlign w:val="bottom"/>
          </w:tcPr>
          <w:p w:rsidR="00506994" w:rsidRPr="00F30CC0" w:rsidRDefault="00506994" w:rsidP="00AB7A9E">
            <w:pPr>
              <w:jc w:val="center"/>
            </w:pPr>
            <w:r w:rsidRPr="00F30CC0">
              <w:t>25 mg</w:t>
            </w:r>
          </w:p>
        </w:tc>
        <w:tc>
          <w:tcPr>
            <w:tcW w:w="1684" w:type="pct"/>
            <w:vAlign w:val="bottom"/>
          </w:tcPr>
          <w:p w:rsidR="00506994" w:rsidRPr="00F30CC0" w:rsidRDefault="00506994" w:rsidP="00AB7A9E">
            <w:pPr>
              <w:jc w:val="center"/>
            </w:pPr>
            <w:r w:rsidRPr="00F30CC0">
              <w:t>40 mg</w:t>
            </w:r>
          </w:p>
        </w:tc>
      </w:tr>
      <w:tr w:rsidR="00506994" w:rsidRPr="00F30CC0" w:rsidTr="00847F91">
        <w:trPr>
          <w:jc w:val="center"/>
        </w:trPr>
        <w:tc>
          <w:tcPr>
            <w:tcW w:w="1631" w:type="pct"/>
            <w:vAlign w:val="bottom"/>
          </w:tcPr>
          <w:p w:rsidR="00506994" w:rsidRPr="00F30CC0" w:rsidRDefault="00506994" w:rsidP="00AB7A9E">
            <w:r w:rsidRPr="00F30CC0">
              <w:t>Dose level -1</w:t>
            </w:r>
          </w:p>
        </w:tc>
        <w:tc>
          <w:tcPr>
            <w:tcW w:w="1685" w:type="pct"/>
            <w:vAlign w:val="bottom"/>
          </w:tcPr>
          <w:p w:rsidR="00506994" w:rsidRPr="00F30CC0" w:rsidRDefault="00506994" w:rsidP="00AB7A9E">
            <w:pPr>
              <w:jc w:val="center"/>
            </w:pPr>
            <w:r w:rsidRPr="00F30CC0">
              <w:t>20 mg</w:t>
            </w:r>
          </w:p>
        </w:tc>
        <w:tc>
          <w:tcPr>
            <w:tcW w:w="1684" w:type="pct"/>
            <w:vAlign w:val="bottom"/>
          </w:tcPr>
          <w:p w:rsidR="00506994" w:rsidRPr="00F30CC0" w:rsidRDefault="00506994" w:rsidP="00AB7A9E">
            <w:pPr>
              <w:jc w:val="center"/>
            </w:pPr>
            <w:r w:rsidRPr="00F30CC0">
              <w:t>20 mg</w:t>
            </w:r>
          </w:p>
        </w:tc>
      </w:tr>
      <w:tr w:rsidR="00506994" w:rsidRPr="00F30CC0" w:rsidTr="00847F91">
        <w:trPr>
          <w:jc w:val="center"/>
        </w:trPr>
        <w:tc>
          <w:tcPr>
            <w:tcW w:w="1631" w:type="pct"/>
            <w:vAlign w:val="bottom"/>
          </w:tcPr>
          <w:p w:rsidR="00506994" w:rsidRPr="00F30CC0" w:rsidRDefault="00506994" w:rsidP="00AB7A9E">
            <w:r w:rsidRPr="00F30CC0">
              <w:t>Dose level -2</w:t>
            </w:r>
          </w:p>
        </w:tc>
        <w:tc>
          <w:tcPr>
            <w:tcW w:w="1685" w:type="pct"/>
            <w:vAlign w:val="bottom"/>
          </w:tcPr>
          <w:p w:rsidR="00506994" w:rsidRPr="00F30CC0" w:rsidRDefault="00506994" w:rsidP="00AB7A9E">
            <w:pPr>
              <w:jc w:val="center"/>
            </w:pPr>
            <w:r w:rsidRPr="00F30CC0">
              <w:t>15 mg</w:t>
            </w:r>
          </w:p>
        </w:tc>
        <w:tc>
          <w:tcPr>
            <w:tcW w:w="1684" w:type="pct"/>
            <w:vAlign w:val="bottom"/>
          </w:tcPr>
          <w:p w:rsidR="00506994" w:rsidRPr="00F30CC0" w:rsidRDefault="00506994" w:rsidP="00AB7A9E">
            <w:pPr>
              <w:jc w:val="center"/>
            </w:pPr>
            <w:r w:rsidRPr="00F30CC0">
              <w:t>12 mg</w:t>
            </w:r>
          </w:p>
        </w:tc>
      </w:tr>
      <w:tr w:rsidR="00506994" w:rsidRPr="00F30CC0" w:rsidTr="00847F91">
        <w:trPr>
          <w:jc w:val="center"/>
        </w:trPr>
        <w:tc>
          <w:tcPr>
            <w:tcW w:w="1631" w:type="pct"/>
            <w:vAlign w:val="bottom"/>
          </w:tcPr>
          <w:p w:rsidR="00506994" w:rsidRPr="00F30CC0" w:rsidRDefault="00506994" w:rsidP="00AB7A9E">
            <w:r w:rsidRPr="00F30CC0">
              <w:t>Dose level -3</w:t>
            </w:r>
          </w:p>
        </w:tc>
        <w:tc>
          <w:tcPr>
            <w:tcW w:w="1685" w:type="pct"/>
            <w:vAlign w:val="bottom"/>
          </w:tcPr>
          <w:p w:rsidR="00506994" w:rsidRPr="00F30CC0" w:rsidRDefault="00506994" w:rsidP="00AB7A9E">
            <w:pPr>
              <w:jc w:val="center"/>
            </w:pPr>
            <w:r w:rsidRPr="00F30CC0">
              <w:t>10 mg</w:t>
            </w:r>
          </w:p>
        </w:tc>
        <w:tc>
          <w:tcPr>
            <w:tcW w:w="1684" w:type="pct"/>
            <w:vAlign w:val="bottom"/>
          </w:tcPr>
          <w:p w:rsidR="00506994" w:rsidRPr="00F30CC0" w:rsidRDefault="00506994" w:rsidP="00AB7A9E">
            <w:pPr>
              <w:jc w:val="center"/>
            </w:pPr>
            <w:r w:rsidRPr="00F30CC0">
              <w:t>8 mg</w:t>
            </w:r>
          </w:p>
        </w:tc>
      </w:tr>
      <w:tr w:rsidR="00506994" w:rsidRPr="00F30CC0" w:rsidTr="00847F91">
        <w:trPr>
          <w:jc w:val="center"/>
        </w:trPr>
        <w:tc>
          <w:tcPr>
            <w:tcW w:w="1631" w:type="pct"/>
            <w:vAlign w:val="bottom"/>
          </w:tcPr>
          <w:p w:rsidR="00506994" w:rsidRPr="00F30CC0" w:rsidRDefault="00506994" w:rsidP="00AB7A9E">
            <w:r w:rsidRPr="00F30CC0">
              <w:t>Dose level- 4</w:t>
            </w:r>
          </w:p>
        </w:tc>
        <w:tc>
          <w:tcPr>
            <w:tcW w:w="1685" w:type="pct"/>
            <w:vAlign w:val="bottom"/>
          </w:tcPr>
          <w:p w:rsidR="00506994" w:rsidRPr="00F30CC0" w:rsidRDefault="00506994" w:rsidP="00AB7A9E">
            <w:pPr>
              <w:jc w:val="center"/>
            </w:pPr>
            <w:r w:rsidRPr="00F30CC0">
              <w:t>5 mg</w:t>
            </w:r>
          </w:p>
        </w:tc>
        <w:tc>
          <w:tcPr>
            <w:tcW w:w="1684" w:type="pct"/>
            <w:vAlign w:val="bottom"/>
          </w:tcPr>
          <w:p w:rsidR="00506994" w:rsidRPr="00F30CC0" w:rsidRDefault="00506994" w:rsidP="00AB7A9E">
            <w:pPr>
              <w:jc w:val="center"/>
            </w:pPr>
            <w:r w:rsidRPr="00F30CC0">
              <w:t>4 mg</w:t>
            </w:r>
          </w:p>
        </w:tc>
      </w:tr>
      <w:tr w:rsidR="00506994" w:rsidRPr="00F30CC0" w:rsidTr="00847F91">
        <w:trPr>
          <w:jc w:val="center"/>
        </w:trPr>
        <w:tc>
          <w:tcPr>
            <w:tcW w:w="1631" w:type="pct"/>
            <w:vAlign w:val="bottom"/>
          </w:tcPr>
          <w:p w:rsidR="00506994" w:rsidRPr="00F30CC0" w:rsidRDefault="00506994" w:rsidP="00AB7A9E">
            <w:r w:rsidRPr="00F30CC0">
              <w:t>Dose level -5</w:t>
            </w:r>
          </w:p>
        </w:tc>
        <w:tc>
          <w:tcPr>
            <w:tcW w:w="1685" w:type="pct"/>
            <w:vAlign w:val="bottom"/>
          </w:tcPr>
          <w:p w:rsidR="00506994" w:rsidRPr="00F30CC0" w:rsidRDefault="00506994" w:rsidP="00AB7A9E">
            <w:pPr>
              <w:jc w:val="center"/>
            </w:pPr>
            <w:r w:rsidRPr="00F30CC0">
              <w:t>2.5 mg</w:t>
            </w:r>
          </w:p>
        </w:tc>
        <w:tc>
          <w:tcPr>
            <w:tcW w:w="1684" w:type="pct"/>
            <w:vAlign w:val="bottom"/>
          </w:tcPr>
          <w:p w:rsidR="00506994" w:rsidRPr="00F30CC0" w:rsidRDefault="00506994" w:rsidP="00AB7A9E">
            <w:pPr>
              <w:jc w:val="center"/>
            </w:pPr>
            <w:r w:rsidRPr="00F30CC0">
              <w:t>N</w:t>
            </w:r>
            <w:r w:rsidR="000317D3">
              <w:t>ot Applicable</w:t>
            </w:r>
          </w:p>
        </w:tc>
      </w:tr>
    </w:tbl>
    <w:p w:rsidR="00506994" w:rsidRDefault="00847F91" w:rsidP="00AB7A9E">
      <w:pPr>
        <w:rPr>
          <w:rFonts w:eastAsia="Times New Roman"/>
          <w:sz w:val="16"/>
          <w:szCs w:val="16"/>
        </w:rPr>
      </w:pPr>
      <w:r>
        <w:rPr>
          <w:rFonts w:eastAsia="Times New Roman"/>
          <w:sz w:val="16"/>
          <w:szCs w:val="16"/>
        </w:rPr>
        <w:t>ª Dose reduction for both products can be managed independently</w:t>
      </w:r>
    </w:p>
    <w:p w:rsidR="00847F91" w:rsidRPr="00847F91" w:rsidRDefault="00847F91" w:rsidP="00AB7A9E">
      <w:pPr>
        <w:ind w:left="850" w:firstLine="425"/>
        <w:rPr>
          <w:sz w:val="24"/>
          <w:szCs w:val="24"/>
        </w:rPr>
      </w:pPr>
    </w:p>
    <w:p w:rsidR="00506994" w:rsidRPr="00335062" w:rsidRDefault="00506994" w:rsidP="00AB7A9E">
      <w:pPr>
        <w:pStyle w:val="ListParagraph"/>
        <w:numPr>
          <w:ilvl w:val="0"/>
          <w:numId w:val="57"/>
        </w:numPr>
      </w:pPr>
      <w:r w:rsidRPr="002A4B38">
        <w:rPr>
          <w:rFonts w:eastAsia="Times New Roman"/>
          <w:i/>
          <w:iCs/>
        </w:rPr>
        <w:t>Thrombocytopenia</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854"/>
      </w:tblGrid>
      <w:tr w:rsidR="00506994" w:rsidRPr="00335062" w:rsidTr="00847F91">
        <w:tc>
          <w:tcPr>
            <w:tcW w:w="5069" w:type="dxa"/>
            <w:tcBorders>
              <w:top w:val="single" w:sz="4" w:space="0" w:color="auto"/>
              <w:bottom w:val="single" w:sz="4" w:space="0" w:color="auto"/>
            </w:tcBorders>
          </w:tcPr>
          <w:p w:rsidR="00506994" w:rsidRPr="00335062" w:rsidRDefault="00506994" w:rsidP="00AB7A9E">
            <w:r w:rsidRPr="00335062">
              <w:rPr>
                <w:rFonts w:eastAsia="Times New Roman"/>
              </w:rPr>
              <w:t>When platelets</w:t>
            </w:r>
          </w:p>
        </w:tc>
        <w:tc>
          <w:tcPr>
            <w:tcW w:w="4854" w:type="dxa"/>
            <w:tcBorders>
              <w:top w:val="single" w:sz="4" w:space="0" w:color="auto"/>
              <w:bottom w:val="single" w:sz="4" w:space="0" w:color="auto"/>
            </w:tcBorders>
          </w:tcPr>
          <w:p w:rsidR="00506994" w:rsidRPr="00335062" w:rsidRDefault="00506994" w:rsidP="00AB7A9E">
            <w:r w:rsidRPr="00335062">
              <w:rPr>
                <w:rFonts w:eastAsia="Times New Roman"/>
              </w:rPr>
              <w:t>Recommended course</w:t>
            </w:r>
          </w:p>
        </w:tc>
      </w:tr>
      <w:tr w:rsidR="00506994" w:rsidRPr="00335062" w:rsidTr="00847F91">
        <w:tc>
          <w:tcPr>
            <w:tcW w:w="5069" w:type="dxa"/>
            <w:tcBorders>
              <w:top w:val="single" w:sz="4" w:space="0" w:color="auto"/>
            </w:tcBorders>
          </w:tcPr>
          <w:p w:rsidR="00506994" w:rsidRPr="00335062" w:rsidRDefault="00506994" w:rsidP="00AB7A9E">
            <w:r w:rsidRPr="00335062">
              <w:t>Fall to &lt; 25 x 10</w:t>
            </w:r>
            <w:r w:rsidR="00F05112" w:rsidRPr="00F05112">
              <w:rPr>
                <w:vertAlign w:val="superscript"/>
              </w:rPr>
              <w:t>9</w:t>
            </w:r>
            <w:r w:rsidRPr="00335062">
              <w:t>/L</w:t>
            </w:r>
          </w:p>
        </w:tc>
        <w:tc>
          <w:tcPr>
            <w:tcW w:w="4854" w:type="dxa"/>
            <w:tcBorders>
              <w:top w:val="single" w:sz="4" w:space="0" w:color="auto"/>
            </w:tcBorders>
          </w:tcPr>
          <w:p w:rsidR="00506994" w:rsidRPr="00335062" w:rsidRDefault="00506994" w:rsidP="00AB7A9E">
            <w:r w:rsidRPr="00335062">
              <w:rPr>
                <w:rFonts w:eastAsia="Times New Roman"/>
              </w:rPr>
              <w:t>Stop lenalidomide dosing for remainder of cycleª</w:t>
            </w:r>
          </w:p>
        </w:tc>
      </w:tr>
      <w:tr w:rsidR="00506994" w:rsidRPr="00335062" w:rsidTr="00847F91">
        <w:tc>
          <w:tcPr>
            <w:tcW w:w="5069" w:type="dxa"/>
            <w:tcBorders>
              <w:bottom w:val="single" w:sz="4" w:space="0" w:color="auto"/>
            </w:tcBorders>
          </w:tcPr>
          <w:p w:rsidR="00506994" w:rsidRPr="00335062" w:rsidRDefault="00506994" w:rsidP="00AB7A9E">
            <w:r w:rsidRPr="00335062">
              <w:t>Return to ≥ 50 x 10</w:t>
            </w:r>
            <w:r w:rsidR="00F05112" w:rsidRPr="00F05112">
              <w:rPr>
                <w:vertAlign w:val="superscript"/>
              </w:rPr>
              <w:t>9</w:t>
            </w:r>
            <w:r w:rsidRPr="00335062">
              <w:t>/L</w:t>
            </w:r>
          </w:p>
        </w:tc>
        <w:tc>
          <w:tcPr>
            <w:tcW w:w="4854" w:type="dxa"/>
            <w:tcBorders>
              <w:bottom w:val="single" w:sz="4" w:space="0" w:color="auto"/>
            </w:tcBorders>
          </w:tcPr>
          <w:p w:rsidR="00506994" w:rsidRPr="00335062" w:rsidRDefault="00506994" w:rsidP="00AB7A9E">
            <w:r w:rsidRPr="00335062">
              <w:rPr>
                <w:rFonts w:eastAsia="Times New Roman"/>
              </w:rPr>
              <w:t>Decrease by one dose level when dosing resumed at next cycle</w:t>
            </w:r>
          </w:p>
        </w:tc>
      </w:tr>
    </w:tbl>
    <w:p w:rsidR="00506994" w:rsidRPr="00F04381" w:rsidRDefault="00506994" w:rsidP="00AB7A9E">
      <w:pPr>
        <w:numPr>
          <w:ilvl w:val="0"/>
          <w:numId w:val="17"/>
        </w:numPr>
        <w:tabs>
          <w:tab w:val="left" w:pos="116"/>
        </w:tabs>
        <w:ind w:right="20"/>
        <w:rPr>
          <w:rFonts w:eastAsia="Times New Roman"/>
          <w:sz w:val="16"/>
          <w:szCs w:val="16"/>
        </w:rPr>
      </w:pPr>
      <w:r w:rsidRPr="00F04381">
        <w:rPr>
          <w:rFonts w:eastAsia="Times New Roman"/>
          <w:sz w:val="16"/>
          <w:szCs w:val="16"/>
        </w:rPr>
        <w:t xml:space="preserve">If Dose Limiting Toxicity (DLT) occurs on &gt; </w:t>
      </w:r>
      <w:r w:rsidR="006B7352">
        <w:rPr>
          <w:rFonts w:eastAsia="Times New Roman"/>
          <w:sz w:val="16"/>
          <w:szCs w:val="16"/>
        </w:rPr>
        <w:t>d</w:t>
      </w:r>
      <w:r w:rsidRPr="00F04381">
        <w:rPr>
          <w:rFonts w:eastAsia="Times New Roman"/>
          <w:sz w:val="16"/>
          <w:szCs w:val="16"/>
        </w:rPr>
        <w:t>ay</w:t>
      </w:r>
      <w:r w:rsidR="006B7352">
        <w:rPr>
          <w:rFonts w:eastAsia="Times New Roman"/>
          <w:sz w:val="16"/>
          <w:szCs w:val="16"/>
        </w:rPr>
        <w:t xml:space="preserve"> </w:t>
      </w:r>
      <w:r w:rsidRPr="00F04381">
        <w:rPr>
          <w:rFonts w:eastAsia="Times New Roman"/>
          <w:sz w:val="16"/>
          <w:szCs w:val="16"/>
        </w:rPr>
        <w:t>15 of a cycle, lenalidomide dosing will be interrupted for at least the remainder of the current 28-day cycle.</w:t>
      </w:r>
    </w:p>
    <w:p w:rsidR="00506994" w:rsidRPr="00335062" w:rsidRDefault="00506994" w:rsidP="00AB7A9E"/>
    <w:p w:rsidR="00506994" w:rsidRPr="00335062" w:rsidRDefault="006B7352" w:rsidP="00AB7A9E">
      <w:pPr>
        <w:pStyle w:val="ListParagraph"/>
        <w:numPr>
          <w:ilvl w:val="0"/>
          <w:numId w:val="57"/>
        </w:numPr>
        <w:tabs>
          <w:tab w:val="left" w:pos="701"/>
        </w:tabs>
      </w:pPr>
      <w:r>
        <w:rPr>
          <w:rFonts w:eastAsia="Times New Roman"/>
          <w:i/>
          <w:iCs/>
        </w:rPr>
        <w:t>Absolute neutrophil count (ANC) - n</w:t>
      </w:r>
      <w:r w:rsidR="00506994"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506994" w:rsidRPr="00335062" w:rsidTr="00847F91">
        <w:tc>
          <w:tcPr>
            <w:tcW w:w="5069" w:type="dxa"/>
            <w:tcBorders>
              <w:bottom w:val="single" w:sz="4" w:space="0" w:color="auto"/>
            </w:tcBorders>
          </w:tcPr>
          <w:p w:rsidR="00506994" w:rsidRPr="00335062" w:rsidRDefault="00506994" w:rsidP="006B7352">
            <w:r w:rsidRPr="00335062">
              <w:rPr>
                <w:rFonts w:eastAsia="Times New Roman"/>
              </w:rPr>
              <w:t xml:space="preserve">When </w:t>
            </w:r>
            <w:r w:rsidR="006B7352">
              <w:rPr>
                <w:rFonts w:eastAsia="Times New Roman"/>
              </w:rPr>
              <w:t>ANC</w:t>
            </w:r>
          </w:p>
        </w:tc>
        <w:tc>
          <w:tcPr>
            <w:tcW w:w="5069" w:type="dxa"/>
            <w:tcBorders>
              <w:bottom w:val="single" w:sz="4" w:space="0" w:color="auto"/>
            </w:tcBorders>
          </w:tcPr>
          <w:p w:rsidR="00506994" w:rsidRPr="008820D9" w:rsidRDefault="00506994" w:rsidP="00AB7A9E">
            <w:r w:rsidRPr="00335062">
              <w:rPr>
                <w:rFonts w:eastAsia="Times New Roman"/>
              </w:rPr>
              <w:t>Recommended course</w:t>
            </w:r>
            <w:r w:rsidR="008820D9">
              <w:rPr>
                <w:rFonts w:eastAsia="Times New Roman"/>
                <w:vertAlign w:val="superscript"/>
              </w:rPr>
              <w:t>a</w:t>
            </w:r>
          </w:p>
        </w:tc>
      </w:tr>
      <w:tr w:rsidR="00506994" w:rsidRPr="00335062" w:rsidTr="00847F91">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First fall to &lt; 0.5 x 10</w:t>
            </w:r>
            <w:r w:rsidRPr="00335062">
              <w:rPr>
                <w:rFonts w:eastAsia="Times New Roman"/>
                <w:vertAlign w:val="superscript"/>
              </w:rPr>
              <w:t>9</w:t>
            </w:r>
            <w:r w:rsidRPr="00335062">
              <w:rPr>
                <w:rFonts w:eastAsia="Times New Roman"/>
              </w:rPr>
              <w:t xml:space="preserve">/L </w:t>
            </w:r>
          </w:p>
          <w:p w:rsidR="00506994" w:rsidRPr="00335062" w:rsidRDefault="00506994" w:rsidP="00AB7A9E">
            <w:pPr>
              <w:rPr>
                <w:rFonts w:eastAsia="Times New Roman"/>
              </w:rPr>
            </w:pPr>
            <w:r w:rsidRPr="00335062">
              <w:rPr>
                <w:rFonts w:eastAsia="Times New Roman"/>
              </w:rPr>
              <w:t>Return</w:t>
            </w:r>
            <w:r w:rsidR="006B7352">
              <w:rPr>
                <w:rFonts w:eastAsia="Times New Roman"/>
              </w:rPr>
              <w:t>s</w:t>
            </w:r>
            <w:r w:rsidRPr="00335062">
              <w:rPr>
                <w:rFonts w:eastAsia="Times New Roman"/>
              </w:rPr>
              <w:t xml:space="preserve"> to ≥ 1 x 10</w:t>
            </w:r>
            <w:r w:rsidRPr="00335062">
              <w:rPr>
                <w:rFonts w:eastAsia="Times New Roman"/>
                <w:vertAlign w:val="superscript"/>
              </w:rPr>
              <w:t>9</w:t>
            </w:r>
            <w:r w:rsidRPr="00335062">
              <w:rPr>
                <w:rFonts w:eastAsia="Times New Roman"/>
              </w:rPr>
              <w:t>/L when neutropenia is the</w:t>
            </w:r>
          </w:p>
          <w:p w:rsidR="00506994" w:rsidRPr="00335062" w:rsidRDefault="00506994" w:rsidP="00AB7A9E">
            <w:r w:rsidRPr="00335062">
              <w:rPr>
                <w:rFonts w:eastAsia="Times New Roman"/>
              </w:rPr>
              <w:t>only observed toxicity</w:t>
            </w:r>
          </w:p>
        </w:tc>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Interrupt lenalidomide treatment</w:t>
            </w:r>
          </w:p>
          <w:p w:rsidR="00506994" w:rsidRPr="00335062" w:rsidRDefault="00506994" w:rsidP="00AB7A9E">
            <w:r w:rsidRPr="00335062">
              <w:rPr>
                <w:rFonts w:eastAsia="Times New Roman"/>
              </w:rPr>
              <w:t>Resume lenalidomide at Starting dose once daily</w:t>
            </w:r>
          </w:p>
        </w:tc>
      </w:tr>
      <w:tr w:rsidR="00506994" w:rsidRPr="00335062" w:rsidTr="00847F91">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Return</w:t>
            </w:r>
            <w:r w:rsidR="006B7352">
              <w:rPr>
                <w:rFonts w:eastAsia="Times New Roman"/>
              </w:rPr>
              <w:t>s</w:t>
            </w:r>
            <w:r w:rsidRPr="00335062">
              <w:rPr>
                <w:rFonts w:eastAsia="Times New Roman"/>
              </w:rPr>
              <w:t xml:space="preserve"> to ≥ 0.5 x 10</w:t>
            </w:r>
            <w:r w:rsidRPr="00335062">
              <w:rPr>
                <w:rFonts w:eastAsia="Times New Roman"/>
                <w:vertAlign w:val="superscript"/>
              </w:rPr>
              <w:t>9</w:t>
            </w:r>
            <w:r w:rsidRPr="00335062">
              <w:rPr>
                <w:rFonts w:eastAsia="Times New Roman"/>
              </w:rPr>
              <w:t>/L when dose-dependent</w:t>
            </w:r>
          </w:p>
          <w:p w:rsidR="00506994" w:rsidRPr="00335062" w:rsidRDefault="00506994" w:rsidP="00AB7A9E">
            <w:pPr>
              <w:rPr>
                <w:rFonts w:eastAsia="Times New Roman"/>
              </w:rPr>
            </w:pPr>
            <w:r w:rsidRPr="00335062">
              <w:rPr>
                <w:rFonts w:eastAsia="Times New Roman"/>
              </w:rPr>
              <w:t>haematological toxicities other than</w:t>
            </w:r>
          </w:p>
          <w:p w:rsidR="00506994" w:rsidRPr="00335062" w:rsidRDefault="00506994" w:rsidP="00AB7A9E">
            <w:r w:rsidRPr="00335062">
              <w:rPr>
                <w:rFonts w:eastAsia="Times New Roman"/>
              </w:rPr>
              <w:t>neutropenia are observed</w:t>
            </w:r>
          </w:p>
        </w:tc>
        <w:tc>
          <w:tcPr>
            <w:tcW w:w="5069" w:type="dxa"/>
            <w:tcBorders>
              <w:top w:val="single" w:sz="4" w:space="0" w:color="auto"/>
              <w:bottom w:val="single" w:sz="4" w:space="0" w:color="auto"/>
            </w:tcBorders>
          </w:tcPr>
          <w:p w:rsidR="00506994" w:rsidRPr="00335062" w:rsidRDefault="00506994" w:rsidP="00AB7A9E">
            <w:r w:rsidRPr="00335062">
              <w:rPr>
                <w:rFonts w:eastAsia="Times New Roman"/>
              </w:rPr>
              <w:t xml:space="preserve">Resume lenalidomide at </w:t>
            </w:r>
            <w:r w:rsidR="006B7352">
              <w:rPr>
                <w:rFonts w:eastAsia="Times New Roman"/>
              </w:rPr>
              <w:t>d</w:t>
            </w:r>
            <w:r w:rsidRPr="00335062">
              <w:rPr>
                <w:rFonts w:eastAsia="Times New Roman"/>
              </w:rPr>
              <w:t>ose level -1 once daily</w:t>
            </w:r>
          </w:p>
        </w:tc>
      </w:tr>
      <w:tr w:rsidR="00506994" w:rsidRPr="00335062" w:rsidTr="00847F91">
        <w:tc>
          <w:tcPr>
            <w:tcW w:w="5069" w:type="dxa"/>
            <w:tcBorders>
              <w:top w:val="single" w:sz="4" w:space="0" w:color="auto"/>
              <w:bottom w:val="single" w:sz="4" w:space="0" w:color="auto"/>
            </w:tcBorders>
          </w:tcPr>
          <w:p w:rsidR="00847F91" w:rsidRDefault="00506994" w:rsidP="00AB7A9E">
            <w:pPr>
              <w:rPr>
                <w:rFonts w:eastAsia="Times New Roman"/>
              </w:rPr>
            </w:pPr>
            <w:r w:rsidRPr="00335062">
              <w:rPr>
                <w:rFonts w:eastAsia="Times New Roman"/>
              </w:rPr>
              <w:t>For each subsequent drop below &lt; 0.5 x 10</w:t>
            </w:r>
            <w:r w:rsidRPr="00335062">
              <w:rPr>
                <w:rFonts w:eastAsia="Times New Roman"/>
                <w:vertAlign w:val="superscript"/>
              </w:rPr>
              <w:t>9</w:t>
            </w:r>
            <w:r w:rsidRPr="00335062">
              <w:rPr>
                <w:rFonts w:eastAsia="Times New Roman"/>
              </w:rPr>
              <w:t xml:space="preserve">/L </w:t>
            </w:r>
          </w:p>
          <w:p w:rsidR="00506994" w:rsidRPr="00335062" w:rsidRDefault="00506994" w:rsidP="00AB7A9E">
            <w:r w:rsidRPr="00335062">
              <w:rPr>
                <w:rFonts w:eastAsia="Times New Roman"/>
              </w:rPr>
              <w:t>Return to ≥ 0.5 x 10</w:t>
            </w:r>
            <w:r w:rsidRPr="00335062">
              <w:rPr>
                <w:rFonts w:eastAsia="Times New Roman"/>
                <w:vertAlign w:val="superscript"/>
              </w:rPr>
              <w:t>9</w:t>
            </w:r>
            <w:r w:rsidRPr="00335062">
              <w:rPr>
                <w:rFonts w:eastAsia="Times New Roman"/>
              </w:rPr>
              <w:t>/L</w:t>
            </w:r>
          </w:p>
        </w:tc>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Interrupt lenalidomide treatment</w:t>
            </w:r>
          </w:p>
          <w:p w:rsidR="00506994" w:rsidRPr="00335062" w:rsidRDefault="00506994" w:rsidP="00AB7A9E">
            <w:pPr>
              <w:ind w:right="1020"/>
            </w:pPr>
            <w:r w:rsidRPr="00335062">
              <w:rPr>
                <w:rFonts w:eastAsia="Times New Roman"/>
              </w:rPr>
              <w:t>Resume lenalidomide at next lower dose level once daily.</w:t>
            </w:r>
          </w:p>
        </w:tc>
      </w:tr>
    </w:tbl>
    <w:p w:rsidR="006B7352" w:rsidRDefault="006B7352" w:rsidP="006B7352">
      <w:pPr>
        <w:ind w:right="364"/>
        <w:rPr>
          <w:rFonts w:eastAsia="Times New Roman"/>
          <w:sz w:val="16"/>
          <w:szCs w:val="16"/>
        </w:rPr>
      </w:pPr>
      <w:r>
        <w:rPr>
          <w:rFonts w:eastAsia="Times New Roman"/>
          <w:position w:val="6"/>
          <w:sz w:val="10"/>
          <w:szCs w:val="10"/>
        </w:rPr>
        <w:t>a</w:t>
      </w:r>
      <w:r>
        <w:rPr>
          <w:rFonts w:eastAsia="Times New Roman"/>
          <w:spacing w:val="16"/>
          <w:position w:val="6"/>
          <w:sz w:val="10"/>
          <w:szCs w:val="10"/>
        </w:rPr>
        <w:t xml:space="preserve"> </w:t>
      </w:r>
      <w:r>
        <w:rPr>
          <w:rFonts w:eastAsia="Times New Roman"/>
          <w:spacing w:val="-2"/>
          <w:sz w:val="16"/>
          <w:szCs w:val="16"/>
        </w:rPr>
        <w:t>At</w:t>
      </w:r>
      <w:r>
        <w:rPr>
          <w:rFonts w:eastAsia="Times New Roman"/>
          <w:spacing w:val="1"/>
          <w:sz w:val="16"/>
          <w:szCs w:val="16"/>
        </w:rPr>
        <w:t xml:space="preserve"> </w:t>
      </w:r>
      <w:r>
        <w:rPr>
          <w:rFonts w:eastAsia="Times New Roman"/>
          <w:spacing w:val="-1"/>
          <w:sz w:val="16"/>
          <w:szCs w:val="16"/>
        </w:rPr>
        <w:t>the physician’s</w:t>
      </w:r>
      <w:r>
        <w:rPr>
          <w:rFonts w:eastAsia="Times New Roman"/>
          <w:spacing w:val="-2"/>
          <w:sz w:val="16"/>
          <w:szCs w:val="16"/>
        </w:rPr>
        <w:t xml:space="preserve"> </w:t>
      </w:r>
      <w:r>
        <w:rPr>
          <w:rFonts w:eastAsia="Times New Roman"/>
          <w:spacing w:val="-1"/>
          <w:sz w:val="16"/>
          <w:szCs w:val="16"/>
        </w:rPr>
        <w:t xml:space="preserve">discretion, </w:t>
      </w:r>
      <w:r>
        <w:rPr>
          <w:rFonts w:eastAsia="Times New Roman"/>
          <w:sz w:val="16"/>
          <w:szCs w:val="16"/>
        </w:rPr>
        <w:t>if</w:t>
      </w:r>
      <w:r>
        <w:rPr>
          <w:rFonts w:eastAsia="Times New Roman"/>
          <w:spacing w:val="-3"/>
          <w:sz w:val="16"/>
          <w:szCs w:val="16"/>
        </w:rPr>
        <w:t xml:space="preserve"> </w:t>
      </w:r>
      <w:r>
        <w:rPr>
          <w:rFonts w:eastAsia="Times New Roman"/>
          <w:spacing w:val="-1"/>
          <w:sz w:val="16"/>
          <w:szCs w:val="16"/>
        </w:rPr>
        <w:t xml:space="preserve">neutropenia </w:t>
      </w:r>
      <w:r>
        <w:rPr>
          <w:rFonts w:eastAsia="Times New Roman"/>
          <w:sz w:val="16"/>
          <w:szCs w:val="16"/>
        </w:rPr>
        <w:t>is</w:t>
      </w:r>
      <w:r>
        <w:rPr>
          <w:rFonts w:eastAsia="Times New Roman"/>
          <w:spacing w:val="-2"/>
          <w:sz w:val="16"/>
          <w:szCs w:val="16"/>
        </w:rPr>
        <w:t xml:space="preserve"> </w:t>
      </w:r>
      <w:r>
        <w:rPr>
          <w:rFonts w:eastAsia="Times New Roman"/>
          <w:sz w:val="16"/>
          <w:szCs w:val="16"/>
        </w:rPr>
        <w:t>the</w:t>
      </w:r>
      <w:r>
        <w:rPr>
          <w:rFonts w:eastAsia="Times New Roman"/>
          <w:spacing w:val="-1"/>
          <w:sz w:val="16"/>
          <w:szCs w:val="16"/>
        </w:rPr>
        <w:t xml:space="preserve"> only</w:t>
      </w:r>
      <w:r>
        <w:rPr>
          <w:rFonts w:eastAsia="Times New Roman"/>
          <w:spacing w:val="-3"/>
          <w:sz w:val="16"/>
          <w:szCs w:val="16"/>
        </w:rPr>
        <w:t xml:space="preserve"> </w:t>
      </w:r>
      <w:r>
        <w:rPr>
          <w:rFonts w:eastAsia="Times New Roman"/>
          <w:spacing w:val="-1"/>
          <w:sz w:val="16"/>
          <w:szCs w:val="16"/>
        </w:rPr>
        <w:t>toxicity</w:t>
      </w:r>
      <w:r>
        <w:rPr>
          <w:rFonts w:eastAsia="Times New Roman"/>
          <w:spacing w:val="-3"/>
          <w:sz w:val="16"/>
          <w:szCs w:val="16"/>
        </w:rPr>
        <w:t xml:space="preserve"> </w:t>
      </w:r>
      <w:r>
        <w:rPr>
          <w:rFonts w:eastAsia="Times New Roman"/>
          <w:sz w:val="16"/>
          <w:szCs w:val="16"/>
        </w:rPr>
        <w:t>at</w:t>
      </w:r>
      <w:r>
        <w:rPr>
          <w:rFonts w:eastAsia="Times New Roman"/>
          <w:spacing w:val="1"/>
          <w:sz w:val="16"/>
          <w:szCs w:val="16"/>
        </w:rPr>
        <w:t xml:space="preserve"> </w:t>
      </w:r>
      <w:r>
        <w:rPr>
          <w:rFonts w:eastAsia="Times New Roman"/>
          <w:spacing w:val="-1"/>
          <w:sz w:val="16"/>
          <w:szCs w:val="16"/>
        </w:rPr>
        <w:t>any</w:t>
      </w:r>
      <w:r>
        <w:rPr>
          <w:rFonts w:eastAsia="Times New Roman"/>
          <w:spacing w:val="-3"/>
          <w:sz w:val="16"/>
          <w:szCs w:val="16"/>
        </w:rPr>
        <w:t xml:space="preserve"> </w:t>
      </w:r>
      <w:r>
        <w:rPr>
          <w:rFonts w:eastAsia="Times New Roman"/>
          <w:sz w:val="16"/>
          <w:szCs w:val="16"/>
        </w:rPr>
        <w:t>dose</w:t>
      </w:r>
      <w:r>
        <w:rPr>
          <w:rFonts w:eastAsia="Times New Roman"/>
          <w:spacing w:val="-2"/>
          <w:sz w:val="16"/>
          <w:szCs w:val="16"/>
        </w:rPr>
        <w:t xml:space="preserve"> </w:t>
      </w:r>
      <w:r>
        <w:rPr>
          <w:rFonts w:eastAsia="Times New Roman"/>
          <w:spacing w:val="-1"/>
          <w:sz w:val="16"/>
          <w:szCs w:val="16"/>
        </w:rPr>
        <w:t>level,</w:t>
      </w:r>
      <w:r>
        <w:rPr>
          <w:rFonts w:eastAsia="Times New Roman"/>
          <w:spacing w:val="1"/>
          <w:sz w:val="16"/>
          <w:szCs w:val="16"/>
        </w:rPr>
        <w:t xml:space="preserve"> </w:t>
      </w:r>
      <w:r>
        <w:rPr>
          <w:rFonts w:eastAsia="Times New Roman"/>
          <w:spacing w:val="-1"/>
          <w:sz w:val="16"/>
          <w:szCs w:val="16"/>
        </w:rPr>
        <w:t>add</w:t>
      </w:r>
      <w:r>
        <w:rPr>
          <w:rFonts w:eastAsia="Times New Roman"/>
          <w:spacing w:val="2"/>
          <w:sz w:val="16"/>
          <w:szCs w:val="16"/>
        </w:rPr>
        <w:t xml:space="preserve"> </w:t>
      </w:r>
      <w:r>
        <w:rPr>
          <w:rFonts w:eastAsia="Times New Roman"/>
          <w:spacing w:val="-1"/>
          <w:sz w:val="16"/>
          <w:szCs w:val="16"/>
        </w:rPr>
        <w:t>granulocyte colony</w:t>
      </w:r>
      <w:r>
        <w:rPr>
          <w:rFonts w:eastAsia="Times New Roman"/>
          <w:spacing w:val="-3"/>
          <w:sz w:val="16"/>
          <w:szCs w:val="16"/>
        </w:rPr>
        <w:t xml:space="preserve"> </w:t>
      </w:r>
      <w:r>
        <w:rPr>
          <w:rFonts w:eastAsia="Times New Roman"/>
          <w:spacing w:val="-1"/>
          <w:sz w:val="16"/>
          <w:szCs w:val="16"/>
        </w:rPr>
        <w:t xml:space="preserve">stimulating factor </w:t>
      </w:r>
      <w:r>
        <w:rPr>
          <w:rFonts w:eastAsia="Times New Roman"/>
          <w:spacing w:val="-2"/>
          <w:sz w:val="16"/>
          <w:szCs w:val="16"/>
        </w:rPr>
        <w:t>(G-CSF)</w:t>
      </w:r>
      <w:r>
        <w:rPr>
          <w:rFonts w:eastAsia="Times New Roman"/>
          <w:sz w:val="16"/>
          <w:szCs w:val="16"/>
        </w:rPr>
        <w:t xml:space="preserve"> and</w:t>
      </w:r>
      <w:r>
        <w:rPr>
          <w:rFonts w:eastAsia="Times New Roman"/>
          <w:spacing w:val="1"/>
          <w:sz w:val="16"/>
          <w:szCs w:val="16"/>
        </w:rPr>
        <w:t xml:space="preserve"> </w:t>
      </w:r>
      <w:r>
        <w:rPr>
          <w:rFonts w:eastAsia="Times New Roman"/>
          <w:spacing w:val="-1"/>
          <w:sz w:val="16"/>
          <w:szCs w:val="16"/>
        </w:rPr>
        <w:t>maintain</w:t>
      </w:r>
      <w:r>
        <w:rPr>
          <w:rFonts w:eastAsia="Times New Roman"/>
          <w:spacing w:val="99"/>
          <w:sz w:val="16"/>
          <w:szCs w:val="16"/>
        </w:rPr>
        <w:t xml:space="preserve"> </w:t>
      </w:r>
      <w:r>
        <w:rPr>
          <w:rFonts w:eastAsia="Times New Roman"/>
          <w:sz w:val="16"/>
          <w:szCs w:val="16"/>
        </w:rPr>
        <w:t>the</w:t>
      </w:r>
      <w:r>
        <w:rPr>
          <w:rFonts w:eastAsia="Times New Roman"/>
          <w:spacing w:val="-4"/>
          <w:sz w:val="16"/>
          <w:szCs w:val="16"/>
        </w:rPr>
        <w:t xml:space="preserve"> </w:t>
      </w:r>
      <w:r>
        <w:rPr>
          <w:rFonts w:eastAsia="Times New Roman"/>
          <w:spacing w:val="-1"/>
          <w:sz w:val="16"/>
          <w:szCs w:val="16"/>
        </w:rPr>
        <w:t>dose</w:t>
      </w:r>
      <w:r>
        <w:rPr>
          <w:rFonts w:eastAsia="Times New Roman"/>
          <w:spacing w:val="-2"/>
          <w:sz w:val="16"/>
          <w:szCs w:val="16"/>
        </w:rPr>
        <w:t xml:space="preserve"> </w:t>
      </w:r>
      <w:r>
        <w:rPr>
          <w:rFonts w:eastAsia="Times New Roman"/>
          <w:spacing w:val="-1"/>
          <w:sz w:val="16"/>
          <w:szCs w:val="16"/>
        </w:rPr>
        <w:t>level of</w:t>
      </w:r>
      <w:r>
        <w:rPr>
          <w:rFonts w:eastAsia="Times New Roman"/>
          <w:sz w:val="16"/>
          <w:szCs w:val="16"/>
        </w:rPr>
        <w:t xml:space="preserve"> </w:t>
      </w:r>
      <w:r>
        <w:rPr>
          <w:rFonts w:eastAsia="Times New Roman"/>
          <w:spacing w:val="-1"/>
          <w:sz w:val="16"/>
          <w:szCs w:val="16"/>
        </w:rPr>
        <w:t>lenalidomide.</w:t>
      </w:r>
    </w:p>
    <w:p w:rsidR="00506994" w:rsidRPr="00335062" w:rsidRDefault="00506994" w:rsidP="00AB7A9E">
      <w:pPr>
        <w:tabs>
          <w:tab w:val="left" w:pos="561"/>
        </w:tabs>
      </w:pPr>
    </w:p>
    <w:p w:rsidR="004905DE" w:rsidRPr="004905DE" w:rsidRDefault="004905DE" w:rsidP="00AB7A9E">
      <w:pPr>
        <w:rPr>
          <w:rFonts w:eastAsia="Times New Roman"/>
        </w:rPr>
      </w:pPr>
      <w:r w:rsidRPr="004905DE">
        <w:rPr>
          <w:rFonts w:eastAsia="Times New Roman"/>
        </w:rPr>
        <w:t>For hematologic toxicity the dose of lenalidomide may be re-introduced to the next higher dose level (up to</w:t>
      </w:r>
    </w:p>
    <w:p w:rsidR="004905DE" w:rsidRPr="004905DE" w:rsidRDefault="004905DE" w:rsidP="00AB7A9E">
      <w:pPr>
        <w:rPr>
          <w:rFonts w:eastAsia="Times New Roman"/>
        </w:rPr>
      </w:pPr>
      <w:r w:rsidRPr="004905DE">
        <w:rPr>
          <w:rFonts w:eastAsia="Times New Roman"/>
        </w:rPr>
        <w:t>the starting dose) upon improvement in bone marrow function (no hematologic toxicity for at least 2</w:t>
      </w:r>
    </w:p>
    <w:p w:rsidR="00506994" w:rsidRDefault="004905DE" w:rsidP="00AB7A9E">
      <w:pPr>
        <w:rPr>
          <w:rFonts w:eastAsia="Times New Roman"/>
        </w:rPr>
      </w:pPr>
      <w:r w:rsidRPr="004905DE">
        <w:rPr>
          <w:rFonts w:eastAsia="Times New Roman"/>
        </w:rPr>
        <w:t>consecutive cycles: ANC ≥1,5 x 10</w:t>
      </w:r>
      <w:r w:rsidRPr="004905DE">
        <w:rPr>
          <w:rFonts w:eastAsia="Times New Roman"/>
          <w:vertAlign w:val="superscript"/>
        </w:rPr>
        <w:t>9</w:t>
      </w:r>
      <w:r w:rsidRPr="004905DE">
        <w:rPr>
          <w:rFonts w:eastAsia="Times New Roman"/>
        </w:rPr>
        <w:t>/L with a platelet count ≥ 100 x 10</w:t>
      </w:r>
      <w:r w:rsidRPr="004905DE">
        <w:rPr>
          <w:rFonts w:eastAsia="Times New Roman"/>
          <w:vertAlign w:val="superscript"/>
        </w:rPr>
        <w:t>9</w:t>
      </w:r>
      <w:r w:rsidRPr="004905DE">
        <w:rPr>
          <w:rFonts w:eastAsia="Times New Roman"/>
        </w:rPr>
        <w:t>/L at the beginning of a new cycle).</w:t>
      </w:r>
    </w:p>
    <w:p w:rsidR="004905DE" w:rsidRDefault="004905DE" w:rsidP="00115841"/>
    <w:p w:rsidR="004D54CB" w:rsidRDefault="004D54CB" w:rsidP="00115841"/>
    <w:p w:rsidR="00115841" w:rsidRDefault="00115841" w:rsidP="004273C8">
      <w:pPr>
        <w:pStyle w:val="BodyText"/>
        <w:widowControl w:val="0"/>
        <w:numPr>
          <w:ilvl w:val="3"/>
          <w:numId w:val="102"/>
        </w:numPr>
        <w:tabs>
          <w:tab w:val="left" w:pos="959"/>
        </w:tabs>
        <w:spacing w:before="47" w:after="0"/>
        <w:ind w:left="851" w:right="602" w:hanging="851"/>
      </w:pPr>
      <w:r>
        <w:rPr>
          <w:spacing w:val="-1"/>
          <w:u w:val="single" w:color="000000"/>
        </w:rPr>
        <w:t>Lenalidomide</w:t>
      </w:r>
      <w:r>
        <w:rPr>
          <w:u w:val="single" w:color="000000"/>
        </w:rPr>
        <w:t xml:space="preserve"> </w:t>
      </w:r>
      <w:r>
        <w:rPr>
          <w:spacing w:val="-1"/>
          <w:u w:val="single" w:color="000000"/>
        </w:rPr>
        <w:t>in</w:t>
      </w:r>
      <w:r>
        <w:rPr>
          <w:u w:val="single" w:color="000000"/>
        </w:rPr>
        <w:t xml:space="preserve"> </w:t>
      </w:r>
      <w:r>
        <w:rPr>
          <w:spacing w:val="-1"/>
          <w:u w:val="single" w:color="000000"/>
        </w:rPr>
        <w:t>combination</w:t>
      </w:r>
      <w:r>
        <w:rPr>
          <w:u w:val="single" w:color="000000"/>
        </w:rPr>
        <w:t xml:space="preserve"> with</w:t>
      </w:r>
      <w:r>
        <w:rPr>
          <w:spacing w:val="-3"/>
          <w:u w:val="single" w:color="000000"/>
        </w:rPr>
        <w:t xml:space="preserve"> </w:t>
      </w:r>
      <w:r>
        <w:rPr>
          <w:spacing w:val="-1"/>
          <w:u w:val="single" w:color="000000"/>
        </w:rPr>
        <w:t>bortezomib</w:t>
      </w:r>
      <w:r>
        <w:rPr>
          <w:u w:val="single" w:color="000000"/>
        </w:rPr>
        <w:t xml:space="preserve"> and </w:t>
      </w:r>
      <w:r>
        <w:rPr>
          <w:spacing w:val="-1"/>
          <w:u w:val="single" w:color="000000"/>
        </w:rPr>
        <w:t>dexamethasone</w:t>
      </w:r>
      <w:r>
        <w:rPr>
          <w:spacing w:val="-2"/>
          <w:u w:val="single" w:color="000000"/>
        </w:rPr>
        <w:t xml:space="preserve"> </w:t>
      </w:r>
      <w:r>
        <w:rPr>
          <w:spacing w:val="-1"/>
          <w:u w:val="single" w:color="000000"/>
        </w:rPr>
        <w:t>followed</w:t>
      </w:r>
      <w:r>
        <w:rPr>
          <w:u w:val="single" w:color="000000"/>
        </w:rPr>
        <w:t xml:space="preserve"> by</w:t>
      </w:r>
      <w:r>
        <w:rPr>
          <w:spacing w:val="-3"/>
          <w:u w:val="single" w:color="000000"/>
        </w:rPr>
        <w:t xml:space="preserve"> </w:t>
      </w:r>
      <w:r>
        <w:rPr>
          <w:spacing w:val="-1"/>
          <w:u w:val="single" w:color="000000"/>
        </w:rPr>
        <w:t>lenalidomide</w:t>
      </w:r>
      <w:r w:rsidR="00490884">
        <w:rPr>
          <w:u w:val="single" w:color="000000"/>
        </w:rPr>
        <w:t xml:space="preserve"> </w:t>
      </w:r>
      <w:r>
        <w:rPr>
          <w:spacing w:val="-1"/>
          <w:u w:val="single" w:color="000000"/>
        </w:rPr>
        <w:t>and</w:t>
      </w:r>
      <w:r w:rsidR="00490884">
        <w:rPr>
          <w:spacing w:val="63"/>
        </w:rPr>
        <w:t xml:space="preserve"> </w:t>
      </w:r>
      <w:r>
        <w:rPr>
          <w:spacing w:val="-1"/>
          <w:u w:val="single" w:color="000000"/>
        </w:rPr>
        <w:t>dexamethasone</w:t>
      </w:r>
      <w:r>
        <w:rPr>
          <w:u w:val="single" w:color="000000"/>
        </w:rPr>
        <w:t xml:space="preserve"> </w:t>
      </w:r>
      <w:r>
        <w:rPr>
          <w:spacing w:val="-1"/>
          <w:u w:val="single" w:color="000000"/>
        </w:rPr>
        <w:t>until</w:t>
      </w:r>
      <w:r>
        <w:rPr>
          <w:spacing w:val="1"/>
          <w:u w:val="single" w:color="000000"/>
        </w:rPr>
        <w:t xml:space="preserve"> </w:t>
      </w:r>
      <w:r>
        <w:rPr>
          <w:spacing w:val="-1"/>
          <w:u w:val="single" w:color="000000"/>
        </w:rPr>
        <w:t>disease</w:t>
      </w:r>
      <w:r>
        <w:rPr>
          <w:u w:val="single" w:color="000000"/>
        </w:rPr>
        <w:t xml:space="preserve"> </w:t>
      </w:r>
      <w:r>
        <w:rPr>
          <w:spacing w:val="-1"/>
          <w:u w:val="single" w:color="000000"/>
        </w:rPr>
        <w:t>progression</w:t>
      </w:r>
      <w:r>
        <w:rPr>
          <w:u w:val="single" w:color="000000"/>
        </w:rPr>
        <w:t xml:space="preserve"> in</w:t>
      </w:r>
      <w:r>
        <w:rPr>
          <w:spacing w:val="-3"/>
          <w:u w:val="single" w:color="000000"/>
        </w:rPr>
        <w:t xml:space="preserve"> </w:t>
      </w:r>
      <w:r>
        <w:rPr>
          <w:spacing w:val="-1"/>
          <w:u w:val="single" w:color="000000"/>
        </w:rPr>
        <w:t>patients</w:t>
      </w:r>
      <w:r>
        <w:rPr>
          <w:u w:val="single" w:color="000000"/>
        </w:rPr>
        <w:t xml:space="preserve"> </w:t>
      </w:r>
      <w:r>
        <w:rPr>
          <w:spacing w:val="-2"/>
          <w:u w:val="single" w:color="000000"/>
        </w:rPr>
        <w:t>who</w:t>
      </w:r>
      <w:r>
        <w:rPr>
          <w:u w:val="single" w:color="000000"/>
        </w:rPr>
        <w:t xml:space="preserve"> </w:t>
      </w:r>
      <w:r>
        <w:rPr>
          <w:spacing w:val="-1"/>
          <w:u w:val="single" w:color="000000"/>
        </w:rPr>
        <w:t>are</w:t>
      </w:r>
      <w:r>
        <w:rPr>
          <w:u w:val="single" w:color="000000"/>
        </w:rPr>
        <w:t xml:space="preserve"> not</w:t>
      </w:r>
      <w:r>
        <w:rPr>
          <w:spacing w:val="-2"/>
          <w:u w:val="single" w:color="000000"/>
        </w:rPr>
        <w:t xml:space="preserve"> </w:t>
      </w:r>
      <w:r>
        <w:rPr>
          <w:spacing w:val="-1"/>
          <w:u w:val="single" w:color="000000"/>
        </w:rPr>
        <w:t>eligible</w:t>
      </w:r>
      <w:r>
        <w:rPr>
          <w:u w:val="single" w:color="000000"/>
        </w:rPr>
        <w:t xml:space="preserve"> </w:t>
      </w:r>
      <w:r>
        <w:rPr>
          <w:spacing w:val="-1"/>
          <w:u w:val="single" w:color="000000"/>
        </w:rPr>
        <w:t>for</w:t>
      </w:r>
      <w:r>
        <w:rPr>
          <w:u w:val="single" w:color="000000"/>
        </w:rPr>
        <w:t xml:space="preserve"> </w:t>
      </w:r>
      <w:r>
        <w:rPr>
          <w:spacing w:val="-1"/>
          <w:u w:val="single" w:color="000000"/>
        </w:rPr>
        <w:t>transplant</w:t>
      </w:r>
    </w:p>
    <w:p w:rsidR="00115841" w:rsidRDefault="00115841" w:rsidP="00115841">
      <w:pPr>
        <w:spacing w:line="252" w:lineRule="exact"/>
        <w:rPr>
          <w:rFonts w:eastAsia="Times New Roman"/>
        </w:rPr>
      </w:pPr>
      <w:r>
        <w:rPr>
          <w:i/>
          <w:spacing w:val="-1"/>
        </w:rPr>
        <w:t>Initial</w:t>
      </w:r>
      <w:r>
        <w:rPr>
          <w:i/>
          <w:spacing w:val="-2"/>
        </w:rPr>
        <w:t xml:space="preserve"> </w:t>
      </w:r>
      <w:r>
        <w:rPr>
          <w:i/>
          <w:spacing w:val="-1"/>
        </w:rPr>
        <w:t>treatment:</w:t>
      </w:r>
      <w:r>
        <w:rPr>
          <w:i/>
          <w:spacing w:val="1"/>
        </w:rPr>
        <w:t xml:space="preserve"> </w:t>
      </w:r>
      <w:r>
        <w:rPr>
          <w:i/>
          <w:spacing w:val="-1"/>
        </w:rPr>
        <w:t>Lenalidomide</w:t>
      </w:r>
      <w:r>
        <w:rPr>
          <w:i/>
        </w:rPr>
        <w:t xml:space="preserve"> </w:t>
      </w:r>
      <w:r>
        <w:rPr>
          <w:i/>
          <w:spacing w:val="-1"/>
        </w:rPr>
        <w:t>in</w:t>
      </w:r>
      <w:r>
        <w:rPr>
          <w:i/>
        </w:rPr>
        <w:t xml:space="preserve"> </w:t>
      </w:r>
      <w:r>
        <w:rPr>
          <w:i/>
          <w:spacing w:val="-1"/>
        </w:rPr>
        <w:t>combination</w:t>
      </w:r>
      <w:r>
        <w:rPr>
          <w:i/>
        </w:rPr>
        <w:t xml:space="preserve"> </w:t>
      </w:r>
      <w:r>
        <w:rPr>
          <w:i/>
          <w:spacing w:val="-1"/>
        </w:rPr>
        <w:t>with</w:t>
      </w:r>
      <w:r>
        <w:rPr>
          <w:i/>
          <w:spacing w:val="-2"/>
        </w:rPr>
        <w:t xml:space="preserve"> </w:t>
      </w:r>
      <w:r>
        <w:rPr>
          <w:i/>
          <w:spacing w:val="-1"/>
        </w:rPr>
        <w:t>bortezomib</w:t>
      </w:r>
      <w:r>
        <w:rPr>
          <w:i/>
          <w:spacing w:val="-2"/>
        </w:rPr>
        <w:t xml:space="preserve"> </w:t>
      </w:r>
      <w:r>
        <w:rPr>
          <w:i/>
        </w:rPr>
        <w:t xml:space="preserve">and </w:t>
      </w:r>
      <w:r>
        <w:rPr>
          <w:i/>
          <w:spacing w:val="-1"/>
        </w:rPr>
        <w:t>dexamethasone</w:t>
      </w:r>
    </w:p>
    <w:p w:rsidR="004D54CB" w:rsidRDefault="00115841" w:rsidP="004273C8">
      <w:pPr>
        <w:pStyle w:val="BodyText"/>
        <w:spacing w:before="1" w:line="250" w:lineRule="exact"/>
      </w:pPr>
      <w:r>
        <w:rPr>
          <w:spacing w:val="-1"/>
        </w:rPr>
        <w:t>Lenalidomide</w:t>
      </w:r>
      <w:r>
        <w:rPr>
          <w:spacing w:val="1"/>
        </w:rPr>
        <w:t xml:space="preserve"> </w:t>
      </w:r>
      <w:r>
        <w:rPr>
          <w:spacing w:val="-1"/>
        </w:rPr>
        <w:t>in</w:t>
      </w:r>
      <w:r>
        <w:t xml:space="preserve"> </w:t>
      </w:r>
      <w:r>
        <w:rPr>
          <w:spacing w:val="-1"/>
        </w:rPr>
        <w:t>combination</w:t>
      </w:r>
      <w:r>
        <w:t xml:space="preserve"> with</w:t>
      </w:r>
      <w:r>
        <w:rPr>
          <w:spacing w:val="-2"/>
        </w:rPr>
        <w:t xml:space="preserve"> </w:t>
      </w:r>
      <w:r>
        <w:rPr>
          <w:spacing w:val="-1"/>
        </w:rPr>
        <w:t>bortezomib</w:t>
      </w:r>
      <w:r>
        <w:t xml:space="preserve"> and </w:t>
      </w:r>
      <w:r>
        <w:rPr>
          <w:spacing w:val="-1"/>
        </w:rPr>
        <w:t>dexamethasone</w:t>
      </w:r>
      <w:r>
        <w:rPr>
          <w:spacing w:val="-2"/>
        </w:rPr>
        <w:t xml:space="preserve"> </w:t>
      </w:r>
      <w:r>
        <w:rPr>
          <w:spacing w:val="-1"/>
        </w:rPr>
        <w:t>must</w:t>
      </w:r>
      <w:r>
        <w:rPr>
          <w:spacing w:val="1"/>
        </w:rPr>
        <w:t xml:space="preserve"> </w:t>
      </w:r>
      <w:r>
        <w:t>not</w:t>
      </w:r>
      <w:r>
        <w:rPr>
          <w:spacing w:val="1"/>
        </w:rPr>
        <w:t xml:space="preserve"> </w:t>
      </w:r>
      <w:r>
        <w:rPr>
          <w:spacing w:val="-2"/>
        </w:rPr>
        <w:t>be</w:t>
      </w:r>
      <w:r>
        <w:t xml:space="preserve"> </w:t>
      </w:r>
      <w:r>
        <w:rPr>
          <w:spacing w:val="-1"/>
        </w:rPr>
        <w:t>started</w:t>
      </w:r>
      <w:r>
        <w:t xml:space="preserve"> </w:t>
      </w:r>
      <w:r>
        <w:rPr>
          <w:spacing w:val="-1"/>
        </w:rPr>
        <w:t>if</w:t>
      </w:r>
      <w:r>
        <w:rPr>
          <w:spacing w:val="1"/>
        </w:rPr>
        <w:t xml:space="preserve"> </w:t>
      </w:r>
      <w:r>
        <w:rPr>
          <w:spacing w:val="-1"/>
        </w:rPr>
        <w:t>the</w:t>
      </w:r>
      <w:r>
        <w:t xml:space="preserve"> </w:t>
      </w:r>
      <w:r>
        <w:rPr>
          <w:spacing w:val="-1"/>
        </w:rPr>
        <w:t xml:space="preserve">ANC </w:t>
      </w:r>
      <w:r>
        <w:t>is &lt;</w:t>
      </w:r>
      <w:r>
        <w:rPr>
          <w:spacing w:val="-1"/>
        </w:rPr>
        <w:t xml:space="preserve"> </w:t>
      </w:r>
      <w:r>
        <w:t xml:space="preserve">1.0 x </w:t>
      </w:r>
      <w:r>
        <w:rPr>
          <w:spacing w:val="-1"/>
        </w:rPr>
        <w:t>10</w:t>
      </w:r>
      <w:r>
        <w:rPr>
          <w:spacing w:val="-1"/>
          <w:position w:val="8"/>
          <w:sz w:val="14"/>
        </w:rPr>
        <w:t>9</w:t>
      </w:r>
      <w:r>
        <w:rPr>
          <w:spacing w:val="-1"/>
        </w:rPr>
        <w:t>/L,</w:t>
      </w:r>
      <w:r>
        <w:t xml:space="preserve"> </w:t>
      </w:r>
      <w:r>
        <w:rPr>
          <w:spacing w:val="-1"/>
        </w:rPr>
        <w:t>and/or</w:t>
      </w:r>
      <w:r>
        <w:rPr>
          <w:spacing w:val="1"/>
        </w:rPr>
        <w:t xml:space="preserve"> </w:t>
      </w:r>
      <w:r>
        <w:rPr>
          <w:spacing w:val="-1"/>
        </w:rPr>
        <w:t>platelet</w:t>
      </w:r>
      <w:r>
        <w:rPr>
          <w:spacing w:val="1"/>
        </w:rPr>
        <w:t xml:space="preserve"> </w:t>
      </w:r>
      <w:r>
        <w:rPr>
          <w:spacing w:val="-1"/>
        </w:rPr>
        <w:t>counts</w:t>
      </w:r>
      <w:r>
        <w:t xml:space="preserve"> </w:t>
      </w:r>
      <w:r>
        <w:rPr>
          <w:spacing w:val="-1"/>
        </w:rPr>
        <w:t>are</w:t>
      </w:r>
      <w:r>
        <w:t xml:space="preserve"> &lt;</w:t>
      </w:r>
      <w:r>
        <w:rPr>
          <w:spacing w:val="-1"/>
        </w:rPr>
        <w:t xml:space="preserve"> </w:t>
      </w:r>
      <w:r>
        <w:rPr>
          <w:spacing w:val="-2"/>
        </w:rPr>
        <w:t>50</w:t>
      </w:r>
      <w:r>
        <w:t xml:space="preserve"> x</w:t>
      </w:r>
      <w:r>
        <w:rPr>
          <w:spacing w:val="1"/>
        </w:rPr>
        <w:t xml:space="preserve"> </w:t>
      </w:r>
      <w:r>
        <w:rPr>
          <w:spacing w:val="-1"/>
        </w:rPr>
        <w:t>10</w:t>
      </w:r>
      <w:r>
        <w:rPr>
          <w:spacing w:val="-1"/>
          <w:position w:val="8"/>
          <w:sz w:val="14"/>
        </w:rPr>
        <w:t>9</w:t>
      </w:r>
      <w:r>
        <w:rPr>
          <w:spacing w:val="-1"/>
        </w:rPr>
        <w:t>/L.</w:t>
      </w:r>
    </w:p>
    <w:p w:rsidR="00115841" w:rsidRPr="004273C8" w:rsidRDefault="00115841" w:rsidP="004273C8">
      <w:pPr>
        <w:pStyle w:val="BodyText"/>
        <w:spacing w:before="1" w:line="250" w:lineRule="exact"/>
      </w:pPr>
      <w:r>
        <w:t>The</w:t>
      </w:r>
      <w:r>
        <w:rPr>
          <w:spacing w:val="-2"/>
        </w:rPr>
        <w:t xml:space="preserve"> </w:t>
      </w:r>
      <w:r>
        <w:rPr>
          <w:spacing w:val="-1"/>
        </w:rPr>
        <w:t>recommended</w:t>
      </w:r>
      <w:r>
        <w:t xml:space="preserve"> </w:t>
      </w:r>
      <w:r>
        <w:rPr>
          <w:spacing w:val="-1"/>
        </w:rPr>
        <w:t>starting</w:t>
      </w:r>
      <w:r>
        <w:rPr>
          <w:spacing w:val="-3"/>
        </w:rPr>
        <w:t xml:space="preserve"> </w:t>
      </w:r>
      <w:r>
        <w:t>dose</w:t>
      </w:r>
      <w:r>
        <w:rPr>
          <w:spacing w:val="-2"/>
        </w:rPr>
        <w:t xml:space="preserve"> </w:t>
      </w:r>
      <w:r>
        <w:t>is</w:t>
      </w:r>
      <w:r>
        <w:rPr>
          <w:spacing w:val="-2"/>
        </w:rPr>
        <w:t xml:space="preserve"> </w:t>
      </w:r>
      <w:r>
        <w:rPr>
          <w:spacing w:val="-1"/>
        </w:rPr>
        <w:t>lenalidomide</w:t>
      </w:r>
      <w:r>
        <w:rPr>
          <w:spacing w:val="1"/>
        </w:rPr>
        <w:t xml:space="preserve"> </w:t>
      </w:r>
      <w:r>
        <w:t xml:space="preserve">25 </w:t>
      </w:r>
      <w:r>
        <w:rPr>
          <w:spacing w:val="-2"/>
        </w:rPr>
        <w:t>mg</w:t>
      </w:r>
      <w:r>
        <w:t xml:space="preserve"> </w:t>
      </w:r>
      <w:r>
        <w:rPr>
          <w:spacing w:val="-1"/>
        </w:rPr>
        <w:t>orally</w:t>
      </w:r>
      <w:r>
        <w:rPr>
          <w:spacing w:val="-3"/>
        </w:rPr>
        <w:t xml:space="preserve"> </w:t>
      </w:r>
      <w:r>
        <w:t>once</w:t>
      </w:r>
      <w:r>
        <w:rPr>
          <w:spacing w:val="-2"/>
        </w:rPr>
        <w:t xml:space="preserve"> </w:t>
      </w:r>
      <w:r>
        <w:rPr>
          <w:spacing w:val="-1"/>
        </w:rPr>
        <w:t>daily</w:t>
      </w:r>
      <w:r>
        <w:rPr>
          <w:spacing w:val="-2"/>
        </w:rPr>
        <w:t xml:space="preserve"> </w:t>
      </w:r>
      <w:r>
        <w:rPr>
          <w:spacing w:val="-1"/>
        </w:rPr>
        <w:t>days</w:t>
      </w:r>
      <w:r>
        <w:t xml:space="preserve"> </w:t>
      </w:r>
      <w:r>
        <w:rPr>
          <w:spacing w:val="-1"/>
        </w:rPr>
        <w:t>1-14</w:t>
      </w:r>
      <w:r>
        <w:rPr>
          <w:spacing w:val="2"/>
        </w:rPr>
        <w:t xml:space="preserve"> </w:t>
      </w:r>
      <w:r>
        <w:t>of</w:t>
      </w:r>
      <w:r>
        <w:rPr>
          <w:spacing w:val="1"/>
        </w:rPr>
        <w:t xml:space="preserve"> </w:t>
      </w:r>
      <w:r>
        <w:rPr>
          <w:spacing w:val="-1"/>
        </w:rPr>
        <w:t>each</w:t>
      </w:r>
      <w:r>
        <w:t xml:space="preserve"> </w:t>
      </w:r>
      <w:r>
        <w:rPr>
          <w:spacing w:val="-1"/>
        </w:rPr>
        <w:t>21-day</w:t>
      </w:r>
      <w:r>
        <w:rPr>
          <w:spacing w:val="-3"/>
        </w:rPr>
        <w:t xml:space="preserve"> </w:t>
      </w:r>
      <w:r>
        <w:rPr>
          <w:spacing w:val="-1"/>
        </w:rPr>
        <w:t>cycle</w:t>
      </w:r>
      <w:r>
        <w:t xml:space="preserve"> in</w:t>
      </w:r>
      <w:r>
        <w:rPr>
          <w:spacing w:val="75"/>
        </w:rPr>
        <w:t xml:space="preserve"> </w:t>
      </w:r>
      <w:r>
        <w:rPr>
          <w:spacing w:val="-1"/>
        </w:rPr>
        <w:t>combination</w:t>
      </w:r>
      <w:r>
        <w:t xml:space="preserve"> </w:t>
      </w:r>
      <w:r>
        <w:rPr>
          <w:spacing w:val="-1"/>
        </w:rPr>
        <w:t>with</w:t>
      </w:r>
      <w:r>
        <w:t xml:space="preserve"> </w:t>
      </w:r>
      <w:r>
        <w:rPr>
          <w:spacing w:val="-1"/>
        </w:rPr>
        <w:t>bortezomib</w:t>
      </w:r>
      <w:r>
        <w:t xml:space="preserve"> and</w:t>
      </w:r>
      <w:r>
        <w:rPr>
          <w:spacing w:val="-2"/>
        </w:rPr>
        <w:t xml:space="preserve"> </w:t>
      </w:r>
      <w:r>
        <w:rPr>
          <w:spacing w:val="-1"/>
        </w:rPr>
        <w:t>dexamethasone.</w:t>
      </w:r>
      <w:r>
        <w:rPr>
          <w:spacing w:val="-3"/>
        </w:rPr>
        <w:t xml:space="preserve"> </w:t>
      </w:r>
      <w:r>
        <w:rPr>
          <w:spacing w:val="-1"/>
        </w:rPr>
        <w:t>Bortezomib</w:t>
      </w:r>
      <w:r>
        <w:t xml:space="preserve"> </w:t>
      </w:r>
      <w:r>
        <w:rPr>
          <w:spacing w:val="-1"/>
        </w:rPr>
        <w:t>should</w:t>
      </w:r>
      <w:r>
        <w:t xml:space="preserve"> be</w:t>
      </w:r>
      <w:r>
        <w:rPr>
          <w:spacing w:val="-2"/>
        </w:rPr>
        <w:t xml:space="preserve"> </w:t>
      </w:r>
      <w:r>
        <w:rPr>
          <w:spacing w:val="-1"/>
        </w:rPr>
        <w:t>administered</w:t>
      </w:r>
      <w:r>
        <w:t xml:space="preserve"> </w:t>
      </w:r>
      <w:r>
        <w:rPr>
          <w:spacing w:val="-1"/>
        </w:rPr>
        <w:t>via</w:t>
      </w:r>
      <w:r>
        <w:rPr>
          <w:spacing w:val="-2"/>
        </w:rPr>
        <w:t xml:space="preserve"> </w:t>
      </w:r>
      <w:r>
        <w:rPr>
          <w:spacing w:val="-1"/>
        </w:rPr>
        <w:t>subcutaneous</w:t>
      </w:r>
      <w:r>
        <w:rPr>
          <w:spacing w:val="81"/>
        </w:rPr>
        <w:t xml:space="preserve"> </w:t>
      </w:r>
      <w:r>
        <w:rPr>
          <w:spacing w:val="-1"/>
        </w:rPr>
        <w:t>injection</w:t>
      </w:r>
      <w:r>
        <w:rPr>
          <w:spacing w:val="-3"/>
        </w:rPr>
        <w:t xml:space="preserve"> </w:t>
      </w:r>
      <w:r>
        <w:t xml:space="preserve">(1.3 </w:t>
      </w:r>
      <w:r>
        <w:rPr>
          <w:spacing w:val="-2"/>
        </w:rPr>
        <w:t>mg/m</w:t>
      </w:r>
      <w:r>
        <w:rPr>
          <w:spacing w:val="-2"/>
          <w:position w:val="8"/>
          <w:sz w:val="14"/>
        </w:rPr>
        <w:t>2</w:t>
      </w:r>
      <w:r>
        <w:rPr>
          <w:spacing w:val="20"/>
          <w:position w:val="8"/>
          <w:sz w:val="14"/>
        </w:rPr>
        <w:t xml:space="preserve"> </w:t>
      </w:r>
      <w:r>
        <w:t>body</w:t>
      </w:r>
      <w:r>
        <w:rPr>
          <w:spacing w:val="-2"/>
        </w:rPr>
        <w:t xml:space="preserve"> </w:t>
      </w:r>
      <w:r>
        <w:t xml:space="preserve">surface </w:t>
      </w:r>
      <w:r>
        <w:rPr>
          <w:spacing w:val="-1"/>
        </w:rPr>
        <w:t>area)</w:t>
      </w:r>
      <w:r>
        <w:rPr>
          <w:spacing w:val="-2"/>
        </w:rPr>
        <w:t xml:space="preserve"> </w:t>
      </w:r>
      <w:r>
        <w:rPr>
          <w:spacing w:val="-1"/>
        </w:rPr>
        <w:t>twice</w:t>
      </w:r>
      <w:r>
        <w:t xml:space="preserve"> </w:t>
      </w:r>
      <w:r>
        <w:rPr>
          <w:spacing w:val="-1"/>
        </w:rPr>
        <w:t>weekly</w:t>
      </w:r>
      <w:r>
        <w:rPr>
          <w:spacing w:val="-2"/>
        </w:rPr>
        <w:t xml:space="preserve"> </w:t>
      </w:r>
      <w:r>
        <w:t xml:space="preserve">on </w:t>
      </w:r>
      <w:r>
        <w:rPr>
          <w:spacing w:val="-1"/>
        </w:rPr>
        <w:t>days</w:t>
      </w:r>
      <w:r>
        <w:t xml:space="preserve"> 1, 4, 8 </w:t>
      </w:r>
      <w:r>
        <w:rPr>
          <w:spacing w:val="-1"/>
        </w:rPr>
        <w:t>and</w:t>
      </w:r>
      <w:r>
        <w:t xml:space="preserve"> 11 </w:t>
      </w:r>
      <w:r>
        <w:rPr>
          <w:spacing w:val="-1"/>
        </w:rPr>
        <w:t>of</w:t>
      </w:r>
      <w:r>
        <w:rPr>
          <w:spacing w:val="1"/>
        </w:rPr>
        <w:t xml:space="preserve"> </w:t>
      </w:r>
      <w:r>
        <w:rPr>
          <w:spacing w:val="-2"/>
        </w:rPr>
        <w:t>each</w:t>
      </w:r>
      <w:r>
        <w:t xml:space="preserve"> </w:t>
      </w:r>
      <w:r>
        <w:rPr>
          <w:spacing w:val="-1"/>
        </w:rPr>
        <w:t>21-day.</w:t>
      </w:r>
      <w:r>
        <w:t xml:space="preserve"> For</w:t>
      </w:r>
      <w:r>
        <w:rPr>
          <w:spacing w:val="1"/>
        </w:rPr>
        <w:t xml:space="preserve"> </w:t>
      </w:r>
      <w:r>
        <w:rPr>
          <w:spacing w:val="-1"/>
        </w:rPr>
        <w:t>additional</w:t>
      </w:r>
      <w:r>
        <w:rPr>
          <w:spacing w:val="47"/>
        </w:rPr>
        <w:t xml:space="preserve"> </w:t>
      </w:r>
      <w:r>
        <w:rPr>
          <w:spacing w:val="-1"/>
        </w:rPr>
        <w:t>information</w:t>
      </w:r>
      <w:r>
        <w:t xml:space="preserve"> </w:t>
      </w:r>
      <w:r>
        <w:rPr>
          <w:spacing w:val="-2"/>
        </w:rPr>
        <w:t>on</w:t>
      </w:r>
      <w:r>
        <w:t xml:space="preserve"> </w:t>
      </w:r>
      <w:r>
        <w:rPr>
          <w:spacing w:val="-1"/>
        </w:rPr>
        <w:t>the</w:t>
      </w:r>
      <w:r>
        <w:t xml:space="preserve"> </w:t>
      </w:r>
      <w:r>
        <w:rPr>
          <w:spacing w:val="-1"/>
        </w:rPr>
        <w:t>dose,</w:t>
      </w:r>
      <w:r>
        <w:t xml:space="preserve"> </w:t>
      </w:r>
      <w:r>
        <w:rPr>
          <w:spacing w:val="-1"/>
        </w:rPr>
        <w:t>schedule</w:t>
      </w:r>
      <w:r>
        <w:t xml:space="preserve"> and</w:t>
      </w:r>
      <w:r>
        <w:rPr>
          <w:spacing w:val="-3"/>
        </w:rPr>
        <w:t xml:space="preserve"> </w:t>
      </w:r>
      <w:r>
        <w:t>dose</w:t>
      </w:r>
      <w:r>
        <w:rPr>
          <w:spacing w:val="-2"/>
        </w:rPr>
        <w:t xml:space="preserve"> </w:t>
      </w:r>
      <w:r>
        <w:rPr>
          <w:spacing w:val="-1"/>
        </w:rPr>
        <w:t>adjustments</w:t>
      </w:r>
      <w:r>
        <w:t xml:space="preserve"> of</w:t>
      </w:r>
      <w:r>
        <w:rPr>
          <w:spacing w:val="1"/>
        </w:rPr>
        <w:t xml:space="preserve"> </w:t>
      </w:r>
      <w:r>
        <w:rPr>
          <w:spacing w:val="-1"/>
        </w:rPr>
        <w:t>medicinal</w:t>
      </w:r>
      <w:r>
        <w:rPr>
          <w:spacing w:val="1"/>
        </w:rPr>
        <w:t xml:space="preserve"> </w:t>
      </w:r>
      <w:r>
        <w:rPr>
          <w:spacing w:val="-1"/>
        </w:rPr>
        <w:t>products</w:t>
      </w:r>
      <w:r>
        <w:t xml:space="preserve"> </w:t>
      </w:r>
      <w:r>
        <w:rPr>
          <w:spacing w:val="-1"/>
        </w:rPr>
        <w:t>administered</w:t>
      </w:r>
      <w:r>
        <w:t xml:space="preserve"> </w:t>
      </w:r>
      <w:r>
        <w:rPr>
          <w:spacing w:val="-1"/>
        </w:rPr>
        <w:t>with</w:t>
      </w:r>
      <w:r>
        <w:rPr>
          <w:spacing w:val="61"/>
        </w:rPr>
        <w:t xml:space="preserve"> </w:t>
      </w:r>
      <w:r>
        <w:rPr>
          <w:spacing w:val="-1"/>
        </w:rPr>
        <w:t>lenalidomide,</w:t>
      </w:r>
      <w:r>
        <w:t xml:space="preserve"> </w:t>
      </w:r>
      <w:r>
        <w:rPr>
          <w:spacing w:val="-1"/>
        </w:rPr>
        <w:t>see</w:t>
      </w:r>
      <w:r>
        <w:t xml:space="preserve"> </w:t>
      </w:r>
      <w:r>
        <w:rPr>
          <w:spacing w:val="-1"/>
        </w:rPr>
        <w:t>Section</w:t>
      </w:r>
      <w:r>
        <w:t xml:space="preserve"> </w:t>
      </w:r>
      <w:r>
        <w:rPr>
          <w:spacing w:val="-1"/>
        </w:rPr>
        <w:t>5.1</w:t>
      </w:r>
      <w:r>
        <w:t xml:space="preserve"> and</w:t>
      </w:r>
      <w:r>
        <w:rPr>
          <w:spacing w:val="-2"/>
        </w:rPr>
        <w:t xml:space="preserve"> </w:t>
      </w:r>
      <w:r>
        <w:t xml:space="preserve">the </w:t>
      </w:r>
      <w:r>
        <w:rPr>
          <w:spacing w:val="-1"/>
        </w:rPr>
        <w:t>corresponding</w:t>
      </w:r>
      <w:r>
        <w:rPr>
          <w:spacing w:val="-2"/>
        </w:rPr>
        <w:t xml:space="preserve"> </w:t>
      </w:r>
      <w:r>
        <w:rPr>
          <w:spacing w:val="-1"/>
        </w:rPr>
        <w:t>Summary</w:t>
      </w:r>
      <w:r>
        <w:rPr>
          <w:spacing w:val="-3"/>
        </w:rPr>
        <w:t xml:space="preserve"> </w:t>
      </w:r>
      <w:r>
        <w:t>of</w:t>
      </w:r>
      <w:r>
        <w:rPr>
          <w:spacing w:val="1"/>
        </w:rPr>
        <w:t xml:space="preserve"> </w:t>
      </w:r>
      <w:r>
        <w:rPr>
          <w:spacing w:val="-1"/>
        </w:rPr>
        <w:t>Product</w:t>
      </w:r>
      <w:r>
        <w:rPr>
          <w:spacing w:val="1"/>
        </w:rPr>
        <w:t xml:space="preserve"> </w:t>
      </w:r>
      <w:r>
        <w:rPr>
          <w:spacing w:val="-1"/>
        </w:rPr>
        <w:t>Characteristics.</w:t>
      </w:r>
    </w:p>
    <w:p w:rsidR="00115841" w:rsidRPr="004273C8" w:rsidRDefault="00115841" w:rsidP="004273C8">
      <w:pPr>
        <w:pStyle w:val="BodyText"/>
      </w:pPr>
      <w:r>
        <w:rPr>
          <w:spacing w:val="-1"/>
        </w:rPr>
        <w:t>Up</w:t>
      </w:r>
      <w:r>
        <w:t xml:space="preserve"> to </w:t>
      </w:r>
      <w:r>
        <w:rPr>
          <w:spacing w:val="-1"/>
        </w:rPr>
        <w:t>eight</w:t>
      </w:r>
      <w:r>
        <w:rPr>
          <w:spacing w:val="1"/>
        </w:rPr>
        <w:t xml:space="preserve"> </w:t>
      </w:r>
      <w:r>
        <w:rPr>
          <w:spacing w:val="-1"/>
        </w:rPr>
        <w:t>21-day</w:t>
      </w:r>
      <w:r>
        <w:rPr>
          <w:spacing w:val="-2"/>
        </w:rPr>
        <w:t xml:space="preserve"> </w:t>
      </w:r>
      <w:r>
        <w:rPr>
          <w:spacing w:val="-1"/>
        </w:rPr>
        <w:t>treatment</w:t>
      </w:r>
      <w:r>
        <w:rPr>
          <w:spacing w:val="1"/>
        </w:rPr>
        <w:t xml:space="preserve"> </w:t>
      </w:r>
      <w:r>
        <w:rPr>
          <w:spacing w:val="-1"/>
        </w:rPr>
        <w:t>cycles</w:t>
      </w:r>
      <w:r>
        <w:t xml:space="preserve"> </w:t>
      </w:r>
      <w:r>
        <w:rPr>
          <w:spacing w:val="-1"/>
        </w:rPr>
        <w:t>(24</w:t>
      </w:r>
      <w:r>
        <w:t xml:space="preserve"> </w:t>
      </w:r>
      <w:r>
        <w:rPr>
          <w:spacing w:val="-1"/>
        </w:rPr>
        <w:t>weeks</w:t>
      </w:r>
      <w:r>
        <w:t xml:space="preserve"> of</w:t>
      </w:r>
      <w:r>
        <w:rPr>
          <w:spacing w:val="-1"/>
        </w:rPr>
        <w:t xml:space="preserve"> initial</w:t>
      </w:r>
      <w:r>
        <w:rPr>
          <w:spacing w:val="1"/>
        </w:rPr>
        <w:t xml:space="preserve"> </w:t>
      </w:r>
      <w:r>
        <w:rPr>
          <w:spacing w:val="-1"/>
        </w:rPr>
        <w:t>treatment)</w:t>
      </w:r>
      <w:r>
        <w:rPr>
          <w:spacing w:val="-2"/>
        </w:rPr>
        <w:t xml:space="preserve"> </w:t>
      </w:r>
      <w:r>
        <w:t>are</w:t>
      </w:r>
      <w:r>
        <w:rPr>
          <w:spacing w:val="-2"/>
        </w:rPr>
        <w:t xml:space="preserve"> </w:t>
      </w:r>
      <w:r>
        <w:rPr>
          <w:spacing w:val="-1"/>
        </w:rPr>
        <w:t>recommended.</w:t>
      </w:r>
    </w:p>
    <w:p w:rsidR="00115841" w:rsidRDefault="00115841" w:rsidP="00115841">
      <w:pPr>
        <w:rPr>
          <w:rFonts w:eastAsia="Times New Roman"/>
        </w:rPr>
      </w:pPr>
      <w:r>
        <w:rPr>
          <w:i/>
          <w:spacing w:val="-1"/>
        </w:rPr>
        <w:t>Continued</w:t>
      </w:r>
      <w:r>
        <w:rPr>
          <w:i/>
          <w:spacing w:val="-2"/>
        </w:rPr>
        <w:t xml:space="preserve"> </w:t>
      </w:r>
      <w:r>
        <w:rPr>
          <w:i/>
          <w:spacing w:val="-1"/>
        </w:rPr>
        <w:t>treatment:</w:t>
      </w:r>
      <w:r>
        <w:rPr>
          <w:i/>
          <w:spacing w:val="1"/>
        </w:rPr>
        <w:t xml:space="preserve"> </w:t>
      </w:r>
      <w:r>
        <w:rPr>
          <w:i/>
          <w:spacing w:val="-1"/>
        </w:rPr>
        <w:t>Lenalidomide</w:t>
      </w:r>
      <w:r>
        <w:rPr>
          <w:i/>
        </w:rPr>
        <w:t xml:space="preserve"> in</w:t>
      </w:r>
      <w:r>
        <w:rPr>
          <w:i/>
          <w:spacing w:val="-3"/>
        </w:rPr>
        <w:t xml:space="preserve"> </w:t>
      </w:r>
      <w:r>
        <w:rPr>
          <w:i/>
          <w:spacing w:val="-1"/>
        </w:rPr>
        <w:t>combination</w:t>
      </w:r>
      <w:r>
        <w:rPr>
          <w:i/>
        </w:rPr>
        <w:t xml:space="preserve"> </w:t>
      </w:r>
      <w:r>
        <w:rPr>
          <w:i/>
          <w:spacing w:val="-2"/>
        </w:rPr>
        <w:t>with</w:t>
      </w:r>
      <w:r>
        <w:rPr>
          <w:i/>
        </w:rPr>
        <w:t xml:space="preserve"> </w:t>
      </w:r>
      <w:r>
        <w:rPr>
          <w:i/>
          <w:spacing w:val="-1"/>
        </w:rPr>
        <w:t>dexamethasone</w:t>
      </w:r>
      <w:r>
        <w:rPr>
          <w:i/>
        </w:rPr>
        <w:t xml:space="preserve"> </w:t>
      </w:r>
      <w:r>
        <w:rPr>
          <w:i/>
          <w:spacing w:val="-1"/>
        </w:rPr>
        <w:t>until</w:t>
      </w:r>
      <w:r>
        <w:rPr>
          <w:i/>
          <w:spacing w:val="1"/>
        </w:rPr>
        <w:t xml:space="preserve"> </w:t>
      </w:r>
      <w:r>
        <w:rPr>
          <w:i/>
          <w:spacing w:val="-1"/>
        </w:rPr>
        <w:t>progression</w:t>
      </w:r>
    </w:p>
    <w:p w:rsidR="00115841" w:rsidRDefault="00115841" w:rsidP="00115841">
      <w:pPr>
        <w:pStyle w:val="BodyText"/>
        <w:spacing w:before="1"/>
        <w:ind w:right="433"/>
      </w:pPr>
      <w:r>
        <w:rPr>
          <w:spacing w:val="-1"/>
        </w:rPr>
        <w:t>Continue</w:t>
      </w:r>
      <w:r>
        <w:t xml:space="preserve"> </w:t>
      </w:r>
      <w:r>
        <w:rPr>
          <w:spacing w:val="-1"/>
        </w:rPr>
        <w:t>lenalidomide</w:t>
      </w:r>
      <w:r>
        <w:rPr>
          <w:spacing w:val="1"/>
        </w:rPr>
        <w:t xml:space="preserve"> </w:t>
      </w:r>
      <w:r>
        <w:t>25</w:t>
      </w:r>
      <w:r>
        <w:rPr>
          <w:spacing w:val="-2"/>
        </w:rPr>
        <w:t xml:space="preserve"> </w:t>
      </w:r>
      <w:r>
        <w:rPr>
          <w:spacing w:val="-1"/>
        </w:rPr>
        <w:t>mg</w:t>
      </w:r>
      <w:r>
        <w:rPr>
          <w:spacing w:val="-3"/>
        </w:rPr>
        <w:t xml:space="preserve"> </w:t>
      </w:r>
      <w:r>
        <w:t>orally</w:t>
      </w:r>
      <w:r>
        <w:rPr>
          <w:spacing w:val="-3"/>
        </w:rPr>
        <w:t xml:space="preserve"> </w:t>
      </w:r>
      <w:r>
        <w:t xml:space="preserve">once </w:t>
      </w:r>
      <w:r>
        <w:rPr>
          <w:spacing w:val="-1"/>
        </w:rPr>
        <w:t>daily</w:t>
      </w:r>
      <w:r>
        <w:rPr>
          <w:spacing w:val="-2"/>
        </w:rPr>
        <w:t xml:space="preserve"> </w:t>
      </w:r>
      <w:r>
        <w:t xml:space="preserve">on </w:t>
      </w:r>
      <w:r>
        <w:rPr>
          <w:spacing w:val="-2"/>
        </w:rPr>
        <w:t>days</w:t>
      </w:r>
      <w:r>
        <w:t xml:space="preserve"> </w:t>
      </w:r>
      <w:r>
        <w:rPr>
          <w:spacing w:val="-1"/>
        </w:rPr>
        <w:t>1-21</w:t>
      </w:r>
      <w:r>
        <w:t xml:space="preserve"> of</w:t>
      </w:r>
      <w:r>
        <w:rPr>
          <w:spacing w:val="1"/>
        </w:rPr>
        <w:t xml:space="preserve"> </w:t>
      </w:r>
      <w:r>
        <w:rPr>
          <w:spacing w:val="-1"/>
        </w:rPr>
        <w:t>repeated</w:t>
      </w:r>
      <w:r>
        <w:t xml:space="preserve"> </w:t>
      </w:r>
      <w:r>
        <w:rPr>
          <w:spacing w:val="-1"/>
        </w:rPr>
        <w:t>28-day</w:t>
      </w:r>
      <w:r>
        <w:t xml:space="preserve"> </w:t>
      </w:r>
      <w:r>
        <w:rPr>
          <w:spacing w:val="-1"/>
        </w:rPr>
        <w:t>cycles</w:t>
      </w:r>
      <w:r>
        <w:rPr>
          <w:spacing w:val="-2"/>
        </w:rPr>
        <w:t xml:space="preserve"> </w:t>
      </w:r>
      <w:r>
        <w:t xml:space="preserve">in </w:t>
      </w:r>
      <w:r>
        <w:rPr>
          <w:spacing w:val="-1"/>
        </w:rPr>
        <w:t>combination</w:t>
      </w:r>
      <w:r>
        <w:t xml:space="preserve"> </w:t>
      </w:r>
      <w:r>
        <w:rPr>
          <w:spacing w:val="-1"/>
        </w:rPr>
        <w:t>with</w:t>
      </w:r>
      <w:r>
        <w:rPr>
          <w:spacing w:val="71"/>
        </w:rPr>
        <w:t xml:space="preserve"> </w:t>
      </w:r>
      <w:r>
        <w:rPr>
          <w:spacing w:val="-1"/>
        </w:rPr>
        <w:t>dexamethasone.</w:t>
      </w:r>
      <w:r>
        <w:rPr>
          <w:spacing w:val="-3"/>
        </w:rPr>
        <w:t xml:space="preserve"> </w:t>
      </w:r>
      <w:r>
        <w:rPr>
          <w:spacing w:val="-1"/>
        </w:rPr>
        <w:t>Treatment</w:t>
      </w:r>
      <w:r>
        <w:rPr>
          <w:spacing w:val="1"/>
        </w:rPr>
        <w:t xml:space="preserve"> </w:t>
      </w:r>
      <w:r>
        <w:rPr>
          <w:spacing w:val="-1"/>
        </w:rPr>
        <w:t>should</w:t>
      </w:r>
      <w:r>
        <w:t xml:space="preserve"> be </w:t>
      </w:r>
      <w:r>
        <w:rPr>
          <w:spacing w:val="-1"/>
        </w:rPr>
        <w:t>continued</w:t>
      </w:r>
      <w:r>
        <w:t xml:space="preserve"> </w:t>
      </w:r>
      <w:r>
        <w:rPr>
          <w:spacing w:val="-1"/>
        </w:rPr>
        <w:t>until</w:t>
      </w:r>
      <w:r>
        <w:rPr>
          <w:spacing w:val="1"/>
        </w:rPr>
        <w:t xml:space="preserve"> </w:t>
      </w:r>
      <w:r>
        <w:rPr>
          <w:spacing w:val="-1"/>
        </w:rPr>
        <w:t>disease</w:t>
      </w:r>
      <w:r>
        <w:t xml:space="preserve"> </w:t>
      </w:r>
      <w:r>
        <w:rPr>
          <w:spacing w:val="-1"/>
        </w:rPr>
        <w:t>progression</w:t>
      </w:r>
      <w:r>
        <w:rPr>
          <w:spacing w:val="-3"/>
        </w:rPr>
        <w:t xml:space="preserve"> </w:t>
      </w:r>
      <w:r>
        <w:t>or</w:t>
      </w:r>
      <w:r>
        <w:rPr>
          <w:spacing w:val="1"/>
        </w:rPr>
        <w:t xml:space="preserve"> </w:t>
      </w:r>
      <w:r>
        <w:rPr>
          <w:spacing w:val="-1"/>
        </w:rPr>
        <w:t>unaccep</w:t>
      </w:r>
      <w:r w:rsidR="008820D9">
        <w:rPr>
          <w:spacing w:val="-1"/>
        </w:rPr>
        <w:t>table t</w:t>
      </w:r>
      <w:r>
        <w:rPr>
          <w:spacing w:val="-1"/>
        </w:rPr>
        <w:t>oxicity.</w:t>
      </w:r>
    </w:p>
    <w:p w:rsidR="00115841" w:rsidRDefault="00115841" w:rsidP="00115841">
      <w:pPr>
        <w:spacing w:before="1"/>
        <w:rPr>
          <w:rFonts w:eastAsia="Times New Roman"/>
        </w:rPr>
      </w:pPr>
    </w:p>
    <w:p w:rsidR="00115841" w:rsidRDefault="00115841" w:rsidP="00115841">
      <w:pPr>
        <w:widowControl w:val="0"/>
        <w:numPr>
          <w:ilvl w:val="3"/>
          <w:numId w:val="102"/>
        </w:numPr>
        <w:tabs>
          <w:tab w:val="left" w:pos="959"/>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0" w:type="auto"/>
        <w:tblInd w:w="2390" w:type="dxa"/>
        <w:tblLayout w:type="fixed"/>
        <w:tblCellMar>
          <w:left w:w="0" w:type="dxa"/>
          <w:right w:w="0" w:type="dxa"/>
        </w:tblCellMar>
        <w:tblLook w:val="01E0" w:firstRow="1" w:lastRow="1" w:firstColumn="1" w:lastColumn="1" w:noHBand="0" w:noVBand="0"/>
      </w:tblPr>
      <w:tblGrid>
        <w:gridCol w:w="2842"/>
        <w:gridCol w:w="2481"/>
      </w:tblGrid>
      <w:tr w:rsidR="00115841" w:rsidTr="00C13AFC">
        <w:trPr>
          <w:trHeight w:hRule="exact" w:val="261"/>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sz w:val="14"/>
                <w:szCs w:val="14"/>
              </w:rPr>
            </w:pPr>
            <w:r>
              <w:rPr>
                <w:rFonts w:ascii="Times New Roman"/>
                <w:spacing w:val="-1"/>
              </w:rPr>
              <w:t>Lenalidomide</w:t>
            </w:r>
            <w:r>
              <w:rPr>
                <w:rFonts w:ascii="Times New Roman"/>
                <w:spacing w:val="-1"/>
                <w:position w:val="8"/>
                <w:sz w:val="14"/>
              </w:rPr>
              <w:t>a</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2"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2" w:lineRule="exact"/>
              <w:ind w:right="3"/>
              <w:jc w:val="center"/>
              <w:rPr>
                <w:rFonts w:ascii="Times New Roman" w:eastAsia="Times New Roman" w:hAnsi="Times New Roman" w:cs="Times New Roman"/>
              </w:rPr>
            </w:pPr>
            <w:r>
              <w:rPr>
                <w:rFonts w:ascii="Times New Roman"/>
              </w:rPr>
              <w:t xml:space="preserve">25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-1</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ind w:right="3"/>
              <w:jc w:val="center"/>
              <w:rPr>
                <w:rFonts w:ascii="Times New Roman" w:eastAsia="Times New Roman" w:hAnsi="Times New Roman" w:cs="Times New Roman"/>
              </w:rPr>
            </w:pPr>
            <w:r>
              <w:rPr>
                <w:rFonts w:ascii="Times New Roman"/>
              </w:rPr>
              <w:t xml:space="preserve">20 </w:t>
            </w:r>
            <w:r>
              <w:rPr>
                <w:rFonts w:ascii="Times New Roman"/>
                <w:spacing w:val="-1"/>
              </w:rPr>
              <w:t>mg</w:t>
            </w:r>
          </w:p>
        </w:tc>
      </w:tr>
      <w:tr w:rsidR="00115841" w:rsidTr="00C13AFC">
        <w:trPr>
          <w:trHeight w:hRule="exact" w:val="261"/>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-2</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ind w:right="3"/>
              <w:jc w:val="center"/>
              <w:rPr>
                <w:rFonts w:ascii="Times New Roman" w:eastAsia="Times New Roman" w:hAnsi="Times New Roman" w:cs="Times New Roman"/>
              </w:rPr>
            </w:pPr>
            <w:r>
              <w:rPr>
                <w:rFonts w:ascii="Times New Roman"/>
              </w:rPr>
              <w:t xml:space="preserve">15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-3</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ind w:right="3"/>
              <w:jc w:val="center"/>
              <w:rPr>
                <w:rFonts w:ascii="Times New Roman" w:eastAsia="Times New Roman" w:hAnsi="Times New Roman" w:cs="Times New Roman"/>
              </w:rPr>
            </w:pPr>
            <w:r>
              <w:rPr>
                <w:rFonts w:ascii="Times New Roman"/>
              </w:rPr>
              <w:t xml:space="preserve">10 </w:t>
            </w:r>
            <w:r>
              <w:rPr>
                <w:rFonts w:ascii="Times New Roman"/>
                <w:spacing w:val="-1"/>
              </w:rPr>
              <w:t>mg</w:t>
            </w:r>
          </w:p>
        </w:tc>
      </w:tr>
      <w:tr w:rsidR="00115841" w:rsidTr="00C13AFC">
        <w:trPr>
          <w:trHeight w:hRule="exact" w:val="262"/>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4"/>
              </w:rPr>
              <w:t xml:space="preserve"> </w:t>
            </w:r>
            <w:r>
              <w:rPr>
                <w:rFonts w:ascii="Times New Roman"/>
              </w:rPr>
              <w:t>4</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ind w:right="2"/>
              <w:jc w:val="center"/>
              <w:rPr>
                <w:rFonts w:ascii="Times New Roman" w:eastAsia="Times New Roman" w:hAnsi="Times New Roman" w:cs="Times New Roman"/>
              </w:rPr>
            </w:pPr>
            <w:r>
              <w:rPr>
                <w:rFonts w:ascii="Times New Roman"/>
              </w:rPr>
              <w:t xml:space="preserve">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-5</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4273C8">
            <w:pPr>
              <w:pStyle w:val="TableParagraph"/>
              <w:spacing w:line="251" w:lineRule="exact"/>
              <w:jc w:val="center"/>
              <w:rPr>
                <w:rFonts w:ascii="Times New Roman" w:eastAsia="Times New Roman" w:hAnsi="Times New Roman" w:cs="Times New Roman"/>
              </w:rPr>
            </w:pPr>
            <w:r>
              <w:rPr>
                <w:rFonts w:ascii="Times New Roman"/>
              </w:rPr>
              <w:t xml:space="preserve">2.5 </w:t>
            </w:r>
            <w:r>
              <w:rPr>
                <w:rFonts w:ascii="Times New Roman"/>
                <w:spacing w:val="-1"/>
              </w:rPr>
              <w:t>mg</w:t>
            </w:r>
          </w:p>
        </w:tc>
      </w:tr>
    </w:tbl>
    <w:p w:rsidR="00115841" w:rsidRDefault="00115841" w:rsidP="00115841">
      <w:pPr>
        <w:rPr>
          <w:rFonts w:eastAsia="Times New Roman"/>
          <w:sz w:val="16"/>
          <w:szCs w:val="16"/>
        </w:rPr>
      </w:pPr>
      <w:r>
        <w:rPr>
          <w:sz w:val="16"/>
        </w:rPr>
        <w:t>ª</w:t>
      </w:r>
      <w:r>
        <w:rPr>
          <w:spacing w:val="-1"/>
          <w:sz w:val="16"/>
        </w:rPr>
        <w:t xml:space="preserve"> Dose reduction for</w:t>
      </w:r>
      <w:r>
        <w:rPr>
          <w:sz w:val="16"/>
        </w:rPr>
        <w:t xml:space="preserve"> </w:t>
      </w:r>
      <w:r>
        <w:rPr>
          <w:spacing w:val="-1"/>
          <w:sz w:val="16"/>
        </w:rPr>
        <w:t>all products</w:t>
      </w:r>
      <w:r>
        <w:rPr>
          <w:spacing w:val="-2"/>
          <w:sz w:val="16"/>
        </w:rPr>
        <w:t xml:space="preserve"> </w:t>
      </w:r>
      <w:r>
        <w:rPr>
          <w:spacing w:val="-1"/>
          <w:sz w:val="16"/>
        </w:rPr>
        <w:t>can</w:t>
      </w:r>
      <w:r>
        <w:rPr>
          <w:spacing w:val="-3"/>
          <w:sz w:val="16"/>
        </w:rPr>
        <w:t xml:space="preserve"> </w:t>
      </w:r>
      <w:r>
        <w:rPr>
          <w:sz w:val="16"/>
        </w:rPr>
        <w:t>be</w:t>
      </w:r>
      <w:r>
        <w:rPr>
          <w:spacing w:val="-1"/>
          <w:sz w:val="16"/>
        </w:rPr>
        <w:t xml:space="preserve"> managed independently</w:t>
      </w:r>
    </w:p>
    <w:p w:rsidR="00115841" w:rsidRDefault="00115841" w:rsidP="00115841">
      <w:pPr>
        <w:spacing w:before="9"/>
        <w:rPr>
          <w:rFonts w:eastAsia="Times New Roman"/>
          <w:sz w:val="21"/>
          <w:szCs w:val="21"/>
        </w:rPr>
      </w:pPr>
    </w:p>
    <w:p w:rsidR="00115841" w:rsidRPr="00115841" w:rsidRDefault="00115841" w:rsidP="00115841">
      <w:pPr>
        <w:widowControl w:val="0"/>
        <w:numPr>
          <w:ilvl w:val="3"/>
          <w:numId w:val="102"/>
        </w:numPr>
        <w:tabs>
          <w:tab w:val="left" w:pos="959"/>
        </w:tabs>
        <w:ind w:left="0" w:firstLine="0"/>
        <w:rPr>
          <w:rFonts w:eastAsia="Times New Roman"/>
        </w:rPr>
      </w:pPr>
      <w:r>
        <w:rPr>
          <w:i/>
          <w:spacing w:val="-1"/>
        </w:rPr>
        <w:t>Thrombocytopenia</w:t>
      </w:r>
    </w:p>
    <w:p w:rsidR="00115841" w:rsidRDefault="00115841" w:rsidP="00115841">
      <w:pPr>
        <w:spacing w:line="20" w:lineRule="atLeast"/>
        <w:rPr>
          <w:rFonts w:eastAsia="Times New Roman"/>
          <w:sz w:val="2"/>
          <w:szCs w:val="2"/>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836F8D" w:rsidRPr="00F30CC0" w:rsidTr="00B85F0C">
        <w:tc>
          <w:tcPr>
            <w:tcW w:w="4637" w:type="dxa"/>
            <w:tcBorders>
              <w:bottom w:val="single" w:sz="4" w:space="0" w:color="auto"/>
            </w:tcBorders>
          </w:tcPr>
          <w:p w:rsidR="00836F8D" w:rsidRPr="00F30CC0" w:rsidRDefault="00836F8D" w:rsidP="00B85F0C">
            <w:r w:rsidRPr="00F30CC0">
              <w:t>When platelets</w:t>
            </w:r>
          </w:p>
        </w:tc>
        <w:tc>
          <w:tcPr>
            <w:tcW w:w="5286" w:type="dxa"/>
            <w:tcBorders>
              <w:bottom w:val="single" w:sz="4" w:space="0" w:color="auto"/>
            </w:tcBorders>
          </w:tcPr>
          <w:p w:rsidR="00836F8D" w:rsidRPr="00F30CC0" w:rsidRDefault="00836F8D" w:rsidP="00B85F0C">
            <w:r w:rsidRPr="00F30CC0">
              <w:t>Recommended course</w:t>
            </w:r>
          </w:p>
        </w:tc>
      </w:tr>
      <w:tr w:rsidR="00836F8D" w:rsidRPr="00F30CC0" w:rsidTr="00B85F0C">
        <w:tc>
          <w:tcPr>
            <w:tcW w:w="4637" w:type="dxa"/>
            <w:tcBorders>
              <w:top w:val="single" w:sz="4" w:space="0" w:color="auto"/>
              <w:bottom w:val="single" w:sz="4" w:space="0" w:color="auto"/>
            </w:tcBorders>
          </w:tcPr>
          <w:p w:rsidR="00836F8D" w:rsidRPr="00F30CC0" w:rsidRDefault="00836F8D" w:rsidP="00B85F0C">
            <w:r>
              <w:t>Falls to &lt; 30</w:t>
            </w:r>
            <w:r w:rsidRPr="00F30CC0">
              <w:t xml:space="preserve"> x 10</w:t>
            </w:r>
            <w:r w:rsidRPr="00F30CC0">
              <w:rPr>
                <w:vertAlign w:val="superscript"/>
              </w:rPr>
              <w:t>9</w:t>
            </w:r>
            <w:r w:rsidRPr="00F30CC0">
              <w:t>/L</w:t>
            </w:r>
          </w:p>
          <w:p w:rsidR="00836F8D" w:rsidRPr="00F30CC0" w:rsidRDefault="00836F8D" w:rsidP="00B85F0C">
            <w:r w:rsidRPr="00771287">
              <w:t xml:space="preserve">Returns to ≥ </w:t>
            </w:r>
            <w:r>
              <w:t>50</w:t>
            </w:r>
            <w:r w:rsidRPr="00771287">
              <w:t xml:space="preserve"> x 1</w:t>
            </w:r>
            <w:r>
              <w:t>0</w:t>
            </w:r>
            <w:r w:rsidRPr="00771287">
              <w:rPr>
                <w:vertAlign w:val="superscript"/>
              </w:rPr>
              <w:t>9</w:t>
            </w:r>
            <w:r>
              <w:t xml:space="preserve">/L </w:t>
            </w:r>
          </w:p>
        </w:tc>
        <w:tc>
          <w:tcPr>
            <w:tcW w:w="5286" w:type="dxa"/>
            <w:tcBorders>
              <w:top w:val="single" w:sz="4" w:space="0" w:color="auto"/>
              <w:bottom w:val="single" w:sz="4" w:space="0" w:color="auto"/>
            </w:tcBorders>
          </w:tcPr>
          <w:p w:rsidR="00836F8D" w:rsidRDefault="00836F8D" w:rsidP="00B85F0C">
            <w:r w:rsidRPr="00F30CC0">
              <w:t xml:space="preserve">Interrupt lenalidomide treatment </w:t>
            </w:r>
          </w:p>
          <w:p w:rsidR="00836F8D" w:rsidRPr="00F30CC0" w:rsidRDefault="00836F8D" w:rsidP="00B85F0C">
            <w:r>
              <w:t>Resume</w:t>
            </w:r>
            <w:r w:rsidRPr="00F30CC0">
              <w:t xml:space="preserve"> </w:t>
            </w:r>
            <w:r w:rsidR="005B0414" w:rsidRPr="00F30CC0">
              <w:t xml:space="preserve">lenalidomide </w:t>
            </w:r>
            <w:r w:rsidRPr="00F30CC0">
              <w:t xml:space="preserve">at </w:t>
            </w:r>
            <w:r>
              <w:t>d</w:t>
            </w:r>
            <w:r w:rsidRPr="00F30CC0">
              <w:t>ose level -1</w:t>
            </w:r>
            <w:r>
              <w:t xml:space="preserve"> once daily</w:t>
            </w:r>
          </w:p>
        </w:tc>
      </w:tr>
      <w:tr w:rsidR="00836F8D" w:rsidRPr="00F30CC0" w:rsidTr="00B85F0C">
        <w:tc>
          <w:tcPr>
            <w:tcW w:w="4637" w:type="dxa"/>
            <w:tcBorders>
              <w:top w:val="single" w:sz="4" w:space="0" w:color="auto"/>
            </w:tcBorders>
          </w:tcPr>
          <w:p w:rsidR="00836F8D" w:rsidRDefault="00836F8D" w:rsidP="00B85F0C">
            <w:r w:rsidRPr="00F30CC0">
              <w:t>For each subsequent drop below 30 x 10</w:t>
            </w:r>
            <w:r w:rsidRPr="00F30CC0">
              <w:rPr>
                <w:vertAlign w:val="superscript"/>
              </w:rPr>
              <w:t>9</w:t>
            </w:r>
            <w:r w:rsidRPr="00F30CC0">
              <w:t xml:space="preserve">/L </w:t>
            </w:r>
          </w:p>
          <w:p w:rsidR="00836F8D" w:rsidRPr="00F30CC0" w:rsidRDefault="00836F8D" w:rsidP="00B85F0C">
            <w:r w:rsidRPr="00F30CC0">
              <w:t>Return</w:t>
            </w:r>
            <w:r>
              <w:t>s to ≥ 5</w:t>
            </w:r>
            <w:r w:rsidRPr="00F30CC0">
              <w:t>0 x 10</w:t>
            </w:r>
            <w:r w:rsidRPr="00F30CC0">
              <w:rPr>
                <w:vertAlign w:val="superscript"/>
              </w:rPr>
              <w:t>9</w:t>
            </w:r>
            <w:r w:rsidRPr="00F30CC0">
              <w:t>/L</w:t>
            </w:r>
          </w:p>
        </w:tc>
        <w:tc>
          <w:tcPr>
            <w:tcW w:w="5286" w:type="dxa"/>
            <w:tcBorders>
              <w:top w:val="single" w:sz="4" w:space="0" w:color="auto"/>
            </w:tcBorders>
          </w:tcPr>
          <w:p w:rsidR="00836F8D" w:rsidRDefault="00836F8D" w:rsidP="00B85F0C">
            <w:r w:rsidRPr="00F30CC0">
              <w:t xml:space="preserve">Interrupt lenalidomide treatment </w:t>
            </w:r>
          </w:p>
          <w:p w:rsidR="00836F8D" w:rsidRPr="00F30CC0" w:rsidRDefault="00836F8D" w:rsidP="00B85F0C">
            <w:r w:rsidRPr="00F30CC0">
              <w:t xml:space="preserve">Resume lenalidomide </w:t>
            </w:r>
            <w:r>
              <w:t>at next lower dose level once daily</w:t>
            </w:r>
          </w:p>
        </w:tc>
      </w:tr>
    </w:tbl>
    <w:p w:rsidR="00836F8D" w:rsidRDefault="00836F8D" w:rsidP="00115841">
      <w:pPr>
        <w:spacing w:before="9"/>
        <w:rPr>
          <w:rFonts w:eastAsia="Times New Roman"/>
          <w:sz w:val="17"/>
          <w:szCs w:val="17"/>
        </w:rPr>
      </w:pPr>
    </w:p>
    <w:p w:rsidR="00115841" w:rsidRPr="00836F8D" w:rsidRDefault="00115841" w:rsidP="00115841">
      <w:pPr>
        <w:widowControl w:val="0"/>
        <w:numPr>
          <w:ilvl w:val="3"/>
          <w:numId w:val="102"/>
        </w:numPr>
        <w:tabs>
          <w:tab w:val="left" w:pos="959"/>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836F8D">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836F8D" w:rsidTr="00B85F0C">
        <w:tc>
          <w:tcPr>
            <w:tcW w:w="5069" w:type="dxa"/>
            <w:tcBorders>
              <w:bottom w:val="single" w:sz="4" w:space="0" w:color="auto"/>
            </w:tcBorders>
          </w:tcPr>
          <w:p w:rsidR="00836F8D" w:rsidRDefault="00836F8D" w:rsidP="00B85F0C">
            <w:pPr>
              <w:ind w:right="1020"/>
            </w:pPr>
            <w:r>
              <w:rPr>
                <w:rFonts w:eastAsia="Times New Roman"/>
              </w:rPr>
              <w:t>When ANC</w:t>
            </w:r>
          </w:p>
        </w:tc>
        <w:tc>
          <w:tcPr>
            <w:tcW w:w="5069" w:type="dxa"/>
            <w:tcBorders>
              <w:bottom w:val="single" w:sz="4" w:space="0" w:color="auto"/>
            </w:tcBorders>
          </w:tcPr>
          <w:p w:rsidR="00836F8D" w:rsidRDefault="00836F8D" w:rsidP="00B85F0C">
            <w:pPr>
              <w:ind w:right="1020"/>
            </w:pPr>
            <w:r>
              <w:rPr>
                <w:rFonts w:eastAsia="Times New Roman"/>
              </w:rPr>
              <w:t>Recommended course</w:t>
            </w:r>
            <w:r w:rsidR="00565D31">
              <w:rPr>
                <w:rFonts w:eastAsia="Times New Roman"/>
                <w:vertAlign w:val="superscript"/>
              </w:rPr>
              <w:t>a</w:t>
            </w:r>
          </w:p>
        </w:tc>
      </w:tr>
      <w:tr w:rsidR="00836F8D" w:rsidTr="00B85F0C">
        <w:tc>
          <w:tcPr>
            <w:tcW w:w="5069" w:type="dxa"/>
            <w:tcBorders>
              <w:top w:val="single" w:sz="4" w:space="0" w:color="auto"/>
              <w:bottom w:val="single" w:sz="4" w:space="0" w:color="auto"/>
            </w:tcBorders>
          </w:tcPr>
          <w:p w:rsidR="00836F8D" w:rsidRPr="00052277" w:rsidRDefault="00836F8D" w:rsidP="00B85F0C">
            <w:pPr>
              <w:rPr>
                <w:rFonts w:eastAsia="Times New Roman"/>
              </w:rPr>
            </w:pPr>
            <w:r>
              <w:t>F</w:t>
            </w:r>
            <w:r w:rsidRPr="00052277">
              <w:rPr>
                <w:rFonts w:eastAsia="Times New Roman"/>
              </w:rPr>
              <w:t>all</w:t>
            </w:r>
            <w:r>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836F8D" w:rsidRPr="00052277" w:rsidRDefault="00836F8D" w:rsidP="00B85F0C">
            <w:r w:rsidRPr="00052277">
              <w:t>Return</w:t>
            </w:r>
            <w:r>
              <w:t>s to ≥ 1</w:t>
            </w:r>
            <w:r w:rsidRPr="00052277">
              <w:t xml:space="preserve"> x 10</w:t>
            </w:r>
            <w:r w:rsidRPr="00052277">
              <w:rPr>
                <w:vertAlign w:val="superscript"/>
              </w:rPr>
              <w:t>9</w:t>
            </w:r>
            <w:r w:rsidRPr="00052277">
              <w:t>/L when neutropenia is the only</w:t>
            </w:r>
          </w:p>
          <w:p w:rsidR="00836F8D" w:rsidRDefault="00836F8D" w:rsidP="00B85F0C">
            <w:pPr>
              <w:rPr>
                <w:sz w:val="20"/>
                <w:szCs w:val="20"/>
              </w:rPr>
            </w:pPr>
            <w:r w:rsidRPr="00052277">
              <w:t>observed toxicity</w:t>
            </w:r>
          </w:p>
        </w:tc>
        <w:tc>
          <w:tcPr>
            <w:tcW w:w="5069" w:type="dxa"/>
            <w:tcBorders>
              <w:top w:val="single" w:sz="4" w:space="0" w:color="auto"/>
              <w:bottom w:val="single" w:sz="4" w:space="0" w:color="auto"/>
            </w:tcBorders>
          </w:tcPr>
          <w:p w:rsidR="00836F8D" w:rsidRDefault="00836F8D" w:rsidP="00B85F0C">
            <w:pPr>
              <w:ind w:right="1020"/>
              <w:rPr>
                <w:rFonts w:eastAsia="Times New Roman"/>
              </w:rPr>
            </w:pPr>
            <w:r>
              <w:rPr>
                <w:rFonts w:eastAsia="Times New Roman"/>
              </w:rPr>
              <w:t>Interrupt lenalidomide treatment</w:t>
            </w:r>
          </w:p>
          <w:p w:rsidR="00836F8D" w:rsidRDefault="00836F8D" w:rsidP="00B85F0C">
            <w:pPr>
              <w:ind w:right="424"/>
            </w:pPr>
            <w:r>
              <w:rPr>
                <w:rFonts w:eastAsia="Times New Roman"/>
              </w:rPr>
              <w:t>Resume lenalidomide at starting dose once daily</w:t>
            </w:r>
          </w:p>
        </w:tc>
      </w:tr>
      <w:tr w:rsidR="00836F8D" w:rsidTr="00B85F0C">
        <w:tc>
          <w:tcPr>
            <w:tcW w:w="5069" w:type="dxa"/>
            <w:tcBorders>
              <w:top w:val="single" w:sz="4" w:space="0" w:color="auto"/>
              <w:bottom w:val="single" w:sz="4" w:space="0" w:color="auto"/>
            </w:tcBorders>
          </w:tcPr>
          <w:p w:rsidR="00836F8D" w:rsidRDefault="00836F8D" w:rsidP="00B85F0C">
            <w:pPr>
              <w:rPr>
                <w:sz w:val="20"/>
                <w:szCs w:val="20"/>
              </w:rPr>
            </w:pPr>
            <w:r>
              <w:rPr>
                <w:rFonts w:eastAsia="Times New Roman"/>
              </w:rPr>
              <w:t>Returns to ≥ 0.5 x 10</w:t>
            </w:r>
            <w:r>
              <w:rPr>
                <w:rFonts w:eastAsia="Times New Roman"/>
                <w:sz w:val="27"/>
                <w:szCs w:val="27"/>
                <w:vertAlign w:val="superscript"/>
              </w:rPr>
              <w:t>9</w:t>
            </w:r>
            <w:r>
              <w:rPr>
                <w:rFonts w:eastAsia="Times New Roman"/>
              </w:rPr>
              <w:t>/L when dose-dependent haematological toxicities other than neutropenia are observed</w:t>
            </w:r>
          </w:p>
        </w:tc>
        <w:tc>
          <w:tcPr>
            <w:tcW w:w="5069" w:type="dxa"/>
            <w:tcBorders>
              <w:top w:val="single" w:sz="4" w:space="0" w:color="auto"/>
              <w:bottom w:val="single" w:sz="4" w:space="0" w:color="auto"/>
            </w:tcBorders>
          </w:tcPr>
          <w:p w:rsidR="00836F8D" w:rsidRDefault="00836F8D" w:rsidP="00B85F0C">
            <w:pPr>
              <w:ind w:right="1020"/>
            </w:pPr>
            <w:r>
              <w:rPr>
                <w:rFonts w:eastAsia="Times New Roman"/>
              </w:rPr>
              <w:t>Resume lenalidomide at dose level -1 once daily</w:t>
            </w:r>
          </w:p>
        </w:tc>
      </w:tr>
      <w:tr w:rsidR="00836F8D" w:rsidTr="00B85F0C">
        <w:tc>
          <w:tcPr>
            <w:tcW w:w="5069" w:type="dxa"/>
            <w:tcBorders>
              <w:top w:val="single" w:sz="4" w:space="0" w:color="auto"/>
              <w:bottom w:val="single" w:sz="4" w:space="0" w:color="auto"/>
            </w:tcBorders>
          </w:tcPr>
          <w:p w:rsidR="00836F8D" w:rsidRDefault="00836F8D" w:rsidP="00B85F0C">
            <w:r>
              <w:rPr>
                <w:rFonts w:eastAsia="Times New Roman"/>
              </w:rPr>
              <w:t>For each subsequent drop below &lt; 0.5 x 10</w:t>
            </w:r>
            <w:r>
              <w:rPr>
                <w:rFonts w:eastAsia="Times New Roman"/>
                <w:sz w:val="27"/>
                <w:szCs w:val="27"/>
                <w:vertAlign w:val="superscript"/>
              </w:rPr>
              <w:t>9</w:t>
            </w:r>
            <w:r>
              <w:rPr>
                <w:rFonts w:eastAsia="Times New Roman"/>
              </w:rPr>
              <w:t>/L Returns</w:t>
            </w:r>
            <w:r>
              <w:t xml:space="preserve"> </w:t>
            </w:r>
            <w:r>
              <w:rPr>
                <w:rFonts w:eastAsia="Times New Roman"/>
              </w:rPr>
              <w:t>to ≥ 0.5 x 10</w:t>
            </w:r>
            <w:r>
              <w:rPr>
                <w:rFonts w:eastAsia="Times New Roman"/>
                <w:sz w:val="27"/>
                <w:szCs w:val="27"/>
                <w:vertAlign w:val="superscript"/>
              </w:rPr>
              <w:t>9</w:t>
            </w:r>
            <w:r>
              <w:rPr>
                <w:rFonts w:eastAsia="Times New Roman"/>
              </w:rPr>
              <w:t>/L</w:t>
            </w:r>
          </w:p>
        </w:tc>
        <w:tc>
          <w:tcPr>
            <w:tcW w:w="5069" w:type="dxa"/>
            <w:tcBorders>
              <w:top w:val="single" w:sz="4" w:space="0" w:color="auto"/>
              <w:bottom w:val="single" w:sz="4" w:space="0" w:color="auto"/>
            </w:tcBorders>
          </w:tcPr>
          <w:p w:rsidR="00836F8D" w:rsidRDefault="00836F8D" w:rsidP="00B85F0C">
            <w:pPr>
              <w:ind w:right="1020"/>
              <w:rPr>
                <w:rFonts w:eastAsia="Times New Roman"/>
              </w:rPr>
            </w:pPr>
            <w:r>
              <w:rPr>
                <w:rFonts w:eastAsia="Times New Roman"/>
              </w:rPr>
              <w:t xml:space="preserve">Interrupt lenalidomide treatment </w:t>
            </w:r>
          </w:p>
          <w:p w:rsidR="00836F8D" w:rsidRPr="003B2466" w:rsidRDefault="00836F8D" w:rsidP="00B85F0C">
            <w:pPr>
              <w:ind w:right="566"/>
              <w:rPr>
                <w:sz w:val="20"/>
                <w:szCs w:val="20"/>
              </w:rPr>
            </w:pPr>
            <w:r>
              <w:rPr>
                <w:rFonts w:eastAsia="Times New Roman"/>
              </w:rPr>
              <w:t xml:space="preserve">Resume lenalidomide at next lower dose level once daily. </w:t>
            </w:r>
          </w:p>
        </w:tc>
      </w:tr>
    </w:tbl>
    <w:p w:rsidR="00115841" w:rsidRDefault="00115841" w:rsidP="00115841">
      <w:pPr>
        <w:spacing w:line="20" w:lineRule="atLeast"/>
        <w:rPr>
          <w:rFonts w:eastAsia="Times New Roman"/>
          <w:sz w:val="2"/>
          <w:szCs w:val="2"/>
        </w:rPr>
      </w:pPr>
    </w:p>
    <w:p w:rsidR="00115841" w:rsidRDefault="00115841" w:rsidP="00836F8D">
      <w:pPr>
        <w:spacing w:line="20" w:lineRule="atLeast"/>
        <w:rPr>
          <w:rFonts w:eastAsia="Times New Roman"/>
          <w:sz w:val="2"/>
          <w:szCs w:val="2"/>
        </w:rPr>
      </w:pPr>
    </w:p>
    <w:p w:rsidR="00115841" w:rsidRDefault="00115841" w:rsidP="00836F8D">
      <w:pPr>
        <w:ind w:right="433"/>
        <w:rPr>
          <w:rFonts w:eastAsia="Times New Roman"/>
          <w:sz w:val="16"/>
          <w:szCs w:val="16"/>
        </w:rPr>
      </w:pPr>
      <w:r>
        <w:rPr>
          <w:rFonts w:eastAsia="Times New Roman"/>
          <w:position w:val="6"/>
          <w:sz w:val="10"/>
          <w:szCs w:val="10"/>
        </w:rPr>
        <w:t>a</w:t>
      </w:r>
      <w:r w:rsidR="00080085">
        <w:rPr>
          <w:rFonts w:eastAsia="Times New Roman"/>
          <w:spacing w:val="16"/>
          <w:position w:val="6"/>
          <w:sz w:val="10"/>
          <w:szCs w:val="10"/>
        </w:rPr>
        <w:t xml:space="preserve"> </w:t>
      </w:r>
      <w:r>
        <w:rPr>
          <w:rFonts w:eastAsia="Times New Roman"/>
          <w:spacing w:val="-2"/>
          <w:sz w:val="16"/>
          <w:szCs w:val="16"/>
        </w:rPr>
        <w:t>At</w:t>
      </w:r>
      <w:r>
        <w:rPr>
          <w:rFonts w:eastAsia="Times New Roman"/>
          <w:spacing w:val="1"/>
          <w:sz w:val="16"/>
          <w:szCs w:val="16"/>
        </w:rPr>
        <w:t xml:space="preserve"> </w:t>
      </w:r>
      <w:r>
        <w:rPr>
          <w:rFonts w:eastAsia="Times New Roman"/>
          <w:spacing w:val="-1"/>
          <w:sz w:val="16"/>
          <w:szCs w:val="16"/>
        </w:rPr>
        <w:t>the physician’s</w:t>
      </w:r>
      <w:r>
        <w:rPr>
          <w:rFonts w:eastAsia="Times New Roman"/>
          <w:spacing w:val="-2"/>
          <w:sz w:val="16"/>
          <w:szCs w:val="16"/>
        </w:rPr>
        <w:t xml:space="preserve"> </w:t>
      </w:r>
      <w:r>
        <w:rPr>
          <w:rFonts w:eastAsia="Times New Roman"/>
          <w:spacing w:val="-1"/>
          <w:sz w:val="16"/>
          <w:szCs w:val="16"/>
        </w:rPr>
        <w:t xml:space="preserve">discretion, </w:t>
      </w:r>
      <w:r>
        <w:rPr>
          <w:rFonts w:eastAsia="Times New Roman"/>
          <w:sz w:val="16"/>
          <w:szCs w:val="16"/>
        </w:rPr>
        <w:t>if</w:t>
      </w:r>
      <w:r>
        <w:rPr>
          <w:rFonts w:eastAsia="Times New Roman"/>
          <w:spacing w:val="-3"/>
          <w:sz w:val="16"/>
          <w:szCs w:val="16"/>
        </w:rPr>
        <w:t xml:space="preserve"> </w:t>
      </w:r>
      <w:r>
        <w:rPr>
          <w:rFonts w:eastAsia="Times New Roman"/>
          <w:spacing w:val="-1"/>
          <w:sz w:val="16"/>
          <w:szCs w:val="16"/>
        </w:rPr>
        <w:t xml:space="preserve">neutropenia </w:t>
      </w:r>
      <w:r>
        <w:rPr>
          <w:rFonts w:eastAsia="Times New Roman"/>
          <w:sz w:val="16"/>
          <w:szCs w:val="16"/>
        </w:rPr>
        <w:t>is</w:t>
      </w:r>
      <w:r>
        <w:rPr>
          <w:rFonts w:eastAsia="Times New Roman"/>
          <w:spacing w:val="-2"/>
          <w:sz w:val="16"/>
          <w:szCs w:val="16"/>
        </w:rPr>
        <w:t xml:space="preserve"> </w:t>
      </w:r>
      <w:r>
        <w:rPr>
          <w:rFonts w:eastAsia="Times New Roman"/>
          <w:sz w:val="16"/>
          <w:szCs w:val="16"/>
        </w:rPr>
        <w:t>the</w:t>
      </w:r>
      <w:r>
        <w:rPr>
          <w:rFonts w:eastAsia="Times New Roman"/>
          <w:spacing w:val="-1"/>
          <w:sz w:val="16"/>
          <w:szCs w:val="16"/>
        </w:rPr>
        <w:t xml:space="preserve"> only</w:t>
      </w:r>
      <w:r>
        <w:rPr>
          <w:rFonts w:eastAsia="Times New Roman"/>
          <w:spacing w:val="-3"/>
          <w:sz w:val="16"/>
          <w:szCs w:val="16"/>
        </w:rPr>
        <w:t xml:space="preserve"> </w:t>
      </w:r>
      <w:r>
        <w:rPr>
          <w:rFonts w:eastAsia="Times New Roman"/>
          <w:spacing w:val="-1"/>
          <w:sz w:val="16"/>
          <w:szCs w:val="16"/>
        </w:rPr>
        <w:t>toxicity</w:t>
      </w:r>
      <w:r>
        <w:rPr>
          <w:rFonts w:eastAsia="Times New Roman"/>
          <w:spacing w:val="-3"/>
          <w:sz w:val="16"/>
          <w:szCs w:val="16"/>
        </w:rPr>
        <w:t xml:space="preserve"> </w:t>
      </w:r>
      <w:r>
        <w:rPr>
          <w:rFonts w:eastAsia="Times New Roman"/>
          <w:sz w:val="16"/>
          <w:szCs w:val="16"/>
        </w:rPr>
        <w:t>at</w:t>
      </w:r>
      <w:r>
        <w:rPr>
          <w:rFonts w:eastAsia="Times New Roman"/>
          <w:spacing w:val="1"/>
          <w:sz w:val="16"/>
          <w:szCs w:val="16"/>
        </w:rPr>
        <w:t xml:space="preserve"> </w:t>
      </w:r>
      <w:r>
        <w:rPr>
          <w:rFonts w:eastAsia="Times New Roman"/>
          <w:spacing w:val="-1"/>
          <w:sz w:val="16"/>
          <w:szCs w:val="16"/>
        </w:rPr>
        <w:t>any</w:t>
      </w:r>
      <w:r>
        <w:rPr>
          <w:rFonts w:eastAsia="Times New Roman"/>
          <w:spacing w:val="-3"/>
          <w:sz w:val="16"/>
          <w:szCs w:val="16"/>
        </w:rPr>
        <w:t xml:space="preserve"> </w:t>
      </w:r>
      <w:r>
        <w:rPr>
          <w:rFonts w:eastAsia="Times New Roman"/>
          <w:sz w:val="16"/>
          <w:szCs w:val="16"/>
        </w:rPr>
        <w:t>dose</w:t>
      </w:r>
      <w:r>
        <w:rPr>
          <w:rFonts w:eastAsia="Times New Roman"/>
          <w:spacing w:val="-2"/>
          <w:sz w:val="16"/>
          <w:szCs w:val="16"/>
        </w:rPr>
        <w:t xml:space="preserve"> </w:t>
      </w:r>
      <w:r>
        <w:rPr>
          <w:rFonts w:eastAsia="Times New Roman"/>
          <w:spacing w:val="-1"/>
          <w:sz w:val="16"/>
          <w:szCs w:val="16"/>
        </w:rPr>
        <w:t>level,</w:t>
      </w:r>
      <w:r>
        <w:rPr>
          <w:rFonts w:eastAsia="Times New Roman"/>
          <w:spacing w:val="1"/>
          <w:sz w:val="16"/>
          <w:szCs w:val="16"/>
        </w:rPr>
        <w:t xml:space="preserve"> </w:t>
      </w:r>
      <w:r>
        <w:rPr>
          <w:rFonts w:eastAsia="Times New Roman"/>
          <w:spacing w:val="-1"/>
          <w:sz w:val="16"/>
          <w:szCs w:val="16"/>
        </w:rPr>
        <w:t>add</w:t>
      </w:r>
      <w:r>
        <w:rPr>
          <w:rFonts w:eastAsia="Times New Roman"/>
          <w:spacing w:val="2"/>
          <w:sz w:val="16"/>
          <w:szCs w:val="16"/>
        </w:rPr>
        <w:t xml:space="preserve"> </w:t>
      </w:r>
      <w:r>
        <w:rPr>
          <w:rFonts w:eastAsia="Times New Roman"/>
          <w:spacing w:val="-1"/>
          <w:sz w:val="16"/>
          <w:szCs w:val="16"/>
        </w:rPr>
        <w:t>granulocyte colony</w:t>
      </w:r>
      <w:r>
        <w:rPr>
          <w:rFonts w:eastAsia="Times New Roman"/>
          <w:spacing w:val="-3"/>
          <w:sz w:val="16"/>
          <w:szCs w:val="16"/>
        </w:rPr>
        <w:t xml:space="preserve"> </w:t>
      </w:r>
      <w:r>
        <w:rPr>
          <w:rFonts w:eastAsia="Times New Roman"/>
          <w:spacing w:val="-1"/>
          <w:sz w:val="16"/>
          <w:szCs w:val="16"/>
        </w:rPr>
        <w:t xml:space="preserve">stimulating factor </w:t>
      </w:r>
      <w:r>
        <w:rPr>
          <w:rFonts w:eastAsia="Times New Roman"/>
          <w:spacing w:val="-2"/>
          <w:sz w:val="16"/>
          <w:szCs w:val="16"/>
        </w:rPr>
        <w:t>(G-CSF)</w:t>
      </w:r>
      <w:r>
        <w:rPr>
          <w:rFonts w:eastAsia="Times New Roman"/>
          <w:sz w:val="16"/>
          <w:szCs w:val="16"/>
        </w:rPr>
        <w:t xml:space="preserve"> and</w:t>
      </w:r>
      <w:r>
        <w:rPr>
          <w:rFonts w:eastAsia="Times New Roman"/>
          <w:spacing w:val="1"/>
          <w:sz w:val="16"/>
          <w:szCs w:val="16"/>
        </w:rPr>
        <w:t xml:space="preserve"> </w:t>
      </w:r>
      <w:r>
        <w:rPr>
          <w:rFonts w:eastAsia="Times New Roman"/>
          <w:spacing w:val="-1"/>
          <w:sz w:val="16"/>
          <w:szCs w:val="16"/>
        </w:rPr>
        <w:t>maintain</w:t>
      </w:r>
      <w:r>
        <w:rPr>
          <w:rFonts w:eastAsia="Times New Roman"/>
          <w:spacing w:val="99"/>
          <w:sz w:val="16"/>
          <w:szCs w:val="16"/>
        </w:rPr>
        <w:t xml:space="preserve"> </w:t>
      </w:r>
      <w:r>
        <w:rPr>
          <w:rFonts w:eastAsia="Times New Roman"/>
          <w:sz w:val="16"/>
          <w:szCs w:val="16"/>
        </w:rPr>
        <w:t>the</w:t>
      </w:r>
      <w:r>
        <w:rPr>
          <w:rFonts w:eastAsia="Times New Roman"/>
          <w:spacing w:val="-4"/>
          <w:sz w:val="16"/>
          <w:szCs w:val="16"/>
        </w:rPr>
        <w:t xml:space="preserve"> </w:t>
      </w:r>
      <w:r>
        <w:rPr>
          <w:rFonts w:eastAsia="Times New Roman"/>
          <w:spacing w:val="-1"/>
          <w:sz w:val="16"/>
          <w:szCs w:val="16"/>
        </w:rPr>
        <w:t>dose</w:t>
      </w:r>
      <w:r>
        <w:rPr>
          <w:rFonts w:eastAsia="Times New Roman"/>
          <w:spacing w:val="-2"/>
          <w:sz w:val="16"/>
          <w:szCs w:val="16"/>
        </w:rPr>
        <w:t xml:space="preserve"> </w:t>
      </w:r>
      <w:r>
        <w:rPr>
          <w:rFonts w:eastAsia="Times New Roman"/>
          <w:spacing w:val="-1"/>
          <w:sz w:val="16"/>
          <w:szCs w:val="16"/>
        </w:rPr>
        <w:t>level of</w:t>
      </w:r>
      <w:r>
        <w:rPr>
          <w:rFonts w:eastAsia="Times New Roman"/>
          <w:sz w:val="16"/>
          <w:szCs w:val="16"/>
        </w:rPr>
        <w:t xml:space="preserve"> </w:t>
      </w:r>
      <w:r>
        <w:rPr>
          <w:rFonts w:eastAsia="Times New Roman"/>
          <w:spacing w:val="-1"/>
          <w:sz w:val="16"/>
          <w:szCs w:val="16"/>
        </w:rPr>
        <w:t>lenalidomide.</w:t>
      </w:r>
    </w:p>
    <w:p w:rsidR="006B7352" w:rsidRDefault="006B7352" w:rsidP="00AB7A9E"/>
    <w:p w:rsidR="00506994" w:rsidRPr="00335062" w:rsidRDefault="00506994" w:rsidP="004273C8">
      <w:pPr>
        <w:pStyle w:val="ListParagraph"/>
        <w:numPr>
          <w:ilvl w:val="0"/>
          <w:numId w:val="57"/>
        </w:numPr>
        <w:ind w:right="260"/>
      </w:pPr>
      <w:r w:rsidRPr="004273C8">
        <w:rPr>
          <w:rFonts w:eastAsia="Times New Roman"/>
          <w:iCs/>
          <w:u w:val="single"/>
        </w:rPr>
        <w:t xml:space="preserve">Lenalidomide in combination with melphalan and prednisone followed by </w:t>
      </w:r>
      <w:r w:rsidR="00847F91" w:rsidRPr="004273C8">
        <w:rPr>
          <w:rFonts w:eastAsia="Times New Roman"/>
          <w:iCs/>
          <w:u w:val="single"/>
        </w:rPr>
        <w:t xml:space="preserve">lenalidomide </w:t>
      </w:r>
      <w:r w:rsidRPr="004273C8">
        <w:rPr>
          <w:rFonts w:eastAsia="Times New Roman"/>
          <w:iCs/>
          <w:u w:val="single"/>
        </w:rPr>
        <w:t>maintenance in patients who are not eligible for transplant</w:t>
      </w:r>
    </w:p>
    <w:p w:rsidR="00506994" w:rsidRPr="00335062" w:rsidRDefault="00506994" w:rsidP="00AB7A9E">
      <w:pPr>
        <w:ind w:right="940"/>
      </w:pPr>
      <w:r w:rsidRPr="00335062">
        <w:rPr>
          <w:rFonts w:eastAsia="Times New Roman"/>
        </w:rPr>
        <w:t>Lenalidomide treatment must not be started if the ANC is &lt; 1.5 x 10</w:t>
      </w:r>
      <w:r w:rsidRPr="00335062">
        <w:rPr>
          <w:rFonts w:eastAsia="Times New Roman"/>
          <w:vertAlign w:val="superscript"/>
        </w:rPr>
        <w:t>9</w:t>
      </w:r>
      <w:r w:rsidRPr="00335062">
        <w:rPr>
          <w:rFonts w:eastAsia="Times New Roman"/>
        </w:rPr>
        <w:t xml:space="preserve">/L, and/or platelet counts are &lt; </w:t>
      </w:r>
      <w:r w:rsidR="004905DE">
        <w:rPr>
          <w:rFonts w:eastAsia="Times New Roman"/>
        </w:rPr>
        <w:t>7</w:t>
      </w:r>
      <w:r w:rsidRPr="00335062">
        <w:rPr>
          <w:rFonts w:eastAsia="Times New Roman"/>
        </w:rPr>
        <w:t>5 x 10</w:t>
      </w:r>
      <w:r w:rsidRPr="00335062">
        <w:rPr>
          <w:rFonts w:eastAsia="Times New Roman"/>
          <w:vertAlign w:val="superscript"/>
        </w:rPr>
        <w:t>9</w:t>
      </w:r>
      <w:r w:rsidRPr="00335062">
        <w:rPr>
          <w:rFonts w:eastAsia="Times New Roman"/>
        </w:rPr>
        <w:t>/L.</w:t>
      </w:r>
    </w:p>
    <w:p w:rsidR="00506994" w:rsidRPr="00335062" w:rsidRDefault="00506994" w:rsidP="00AB7A9E"/>
    <w:p w:rsidR="00506994" w:rsidRPr="00D77DFF" w:rsidRDefault="00506994" w:rsidP="00AB7A9E">
      <w:r w:rsidRPr="00D77DFF">
        <w:rPr>
          <w:rFonts w:eastAsia="Times New Roman"/>
          <w:i/>
          <w:iCs/>
        </w:rPr>
        <w:t>Recommended dose</w:t>
      </w:r>
    </w:p>
    <w:p w:rsidR="00506994" w:rsidRDefault="007003B4" w:rsidP="004273C8">
      <w:pPr>
        <w:autoSpaceDE w:val="0"/>
        <w:autoSpaceDN w:val="0"/>
        <w:adjustRightInd w:val="0"/>
        <w:rPr>
          <w:rFonts w:eastAsia="Times New Roman"/>
        </w:rPr>
      </w:pPr>
      <w:r>
        <w:rPr>
          <w:rFonts w:eastAsia="Times New Roman"/>
        </w:rPr>
        <w:t>The recommended starting dose is lenalidomide 10 mg orally once daily on days 1 to 21 of repeated</w:t>
      </w:r>
      <w:r w:rsidR="004D54CB">
        <w:rPr>
          <w:rFonts w:eastAsia="Times New Roman"/>
        </w:rPr>
        <w:t xml:space="preserve"> </w:t>
      </w:r>
      <w:r>
        <w:rPr>
          <w:rFonts w:eastAsia="Times New Roman"/>
        </w:rPr>
        <w:t>28-day cycles for up to 9 cycles, melphalan 0.18 mg/kg orally on days 1 to 4 of repeated 28-day cycles,</w:t>
      </w:r>
      <w:r w:rsidR="004D54CB">
        <w:rPr>
          <w:rFonts w:eastAsia="Times New Roman"/>
        </w:rPr>
        <w:t xml:space="preserve"> </w:t>
      </w:r>
      <w:r>
        <w:rPr>
          <w:rFonts w:eastAsia="Times New Roman"/>
        </w:rPr>
        <w:t>prednisone 2 mg/kg orally on days 1 to 4 of repeated 28-day cycles. Patients who complete 9 cycles or</w:t>
      </w:r>
      <w:r w:rsidR="004D54CB">
        <w:rPr>
          <w:rFonts w:eastAsia="Times New Roman"/>
        </w:rPr>
        <w:t xml:space="preserve"> </w:t>
      </w:r>
      <w:r>
        <w:rPr>
          <w:rFonts w:eastAsia="Times New Roman"/>
        </w:rPr>
        <w:t>who are unable to complete the combination therapy due to intolerance are treated with lenalidomide</w:t>
      </w:r>
      <w:r w:rsidR="004D54CB">
        <w:rPr>
          <w:rFonts w:eastAsia="Times New Roman"/>
        </w:rPr>
        <w:t xml:space="preserve"> </w:t>
      </w:r>
      <w:r>
        <w:rPr>
          <w:rFonts w:eastAsia="Times New Roman"/>
        </w:rPr>
        <w:t>monotherapy as follows: 10 mg orally once daily on days 1 to 21 of repeated 28-day cycles given until</w:t>
      </w:r>
      <w:r w:rsidR="004D54CB">
        <w:rPr>
          <w:rFonts w:eastAsia="Times New Roman"/>
        </w:rPr>
        <w:t xml:space="preserve"> </w:t>
      </w:r>
      <w:r>
        <w:rPr>
          <w:rFonts w:eastAsia="Times New Roman"/>
        </w:rPr>
        <w:t>disease progression.</w:t>
      </w:r>
    </w:p>
    <w:p w:rsidR="007003B4" w:rsidRPr="00335062" w:rsidRDefault="007003B4" w:rsidP="00AB7A9E"/>
    <w:p w:rsidR="00506994" w:rsidRPr="00335062" w:rsidRDefault="00506994" w:rsidP="00AB7A9E">
      <w:pPr>
        <w:pStyle w:val="ListParagraph"/>
        <w:numPr>
          <w:ilvl w:val="0"/>
          <w:numId w:val="57"/>
        </w:numPr>
        <w:tabs>
          <w:tab w:val="left" w:pos="341"/>
        </w:tabs>
      </w:pPr>
      <w:r w:rsidRPr="002A4B38">
        <w:rPr>
          <w:rFonts w:eastAsia="Times New Roman"/>
          <w:i/>
          <w:iCs/>
        </w:rPr>
        <w:t>Dose reduction steps</w:t>
      </w:r>
    </w:p>
    <w:tbl>
      <w:tblPr>
        <w:tblW w:w="5000" w:type="pct"/>
        <w:jc w:val="center"/>
        <w:tblCellMar>
          <w:left w:w="0" w:type="dxa"/>
          <w:right w:w="0" w:type="dxa"/>
        </w:tblCellMar>
        <w:tblLook w:val="04A0" w:firstRow="1" w:lastRow="0" w:firstColumn="1" w:lastColumn="0" w:noHBand="0" w:noVBand="1"/>
      </w:tblPr>
      <w:tblGrid>
        <w:gridCol w:w="2453"/>
        <w:gridCol w:w="2898"/>
        <w:gridCol w:w="2278"/>
        <w:gridCol w:w="2276"/>
      </w:tblGrid>
      <w:tr w:rsidR="00506994" w:rsidRPr="00335062" w:rsidTr="00D807B0">
        <w:trPr>
          <w:trHeight w:val="258"/>
          <w:jc w:val="center"/>
        </w:trPr>
        <w:tc>
          <w:tcPr>
            <w:tcW w:w="1238" w:type="pct"/>
            <w:tcBorders>
              <w:top w:val="single" w:sz="8" w:space="0" w:color="auto"/>
              <w:left w:val="single" w:sz="8" w:space="0" w:color="auto"/>
              <w:bottom w:val="single" w:sz="8" w:space="0" w:color="auto"/>
              <w:right w:val="single" w:sz="8" w:space="0" w:color="auto"/>
            </w:tcBorders>
            <w:vAlign w:val="bottom"/>
          </w:tcPr>
          <w:p w:rsidR="00506994" w:rsidRPr="00335062" w:rsidRDefault="00506994" w:rsidP="00AB7A9E"/>
        </w:tc>
        <w:tc>
          <w:tcPr>
            <w:tcW w:w="1463"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Lenalidomide</w:t>
            </w:r>
          </w:p>
        </w:tc>
        <w:tc>
          <w:tcPr>
            <w:tcW w:w="1150"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Melphalan</w:t>
            </w:r>
          </w:p>
        </w:tc>
        <w:tc>
          <w:tcPr>
            <w:tcW w:w="1150"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Prednisone</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Starting dose</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10 mgª</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0.18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2 mg/kg</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-1</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7.5 mg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0.14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1 mg/kg</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-2</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5 mg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0.10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0.5 mg/kg</w:t>
            </w:r>
          </w:p>
        </w:tc>
      </w:tr>
      <w:tr w:rsidR="00506994" w:rsidRPr="00335062" w:rsidTr="00D807B0">
        <w:trPr>
          <w:trHeight w:val="244"/>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-3</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2.5 mg</w:t>
            </w:r>
          </w:p>
        </w:tc>
        <w:tc>
          <w:tcPr>
            <w:tcW w:w="1150" w:type="pct"/>
            <w:tcBorders>
              <w:bottom w:val="single" w:sz="8" w:space="0" w:color="auto"/>
              <w:right w:val="single" w:sz="8" w:space="0" w:color="auto"/>
            </w:tcBorders>
            <w:vAlign w:val="bottom"/>
          </w:tcPr>
          <w:p w:rsidR="00506994" w:rsidRPr="00335062" w:rsidRDefault="00EE155B" w:rsidP="00AB7A9E">
            <w:pPr>
              <w:jc w:val="center"/>
            </w:pPr>
            <w:r>
              <w:t>Not Applicable</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0.25 mg/kg</w:t>
            </w:r>
          </w:p>
        </w:tc>
      </w:tr>
    </w:tbl>
    <w:p w:rsidR="00506994" w:rsidRPr="00F04381" w:rsidRDefault="00506994" w:rsidP="00AB7A9E">
      <w:pPr>
        <w:numPr>
          <w:ilvl w:val="0"/>
          <w:numId w:val="19"/>
        </w:numPr>
        <w:tabs>
          <w:tab w:val="left" w:pos="114"/>
        </w:tabs>
        <w:rPr>
          <w:rFonts w:eastAsia="Times New Roman"/>
          <w:sz w:val="16"/>
          <w:szCs w:val="16"/>
        </w:rPr>
      </w:pPr>
      <w:r w:rsidRPr="00F04381">
        <w:rPr>
          <w:rFonts w:eastAsia="Times New Roman"/>
          <w:iCs/>
          <w:sz w:val="16"/>
          <w:szCs w:val="16"/>
        </w:rPr>
        <w:t>If neutropenia is the only toxicity at any dose level, add granulocyte colony stimulating factor (G-CSF) and maintain the dose level of lenalidomide</w:t>
      </w:r>
    </w:p>
    <w:p w:rsidR="00506994" w:rsidRPr="00335062" w:rsidRDefault="00506994" w:rsidP="00AB7A9E">
      <w:pPr>
        <w:ind w:right="1020"/>
        <w:rPr>
          <w:rFonts w:eastAsia="Times New Roman"/>
        </w:rPr>
      </w:pPr>
    </w:p>
    <w:p w:rsidR="00490884" w:rsidRPr="00490884" w:rsidRDefault="00506994" w:rsidP="00490884">
      <w:pPr>
        <w:pStyle w:val="ListParagraph"/>
        <w:numPr>
          <w:ilvl w:val="0"/>
          <w:numId w:val="57"/>
        </w:numPr>
        <w:tabs>
          <w:tab w:val="left" w:pos="361"/>
        </w:tabs>
        <w:rPr>
          <w:rFonts w:eastAsia="Symbol"/>
        </w:rPr>
      </w:pPr>
      <w:r w:rsidRPr="002A4B38">
        <w:rPr>
          <w:rFonts w:eastAsia="Times New Roman"/>
          <w:i/>
          <w:iCs/>
        </w:rPr>
        <w:t>Thrombocytopenia</w:t>
      </w:r>
    </w:p>
    <w:tbl>
      <w:tblPr>
        <w:tblStyle w:val="TableGrid"/>
        <w:tblW w:w="0" w:type="auto"/>
        <w:tblInd w:w="108" w:type="dxa"/>
        <w:tblLook w:val="04A0" w:firstRow="1" w:lastRow="0" w:firstColumn="1" w:lastColumn="0" w:noHBand="0" w:noVBand="1"/>
      </w:tblPr>
      <w:tblGrid>
        <w:gridCol w:w="4990"/>
        <w:gridCol w:w="4817"/>
      </w:tblGrid>
      <w:tr w:rsidR="00490884" w:rsidRPr="00F30CC0" w:rsidTr="004273C8">
        <w:tc>
          <w:tcPr>
            <w:tcW w:w="4990" w:type="dxa"/>
            <w:tcBorders>
              <w:left w:val="nil"/>
              <w:right w:val="nil"/>
            </w:tcBorders>
          </w:tcPr>
          <w:p w:rsidR="00490884" w:rsidRPr="00F30CC0" w:rsidRDefault="00490884" w:rsidP="00B85F0C">
            <w:r w:rsidRPr="00F30CC0">
              <w:t>When platelets</w:t>
            </w:r>
          </w:p>
        </w:tc>
        <w:tc>
          <w:tcPr>
            <w:tcW w:w="4817" w:type="dxa"/>
            <w:tcBorders>
              <w:left w:val="nil"/>
              <w:right w:val="nil"/>
            </w:tcBorders>
          </w:tcPr>
          <w:p w:rsidR="00490884" w:rsidRPr="00F30CC0" w:rsidRDefault="00490884" w:rsidP="00B85F0C">
            <w:r w:rsidRPr="00F30CC0">
              <w:t>Recommended course</w:t>
            </w:r>
          </w:p>
        </w:tc>
      </w:tr>
      <w:tr w:rsidR="00490884" w:rsidRPr="00F30CC0" w:rsidTr="004273C8">
        <w:tc>
          <w:tcPr>
            <w:tcW w:w="4990" w:type="dxa"/>
            <w:tcBorders>
              <w:left w:val="nil"/>
              <w:right w:val="nil"/>
            </w:tcBorders>
          </w:tcPr>
          <w:p w:rsidR="00490884" w:rsidRPr="00F30CC0" w:rsidRDefault="00490884" w:rsidP="00B85F0C">
            <w:r>
              <w:t>First falls to &lt; 25</w:t>
            </w:r>
            <w:r w:rsidRPr="00F30CC0">
              <w:t xml:space="preserve"> x 10</w:t>
            </w:r>
            <w:r w:rsidRPr="00F30CC0">
              <w:rPr>
                <w:vertAlign w:val="superscript"/>
              </w:rPr>
              <w:t>9</w:t>
            </w:r>
            <w:r w:rsidRPr="00F30CC0">
              <w:t>/L</w:t>
            </w:r>
          </w:p>
          <w:p w:rsidR="00490884" w:rsidRPr="00F30CC0" w:rsidRDefault="00490884" w:rsidP="00B85F0C">
            <w:r w:rsidRPr="00771287">
              <w:t xml:space="preserve">Returns to ≥ </w:t>
            </w:r>
            <w:r>
              <w:t>25</w:t>
            </w:r>
            <w:r w:rsidRPr="00771287">
              <w:t xml:space="preserve"> x 1</w:t>
            </w:r>
            <w:r>
              <w:t>0</w:t>
            </w:r>
            <w:r w:rsidRPr="00771287">
              <w:rPr>
                <w:vertAlign w:val="superscript"/>
              </w:rPr>
              <w:t>9</w:t>
            </w:r>
            <w:r>
              <w:t xml:space="preserve">/L </w:t>
            </w:r>
          </w:p>
        </w:tc>
        <w:tc>
          <w:tcPr>
            <w:tcW w:w="4817" w:type="dxa"/>
            <w:tcBorders>
              <w:left w:val="nil"/>
              <w:right w:val="nil"/>
            </w:tcBorders>
          </w:tcPr>
          <w:p w:rsidR="00490884" w:rsidRDefault="00490884" w:rsidP="00B85F0C">
            <w:r w:rsidRPr="00F30CC0">
              <w:t xml:space="preserve">Interrupt lenalidomide treatment </w:t>
            </w:r>
          </w:p>
          <w:p w:rsidR="00490884" w:rsidRDefault="00490884" w:rsidP="00B85F0C">
            <w:r>
              <w:t>Resume lenalidomide and melphalan at dose</w:t>
            </w:r>
          </w:p>
          <w:p w:rsidR="00490884" w:rsidRPr="00F30CC0" w:rsidRDefault="00490884" w:rsidP="00B85F0C">
            <w:r>
              <w:t>level -1</w:t>
            </w:r>
          </w:p>
        </w:tc>
      </w:tr>
      <w:tr w:rsidR="00490884" w:rsidRPr="00F30CC0" w:rsidTr="004273C8">
        <w:tc>
          <w:tcPr>
            <w:tcW w:w="4990" w:type="dxa"/>
            <w:tcBorders>
              <w:left w:val="nil"/>
              <w:right w:val="nil"/>
            </w:tcBorders>
          </w:tcPr>
          <w:p w:rsidR="00490884" w:rsidRDefault="00490884" w:rsidP="00B85F0C">
            <w:r w:rsidRPr="00F30CC0">
              <w:t>For each subsequent drop below 30 x 10</w:t>
            </w:r>
            <w:r w:rsidRPr="00F30CC0">
              <w:rPr>
                <w:vertAlign w:val="superscript"/>
              </w:rPr>
              <w:t>9</w:t>
            </w:r>
            <w:r w:rsidRPr="00F30CC0">
              <w:t xml:space="preserve">/L </w:t>
            </w:r>
          </w:p>
          <w:p w:rsidR="00490884" w:rsidRPr="00F30CC0" w:rsidRDefault="00490884" w:rsidP="00B85F0C">
            <w:r w:rsidRPr="00F30CC0">
              <w:t>Return</w:t>
            </w:r>
            <w:r>
              <w:t>s to ≥ 3</w:t>
            </w:r>
            <w:r w:rsidRPr="00F30CC0">
              <w:t>0 x 10</w:t>
            </w:r>
            <w:r w:rsidRPr="00F30CC0">
              <w:rPr>
                <w:vertAlign w:val="superscript"/>
              </w:rPr>
              <w:t>9</w:t>
            </w:r>
            <w:r w:rsidRPr="00F30CC0">
              <w:t>/L</w:t>
            </w:r>
          </w:p>
        </w:tc>
        <w:tc>
          <w:tcPr>
            <w:tcW w:w="4817" w:type="dxa"/>
            <w:tcBorders>
              <w:left w:val="nil"/>
              <w:right w:val="nil"/>
            </w:tcBorders>
          </w:tcPr>
          <w:p w:rsidR="00490884" w:rsidRDefault="00490884" w:rsidP="00B85F0C">
            <w:r w:rsidRPr="00F30CC0">
              <w:t xml:space="preserve">Interrupt lenalidomide treatment </w:t>
            </w:r>
          </w:p>
          <w:p w:rsidR="00490884" w:rsidRPr="00F30CC0" w:rsidRDefault="00490884" w:rsidP="00B85F0C">
            <w:r w:rsidRPr="00F30CC0">
              <w:t xml:space="preserve">Resume lenalidomide </w:t>
            </w:r>
            <w:r>
              <w:t>at next lower dose level (dose level -2 or -3) once daily</w:t>
            </w:r>
          </w:p>
        </w:tc>
      </w:tr>
    </w:tbl>
    <w:p w:rsidR="00506994" w:rsidRPr="00335062" w:rsidRDefault="00506994" w:rsidP="00AB7A9E">
      <w:pPr>
        <w:pStyle w:val="ListParagraph"/>
        <w:tabs>
          <w:tab w:val="left" w:pos="340"/>
        </w:tabs>
        <w:ind w:left="0"/>
      </w:pPr>
    </w:p>
    <w:p w:rsidR="00506994" w:rsidRPr="00335062" w:rsidRDefault="00115841" w:rsidP="00AB7A9E">
      <w:pPr>
        <w:pStyle w:val="ListParagraph"/>
        <w:numPr>
          <w:ilvl w:val="0"/>
          <w:numId w:val="57"/>
        </w:numPr>
        <w:tabs>
          <w:tab w:val="left" w:pos="340"/>
        </w:tabs>
      </w:pPr>
      <w:r>
        <w:rPr>
          <w:rFonts w:eastAsia="Times New Roman"/>
          <w:i/>
          <w:iCs/>
        </w:rPr>
        <w:t>Absolute neutrophil count (ANC) - n</w:t>
      </w:r>
      <w:r w:rsidR="00506994" w:rsidRPr="002A4B38">
        <w:rPr>
          <w:rFonts w:eastAsia="Times New Roman"/>
          <w:i/>
          <w:iCs/>
        </w:rPr>
        <w:t>eutropenia</w:t>
      </w:r>
    </w:p>
    <w:tbl>
      <w:tblPr>
        <w:tblStyle w:val="TableGrid"/>
        <w:tblW w:w="9923"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928"/>
      </w:tblGrid>
      <w:tr w:rsidR="00506994" w:rsidTr="004273C8">
        <w:tc>
          <w:tcPr>
            <w:tcW w:w="4995" w:type="dxa"/>
            <w:tcBorders>
              <w:bottom w:val="single" w:sz="4" w:space="0" w:color="auto"/>
            </w:tcBorders>
          </w:tcPr>
          <w:p w:rsidR="00506994" w:rsidRDefault="00506994" w:rsidP="00490884">
            <w:pPr>
              <w:ind w:right="1020"/>
            </w:pPr>
            <w:r>
              <w:rPr>
                <w:rFonts w:eastAsia="Times New Roman"/>
              </w:rPr>
              <w:t xml:space="preserve">When </w:t>
            </w:r>
            <w:r w:rsidR="00490884">
              <w:rPr>
                <w:rFonts w:eastAsia="Times New Roman"/>
              </w:rPr>
              <w:t>ANC</w:t>
            </w:r>
          </w:p>
        </w:tc>
        <w:tc>
          <w:tcPr>
            <w:tcW w:w="4928" w:type="dxa"/>
            <w:tcBorders>
              <w:bottom w:val="single" w:sz="4" w:space="0" w:color="auto"/>
            </w:tcBorders>
          </w:tcPr>
          <w:p w:rsidR="00506994" w:rsidRPr="008820D9" w:rsidRDefault="00506994" w:rsidP="00D807B0">
            <w:pPr>
              <w:ind w:right="1020"/>
            </w:pPr>
            <w:r>
              <w:rPr>
                <w:rFonts w:eastAsia="Times New Roman"/>
              </w:rPr>
              <w:t>Recommended course</w:t>
            </w:r>
            <w:r w:rsidR="008820D9">
              <w:rPr>
                <w:rFonts w:eastAsia="Times New Roman"/>
                <w:vertAlign w:val="superscript"/>
              </w:rPr>
              <w:t>a</w:t>
            </w:r>
          </w:p>
        </w:tc>
      </w:tr>
      <w:tr w:rsidR="00506994" w:rsidTr="004273C8">
        <w:tc>
          <w:tcPr>
            <w:tcW w:w="4995" w:type="dxa"/>
            <w:tcBorders>
              <w:top w:val="single" w:sz="4" w:space="0" w:color="auto"/>
              <w:bottom w:val="single" w:sz="4" w:space="0" w:color="auto"/>
            </w:tcBorders>
          </w:tcPr>
          <w:p w:rsidR="00506994" w:rsidRPr="00131D8A" w:rsidRDefault="00506994" w:rsidP="00D807B0">
            <w:pPr>
              <w:rPr>
                <w:rFonts w:eastAsia="Times New Roman"/>
              </w:rPr>
            </w:pPr>
            <w:r w:rsidRPr="00131D8A">
              <w:rPr>
                <w:rFonts w:eastAsia="Times New Roman"/>
              </w:rPr>
              <w:t>First fall to &lt; 0.5 x 10</w:t>
            </w:r>
            <w:r w:rsidRPr="00131D8A">
              <w:rPr>
                <w:rFonts w:eastAsia="Times New Roman"/>
                <w:vertAlign w:val="superscript"/>
              </w:rPr>
              <w:t>9</w:t>
            </w:r>
            <w:r w:rsidRPr="00131D8A">
              <w:rPr>
                <w:rFonts w:eastAsia="Times New Roman"/>
              </w:rPr>
              <w:t>/Lª</w:t>
            </w:r>
          </w:p>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 when neutropenia is</w:t>
            </w:r>
            <w:r w:rsidR="007003B4" w:rsidRPr="00131D8A">
              <w:rPr>
                <w:rFonts w:eastAsia="Times New Roman"/>
              </w:rPr>
              <w:t xml:space="preserve"> </w:t>
            </w:r>
            <w:r w:rsidRPr="00131D8A">
              <w:rPr>
                <w:rFonts w:eastAsia="Times New Roman"/>
              </w:rPr>
              <w:t>the only observed toxicity</w:t>
            </w:r>
          </w:p>
        </w:tc>
        <w:tc>
          <w:tcPr>
            <w:tcW w:w="4928" w:type="dxa"/>
            <w:tcBorders>
              <w:top w:val="single" w:sz="4" w:space="0" w:color="auto"/>
              <w:bottom w:val="single" w:sz="4" w:space="0" w:color="auto"/>
            </w:tcBorders>
          </w:tcPr>
          <w:p w:rsidR="00506994" w:rsidRPr="00131D8A" w:rsidRDefault="00506994" w:rsidP="00D807B0">
            <w:pPr>
              <w:ind w:right="1020"/>
              <w:rPr>
                <w:rFonts w:eastAsia="Times New Roman"/>
              </w:rPr>
            </w:pPr>
            <w:r w:rsidRPr="00131D8A">
              <w:rPr>
                <w:rFonts w:eastAsia="Times New Roman"/>
              </w:rPr>
              <w:t>Interrupt lenalidomide treatment</w:t>
            </w:r>
          </w:p>
          <w:p w:rsidR="00506994" w:rsidRPr="00131D8A" w:rsidRDefault="00506994" w:rsidP="00D807B0">
            <w:pPr>
              <w:ind w:right="1020"/>
            </w:pPr>
            <w:r w:rsidRPr="00131D8A">
              <w:rPr>
                <w:rFonts w:eastAsia="Times New Roman"/>
              </w:rPr>
              <w:t xml:space="preserve">Resume lenalidomide at </w:t>
            </w:r>
            <w:r w:rsidR="007003B4" w:rsidRPr="00131D8A">
              <w:rPr>
                <w:rFonts w:eastAsia="Times New Roman"/>
              </w:rPr>
              <w:t>s</w:t>
            </w:r>
            <w:r w:rsidRPr="00131D8A">
              <w:rPr>
                <w:rFonts w:eastAsia="Times New Roman"/>
              </w:rPr>
              <w:t>tarting dose once daily</w:t>
            </w:r>
          </w:p>
        </w:tc>
      </w:tr>
      <w:tr w:rsidR="00506994" w:rsidTr="004273C8">
        <w:tc>
          <w:tcPr>
            <w:tcW w:w="4995" w:type="dxa"/>
            <w:tcBorders>
              <w:top w:val="single" w:sz="4" w:space="0" w:color="auto"/>
              <w:bottom w:val="single" w:sz="4" w:space="0" w:color="auto"/>
            </w:tcBorders>
          </w:tcPr>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 when dose-dependent haematological toxicities other than neutropenia are observed</w:t>
            </w:r>
          </w:p>
        </w:tc>
        <w:tc>
          <w:tcPr>
            <w:tcW w:w="4928" w:type="dxa"/>
            <w:tcBorders>
              <w:top w:val="single" w:sz="4" w:space="0" w:color="auto"/>
              <w:bottom w:val="single" w:sz="4" w:space="0" w:color="auto"/>
            </w:tcBorders>
          </w:tcPr>
          <w:p w:rsidR="00506994" w:rsidRPr="00131D8A" w:rsidRDefault="00506994" w:rsidP="00D807B0">
            <w:pPr>
              <w:ind w:right="1020"/>
            </w:pPr>
            <w:r w:rsidRPr="00131D8A">
              <w:rPr>
                <w:rFonts w:eastAsia="Times New Roman"/>
              </w:rPr>
              <w:t xml:space="preserve">Resume lenalidomide at </w:t>
            </w:r>
            <w:r w:rsidR="007003B4" w:rsidRPr="00131D8A">
              <w:rPr>
                <w:rFonts w:eastAsia="Times New Roman"/>
              </w:rPr>
              <w:t>d</w:t>
            </w:r>
            <w:r w:rsidRPr="00131D8A">
              <w:rPr>
                <w:rFonts w:eastAsia="Times New Roman"/>
              </w:rPr>
              <w:t>ose level -1 once daily</w:t>
            </w:r>
          </w:p>
        </w:tc>
      </w:tr>
      <w:tr w:rsidR="00506994" w:rsidTr="004273C8">
        <w:tc>
          <w:tcPr>
            <w:tcW w:w="4995" w:type="dxa"/>
            <w:tcBorders>
              <w:top w:val="single" w:sz="4" w:space="0" w:color="auto"/>
              <w:bottom w:val="single" w:sz="4" w:space="0" w:color="auto"/>
            </w:tcBorders>
          </w:tcPr>
          <w:p w:rsidR="005B0414" w:rsidRDefault="00506994" w:rsidP="00D807B0">
            <w:pPr>
              <w:rPr>
                <w:rFonts w:eastAsia="Times New Roman"/>
              </w:rPr>
            </w:pPr>
            <w:r w:rsidRPr="00131D8A">
              <w:rPr>
                <w:rFonts w:eastAsia="Times New Roman"/>
              </w:rPr>
              <w:t>For each subsequent drop below &lt; 0.5 x 10</w:t>
            </w:r>
            <w:r w:rsidRPr="00131D8A">
              <w:rPr>
                <w:rFonts w:eastAsia="Times New Roman"/>
                <w:vertAlign w:val="superscript"/>
              </w:rPr>
              <w:t>9</w:t>
            </w:r>
            <w:r w:rsidRPr="00131D8A">
              <w:rPr>
                <w:rFonts w:eastAsia="Times New Roman"/>
              </w:rPr>
              <w:t xml:space="preserve">/L </w:t>
            </w:r>
          </w:p>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w:t>
            </w:r>
          </w:p>
        </w:tc>
        <w:tc>
          <w:tcPr>
            <w:tcW w:w="4928" w:type="dxa"/>
            <w:tcBorders>
              <w:top w:val="single" w:sz="4" w:space="0" w:color="auto"/>
              <w:bottom w:val="single" w:sz="4" w:space="0" w:color="auto"/>
            </w:tcBorders>
          </w:tcPr>
          <w:p w:rsidR="00506994" w:rsidRPr="00131D8A" w:rsidRDefault="00506994" w:rsidP="00D807B0">
            <w:pPr>
              <w:ind w:right="1020"/>
              <w:rPr>
                <w:rFonts w:eastAsia="Times New Roman"/>
              </w:rPr>
            </w:pPr>
            <w:r w:rsidRPr="00131D8A">
              <w:rPr>
                <w:rFonts w:eastAsia="Times New Roman"/>
              </w:rPr>
              <w:t xml:space="preserve">Interrupt lenalidomide treatment </w:t>
            </w:r>
          </w:p>
          <w:p w:rsidR="00506994" w:rsidRPr="00131D8A" w:rsidRDefault="00506994" w:rsidP="00D807B0">
            <w:pPr>
              <w:ind w:right="1020"/>
            </w:pPr>
            <w:r w:rsidRPr="00131D8A">
              <w:rPr>
                <w:rFonts w:eastAsia="Times New Roman"/>
              </w:rPr>
              <w:t>Resume lenalidomide at next lower dose level once daily.</w:t>
            </w:r>
          </w:p>
        </w:tc>
      </w:tr>
    </w:tbl>
    <w:p w:rsidR="00506994" w:rsidRPr="00F04381" w:rsidRDefault="00506994" w:rsidP="00AB7A9E">
      <w:pPr>
        <w:ind w:right="340"/>
        <w:rPr>
          <w:sz w:val="16"/>
          <w:szCs w:val="16"/>
        </w:rPr>
      </w:pPr>
      <w:r w:rsidRPr="00F04381">
        <w:rPr>
          <w:rFonts w:eastAsia="Times New Roman"/>
          <w:iCs/>
          <w:sz w:val="16"/>
          <w:szCs w:val="16"/>
        </w:rPr>
        <w:t>ª</w:t>
      </w:r>
      <w:r w:rsidR="00115841">
        <w:rPr>
          <w:rFonts w:eastAsia="Times New Roman"/>
          <w:iCs/>
          <w:sz w:val="16"/>
          <w:szCs w:val="16"/>
        </w:rPr>
        <w:t>At the physician’s discretion, i</w:t>
      </w:r>
      <w:r w:rsidRPr="00F04381">
        <w:rPr>
          <w:rFonts w:eastAsia="Times New Roman"/>
          <w:iCs/>
          <w:sz w:val="16"/>
          <w:szCs w:val="16"/>
        </w:rPr>
        <w:t xml:space="preserve">f </w:t>
      </w:r>
      <w:r w:rsidR="00115841">
        <w:rPr>
          <w:rFonts w:eastAsia="Times New Roman"/>
          <w:iCs/>
          <w:sz w:val="16"/>
          <w:szCs w:val="16"/>
        </w:rPr>
        <w:t xml:space="preserve">neutropenia is the only toxicity at any dose level, add granulocyte colony stimulating factor (G-CSF) </w:t>
      </w:r>
      <w:r w:rsidRPr="00F04381">
        <w:rPr>
          <w:rFonts w:eastAsia="Times New Roman"/>
          <w:iCs/>
          <w:sz w:val="16"/>
          <w:szCs w:val="16"/>
        </w:rPr>
        <w:t xml:space="preserve">and maintain </w:t>
      </w:r>
      <w:r w:rsidR="00863F61">
        <w:rPr>
          <w:rFonts w:eastAsia="Times New Roman"/>
          <w:iCs/>
          <w:sz w:val="16"/>
          <w:szCs w:val="16"/>
        </w:rPr>
        <w:t xml:space="preserve">the </w:t>
      </w:r>
      <w:r w:rsidRPr="00F04381">
        <w:rPr>
          <w:rFonts w:eastAsia="Times New Roman"/>
          <w:iCs/>
          <w:sz w:val="16"/>
          <w:szCs w:val="16"/>
        </w:rPr>
        <w:t xml:space="preserve">dose </w:t>
      </w:r>
      <w:r w:rsidR="00863F61">
        <w:rPr>
          <w:rFonts w:eastAsia="Times New Roman"/>
          <w:iCs/>
          <w:sz w:val="16"/>
          <w:szCs w:val="16"/>
        </w:rPr>
        <w:t xml:space="preserve">level </w:t>
      </w:r>
      <w:r w:rsidRPr="00F04381">
        <w:rPr>
          <w:rFonts w:eastAsia="Times New Roman"/>
          <w:iCs/>
          <w:sz w:val="16"/>
          <w:szCs w:val="16"/>
        </w:rPr>
        <w:t xml:space="preserve">of </w:t>
      </w:r>
      <w:r w:rsidR="00A10569">
        <w:rPr>
          <w:rFonts w:eastAsia="Times New Roman"/>
          <w:iCs/>
          <w:sz w:val="16"/>
          <w:szCs w:val="16"/>
        </w:rPr>
        <w:t>lenalidomide</w:t>
      </w:r>
      <w:r w:rsidRPr="00F04381">
        <w:rPr>
          <w:rFonts w:eastAsia="Times New Roman"/>
          <w:iCs/>
          <w:sz w:val="16"/>
          <w:szCs w:val="16"/>
        </w:rPr>
        <w:t>.</w:t>
      </w:r>
    </w:p>
    <w:p w:rsidR="004D54CB" w:rsidRDefault="004D54CB" w:rsidP="00AB7A9E"/>
    <w:p w:rsidR="006B7352" w:rsidRPr="00335062" w:rsidRDefault="006B7352" w:rsidP="004273C8">
      <w:pPr>
        <w:pStyle w:val="ListParagraph"/>
        <w:numPr>
          <w:ilvl w:val="0"/>
          <w:numId w:val="57"/>
        </w:numPr>
      </w:pPr>
      <w:r w:rsidRPr="004273C8">
        <w:rPr>
          <w:rFonts w:eastAsia="Times New Roman"/>
          <w:iCs/>
          <w:u w:val="single"/>
        </w:rPr>
        <w:t>Lenalidomide maintenance in patients who have undergone autologous stem cell transplantation (ASCT)</w:t>
      </w:r>
    </w:p>
    <w:p w:rsidR="006B7352" w:rsidRPr="00335062" w:rsidRDefault="006B7352" w:rsidP="006B7352">
      <w:r w:rsidRPr="003C11E3">
        <w:rPr>
          <w:rFonts w:eastAsia="Times New Roman"/>
        </w:rPr>
        <w:t>Lenalidomide maintenance should be initiated after adequate haematologic recovery following ASCT in patients without evidence of progression. Lenalidomide must not be started if the ANC is &lt; 1.0 x 10</w:t>
      </w:r>
      <w:r w:rsidRPr="003C11E3">
        <w:rPr>
          <w:rFonts w:eastAsia="Times New Roman"/>
          <w:vertAlign w:val="superscript"/>
        </w:rPr>
        <w:t>9</w:t>
      </w:r>
      <w:r w:rsidRPr="003C11E3">
        <w:rPr>
          <w:rFonts w:eastAsia="Times New Roman"/>
        </w:rPr>
        <w:t>/L, and/or platelet counts are &lt; 75 x 10</w:t>
      </w:r>
      <w:r w:rsidRPr="003C11E3">
        <w:rPr>
          <w:rFonts w:eastAsia="Times New Roman"/>
          <w:vertAlign w:val="superscript"/>
        </w:rPr>
        <w:t>9</w:t>
      </w:r>
      <w:r w:rsidRPr="003C11E3">
        <w:rPr>
          <w:rFonts w:eastAsia="Times New Roman"/>
        </w:rPr>
        <w:t>/L.</w:t>
      </w:r>
    </w:p>
    <w:p w:rsidR="0062050D" w:rsidRDefault="0062050D" w:rsidP="006B7352">
      <w:pPr>
        <w:rPr>
          <w:rFonts w:eastAsia="Times New Roman"/>
          <w:i/>
          <w:iCs/>
        </w:rPr>
      </w:pPr>
    </w:p>
    <w:p w:rsidR="006B7352" w:rsidRPr="004273C8" w:rsidRDefault="006B7352" w:rsidP="006B7352">
      <w:pPr>
        <w:rPr>
          <w:i/>
        </w:rPr>
      </w:pPr>
      <w:r w:rsidRPr="004273C8">
        <w:rPr>
          <w:rFonts w:eastAsia="Times New Roman"/>
          <w:i/>
          <w:iCs/>
        </w:rPr>
        <w:t>Recommended dose</w:t>
      </w:r>
    </w:p>
    <w:p w:rsidR="006B7352" w:rsidRDefault="006B7352" w:rsidP="006B7352">
      <w:pPr>
        <w:rPr>
          <w:rFonts w:eastAsia="Times New Roman"/>
        </w:rPr>
      </w:pPr>
      <w:r w:rsidRPr="003C11E3">
        <w:rPr>
          <w:rFonts w:eastAsia="Times New Roman"/>
        </w:rPr>
        <w:t>The recommended starting dose is lenalidomide 10 mg orally once daily continuously (on days 1 to 28 of repeated 28-day cycles) given until disease progression or intolerance. After 3 cycles of lenalidomide maintenance, the dose can be increased to 15 mg orally once daily if tolerated.</w:t>
      </w:r>
    </w:p>
    <w:p w:rsidR="006B7352" w:rsidRDefault="006B7352" w:rsidP="006B7352">
      <w:pPr>
        <w:pStyle w:val="ListParagraph"/>
        <w:ind w:left="0"/>
      </w:pPr>
    </w:p>
    <w:p w:rsidR="006B7352" w:rsidRDefault="006B7352" w:rsidP="006B7352">
      <w:pPr>
        <w:pStyle w:val="ListParagraph"/>
        <w:numPr>
          <w:ilvl w:val="0"/>
          <w:numId w:val="57"/>
        </w:numPr>
        <w:rPr>
          <w:i/>
        </w:rPr>
      </w:pPr>
      <w:r w:rsidRPr="00335062">
        <w:rPr>
          <w:i/>
        </w:rPr>
        <w:t>Dose reduction steps</w:t>
      </w:r>
    </w:p>
    <w:tbl>
      <w:tblPr>
        <w:tblW w:w="9855" w:type="dxa"/>
        <w:tblInd w:w="6" w:type="dxa"/>
        <w:tblLayout w:type="fixed"/>
        <w:tblCellMar>
          <w:left w:w="0" w:type="dxa"/>
          <w:right w:w="0" w:type="dxa"/>
        </w:tblCellMar>
        <w:tblLook w:val="01E0" w:firstRow="1" w:lastRow="1" w:firstColumn="1" w:lastColumn="1" w:noHBand="0" w:noVBand="0"/>
      </w:tblPr>
      <w:tblGrid>
        <w:gridCol w:w="1733"/>
        <w:gridCol w:w="4061"/>
        <w:gridCol w:w="4061"/>
      </w:tblGrid>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67"/>
              <w:rPr>
                <w:rFonts w:ascii="Times New Roman" w:eastAsia="Times New Roman" w:hAnsi="Times New Roman" w:cs="Times New Roman"/>
              </w:rPr>
            </w:pPr>
            <w:r>
              <w:rPr>
                <w:rFonts w:ascii="Times New Roman"/>
                <w:spacing w:val="-1"/>
              </w:rPr>
              <w:t>Starting</w:t>
            </w:r>
            <w:r>
              <w:rPr>
                <w:rFonts w:ascii="Times New Roman"/>
                <w:spacing w:val="-2"/>
              </w:rPr>
              <w:t xml:space="preserve"> </w:t>
            </w:r>
            <w:r>
              <w:rPr>
                <w:rFonts w:ascii="Times New Roman"/>
              </w:rPr>
              <w:t xml:space="preserve">dose </w:t>
            </w:r>
            <w:r>
              <w:rPr>
                <w:rFonts w:ascii="Times New Roman"/>
                <w:spacing w:val="-1"/>
              </w:rPr>
              <w:t>(10</w:t>
            </w:r>
            <w:r>
              <w:rPr>
                <w:rFonts w:ascii="Times New Roman"/>
              </w:rPr>
              <w:t xml:space="preserve"> </w:t>
            </w:r>
            <w:r>
              <w:rPr>
                <w:rFonts w:ascii="Times New Roman"/>
                <w:spacing w:val="-3"/>
              </w:rPr>
              <w:t>mg)</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853"/>
              <w:rPr>
                <w:rFonts w:ascii="Times New Roman" w:eastAsia="Times New Roman" w:hAnsi="Times New Roman" w:cs="Times New Roman"/>
                <w:sz w:val="14"/>
                <w:szCs w:val="14"/>
              </w:rPr>
            </w:pPr>
            <w:r>
              <w:rPr>
                <w:rFonts w:ascii="Times New Roman"/>
                <w:spacing w:val="-2"/>
              </w:rPr>
              <w:t>If</w:t>
            </w:r>
            <w:r>
              <w:rPr>
                <w:rFonts w:ascii="Times New Roman"/>
              </w:rPr>
              <w:t xml:space="preserve"> dose </w:t>
            </w:r>
            <w:r>
              <w:rPr>
                <w:rFonts w:ascii="Times New Roman"/>
                <w:spacing w:val="-1"/>
              </w:rPr>
              <w:t>increased</w:t>
            </w:r>
            <w:r>
              <w:rPr>
                <w:rFonts w:ascii="Times New Roman"/>
                <w:spacing w:val="-2"/>
              </w:rPr>
              <w:t xml:space="preserve"> </w:t>
            </w:r>
            <w:r>
              <w:rPr>
                <w:rFonts w:ascii="Times New Roman"/>
              </w:rPr>
              <w:t xml:space="preserve">(15 </w:t>
            </w:r>
            <w:r>
              <w:rPr>
                <w:rFonts w:ascii="Times New Roman"/>
                <w:spacing w:val="-3"/>
              </w:rPr>
              <w:t>mg)</w:t>
            </w:r>
            <w:r>
              <w:rPr>
                <w:rFonts w:ascii="Times New Roman"/>
                <w:spacing w:val="-19"/>
              </w:rPr>
              <w:t xml:space="preserve"> </w:t>
            </w:r>
            <w:r>
              <w:rPr>
                <w:rFonts w:ascii="Times New Roman"/>
                <w:position w:val="8"/>
                <w:sz w:val="14"/>
              </w:rPr>
              <w:t>a</w:t>
            </w:r>
          </w:p>
        </w:tc>
      </w:tr>
      <w:tr w:rsidR="006B7352" w:rsidTr="00C13AFC">
        <w:trPr>
          <w:trHeight w:hRule="exact" w:val="261"/>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5 </w:t>
            </w:r>
            <w:r>
              <w:rPr>
                <w:rFonts w:ascii="Times New Roman"/>
                <w:spacing w:val="-1"/>
              </w:rPr>
              <w:t>mg</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10 </w:t>
            </w:r>
            <w:r>
              <w:rPr>
                <w:rFonts w:ascii="Times New Roman"/>
                <w:spacing w:val="-1"/>
              </w:rPr>
              <w:t>mg</w:t>
            </w:r>
          </w:p>
        </w:tc>
      </w:tr>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630"/>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5 </w:t>
            </w:r>
            <w:r>
              <w:rPr>
                <w:rFonts w:ascii="Times New Roman"/>
                <w:spacing w:val="-1"/>
              </w:rPr>
              <w:t>mg</w:t>
            </w:r>
          </w:p>
        </w:tc>
      </w:tr>
      <w:tr w:rsidR="006B7352" w:rsidTr="00C13AFC">
        <w:trPr>
          <w:trHeight w:hRule="exact" w:val="262"/>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spacing w:val="-1"/>
              </w:rPr>
              <w:t>Not</w:t>
            </w:r>
            <w:r>
              <w:rPr>
                <w:rFonts w:ascii="Times New Roman"/>
                <w:spacing w:val="1"/>
              </w:rPr>
              <w:t xml:space="preserve"> </w:t>
            </w:r>
            <w:r>
              <w:rPr>
                <w:rFonts w:ascii="Times New Roman"/>
                <w:spacing w:val="-1"/>
              </w:rPr>
              <w:t>applicable</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63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tc>
        <w:tc>
          <w:tcPr>
            <w:tcW w:w="8122" w:type="dxa"/>
            <w:gridSpan w:val="2"/>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806"/>
              <w:rPr>
                <w:rFonts w:ascii="Times New Roman" w:eastAsia="Times New Roman" w:hAnsi="Times New Roman" w:cs="Times New Roman"/>
              </w:rPr>
            </w:pPr>
            <w:r>
              <w:rPr>
                <w:rFonts w:ascii="Times New Roman"/>
                <w:spacing w:val="-1"/>
              </w:rPr>
              <w:t>Do</w:t>
            </w:r>
            <w:r>
              <w:rPr>
                <w:rFonts w:ascii="Times New Roman"/>
              </w:rPr>
              <w:t xml:space="preserve"> not</w:t>
            </w:r>
            <w:r>
              <w:rPr>
                <w:rFonts w:ascii="Times New Roman"/>
                <w:spacing w:val="1"/>
              </w:rPr>
              <w:t xml:space="preserve"> </w:t>
            </w:r>
            <w:r>
              <w:rPr>
                <w:rFonts w:ascii="Times New Roman"/>
                <w:spacing w:val="-1"/>
              </w:rPr>
              <w:t>dose</w:t>
            </w:r>
            <w:r>
              <w:rPr>
                <w:rFonts w:ascii="Times New Roman"/>
              </w:rPr>
              <w:t xml:space="preserve"> </w:t>
            </w:r>
            <w:r>
              <w:rPr>
                <w:rFonts w:ascii="Times New Roman"/>
                <w:spacing w:val="-1"/>
              </w:rPr>
              <w:t xml:space="preserve">below </w:t>
            </w:r>
            <w:r>
              <w:rPr>
                <w:rFonts w:ascii="Times New Roman"/>
              </w:rPr>
              <w:t xml:space="preserve">5 </w:t>
            </w:r>
            <w:r>
              <w:rPr>
                <w:rFonts w:ascii="Times New Roman"/>
                <w:spacing w:val="-2"/>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every</w:t>
            </w:r>
            <w:r>
              <w:rPr>
                <w:rFonts w:ascii="Times New Roman"/>
                <w:spacing w:val="-3"/>
              </w:rPr>
              <w:t xml:space="preserve"> </w:t>
            </w:r>
            <w:r>
              <w:rPr>
                <w:rFonts w:ascii="Times New Roman"/>
              </w:rPr>
              <w:t xml:space="preserve">28 </w:t>
            </w:r>
            <w:r>
              <w:rPr>
                <w:rFonts w:ascii="Times New Roman"/>
                <w:spacing w:val="-1"/>
              </w:rPr>
              <w:t>days)</w:t>
            </w:r>
          </w:p>
        </w:tc>
      </w:tr>
    </w:tbl>
    <w:p w:rsidR="006B7352" w:rsidRDefault="006B7352" w:rsidP="006B7352">
      <w:pPr>
        <w:pStyle w:val="ListParagraph"/>
        <w:ind w:left="0"/>
        <w:rPr>
          <w:rFonts w:eastAsia="Times New Roman"/>
          <w:iCs/>
          <w:sz w:val="16"/>
          <w:szCs w:val="16"/>
        </w:rPr>
      </w:pPr>
      <w:r w:rsidRPr="00F04381">
        <w:rPr>
          <w:rFonts w:eastAsia="Times New Roman"/>
          <w:iCs/>
          <w:sz w:val="16"/>
          <w:szCs w:val="16"/>
          <w:vertAlign w:val="superscript"/>
        </w:rPr>
        <w:t>a</w:t>
      </w:r>
      <w:r w:rsidRPr="00F04381">
        <w:rPr>
          <w:rFonts w:eastAsia="Times New Roman"/>
          <w:iCs/>
          <w:sz w:val="16"/>
          <w:szCs w:val="16"/>
        </w:rPr>
        <w:t xml:space="preserve"> After 3 cycles of lenalidomide maintenance, the dose can be increased to 15 mg orally once daily if tolerated.</w:t>
      </w:r>
    </w:p>
    <w:p w:rsidR="006B7352" w:rsidRPr="00847F91" w:rsidRDefault="006B7352" w:rsidP="006B7352">
      <w:pPr>
        <w:pStyle w:val="ListParagraph"/>
        <w:ind w:left="0"/>
        <w:rPr>
          <w:rFonts w:eastAsia="Times New Roman"/>
          <w:iCs/>
          <w:sz w:val="24"/>
          <w:szCs w:val="24"/>
        </w:rPr>
      </w:pPr>
    </w:p>
    <w:p w:rsidR="006B7352" w:rsidRPr="002A4B38" w:rsidRDefault="006B7352" w:rsidP="006B7352">
      <w:pPr>
        <w:pStyle w:val="ListParagraph"/>
        <w:numPr>
          <w:ilvl w:val="0"/>
          <w:numId w:val="57"/>
        </w:numPr>
        <w:rPr>
          <w:i/>
          <w:sz w:val="24"/>
          <w:szCs w:val="24"/>
        </w:rPr>
      </w:pPr>
      <w:r w:rsidRPr="002A4B38">
        <w:rPr>
          <w:rFonts w:eastAsia="Times New Roman"/>
          <w:i/>
          <w:iCs/>
          <w:sz w:val="24"/>
          <w:szCs w:val="24"/>
        </w:rPr>
        <w:t>Thrombocytopenia</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069"/>
      </w:tblGrid>
      <w:tr w:rsidR="006B7352" w:rsidRPr="00335062" w:rsidTr="004273C8">
        <w:tc>
          <w:tcPr>
            <w:tcW w:w="4854" w:type="dxa"/>
            <w:tcBorders>
              <w:top w:val="single" w:sz="4" w:space="0" w:color="auto"/>
              <w:bottom w:val="single" w:sz="4" w:space="0" w:color="auto"/>
            </w:tcBorders>
          </w:tcPr>
          <w:p w:rsidR="006B7352" w:rsidRPr="00335062" w:rsidRDefault="006B7352" w:rsidP="00C13AFC">
            <w:r w:rsidRPr="00335062">
              <w:rPr>
                <w:rFonts w:eastAsia="Times New Roman"/>
              </w:rPr>
              <w:t>When platelets</w:t>
            </w:r>
          </w:p>
        </w:tc>
        <w:tc>
          <w:tcPr>
            <w:tcW w:w="5069" w:type="dxa"/>
            <w:tcBorders>
              <w:top w:val="single" w:sz="4" w:space="0" w:color="auto"/>
              <w:bottom w:val="single" w:sz="4" w:space="0" w:color="auto"/>
            </w:tcBorders>
          </w:tcPr>
          <w:p w:rsidR="006B7352" w:rsidRPr="00335062" w:rsidRDefault="006B7352" w:rsidP="00C13AFC">
            <w:r w:rsidRPr="00335062">
              <w:rPr>
                <w:rFonts w:eastAsia="Times New Roman"/>
              </w:rPr>
              <w:t>Recommended course</w:t>
            </w:r>
          </w:p>
        </w:tc>
      </w:tr>
      <w:tr w:rsidR="006B7352" w:rsidRPr="00335062" w:rsidTr="004273C8">
        <w:tc>
          <w:tcPr>
            <w:tcW w:w="4854" w:type="dxa"/>
            <w:tcBorders>
              <w:top w:val="single" w:sz="4" w:space="0" w:color="auto"/>
            </w:tcBorders>
          </w:tcPr>
          <w:p w:rsidR="006B7352" w:rsidRPr="00335062" w:rsidRDefault="006B7352" w:rsidP="00C13AFC">
            <w:r w:rsidRPr="00335062">
              <w:t xml:space="preserve">Fall to &lt; </w:t>
            </w:r>
            <w:r>
              <w:t xml:space="preserve">30 </w:t>
            </w:r>
            <w:r w:rsidRPr="00335062">
              <w:t>x 10</w:t>
            </w:r>
            <w:r w:rsidRPr="00752AC5">
              <w:rPr>
                <w:vertAlign w:val="superscript"/>
              </w:rPr>
              <w:t>9</w:t>
            </w:r>
            <w:r w:rsidRPr="00335062">
              <w:t>/L</w:t>
            </w:r>
          </w:p>
        </w:tc>
        <w:tc>
          <w:tcPr>
            <w:tcW w:w="5069" w:type="dxa"/>
            <w:tcBorders>
              <w:top w:val="single" w:sz="4" w:space="0" w:color="auto"/>
            </w:tcBorders>
          </w:tcPr>
          <w:p w:rsidR="006B7352" w:rsidRPr="00335062" w:rsidRDefault="006B7352" w:rsidP="00C13AFC">
            <w:r w:rsidRPr="00752AC5">
              <w:rPr>
                <w:rFonts w:eastAsia="Times New Roman"/>
              </w:rPr>
              <w:t>Interrupt lenalidomide treatment</w:t>
            </w:r>
          </w:p>
        </w:tc>
      </w:tr>
      <w:tr w:rsidR="006B7352" w:rsidRPr="00335062" w:rsidTr="004273C8">
        <w:tc>
          <w:tcPr>
            <w:tcW w:w="4854" w:type="dxa"/>
            <w:tcBorders>
              <w:bottom w:val="single" w:sz="4" w:space="0" w:color="auto"/>
            </w:tcBorders>
          </w:tcPr>
          <w:p w:rsidR="006B7352" w:rsidRPr="00335062" w:rsidRDefault="006B7352" w:rsidP="00C13AFC">
            <w:r w:rsidRPr="00335062">
              <w:t xml:space="preserve">Return to ≥ </w:t>
            </w:r>
            <w:r>
              <w:t>30</w:t>
            </w:r>
            <w:r w:rsidRPr="00335062">
              <w:t xml:space="preserve"> x 10</w:t>
            </w:r>
            <w:r w:rsidRPr="00752AC5">
              <w:rPr>
                <w:vertAlign w:val="superscript"/>
              </w:rPr>
              <w:t>9</w:t>
            </w:r>
            <w:r w:rsidRPr="00335062">
              <w:t>/L</w:t>
            </w:r>
          </w:p>
        </w:tc>
        <w:tc>
          <w:tcPr>
            <w:tcW w:w="5069" w:type="dxa"/>
            <w:tcBorders>
              <w:bottom w:val="single" w:sz="4" w:space="0" w:color="auto"/>
            </w:tcBorders>
          </w:tcPr>
          <w:p w:rsidR="006B7352" w:rsidRPr="00335062" w:rsidRDefault="006B7352" w:rsidP="00C13AFC">
            <w:r w:rsidRPr="00752AC5">
              <w:rPr>
                <w:rFonts w:eastAsia="Times New Roman"/>
              </w:rPr>
              <w:t>Resume lenalidomide at dose level -1 once daily</w:t>
            </w:r>
          </w:p>
        </w:tc>
      </w:tr>
      <w:tr w:rsidR="006B7352" w:rsidRPr="00335062" w:rsidTr="004273C8">
        <w:tc>
          <w:tcPr>
            <w:tcW w:w="4854" w:type="dxa"/>
            <w:tcBorders>
              <w:top w:val="single" w:sz="4" w:space="0" w:color="auto"/>
            </w:tcBorders>
          </w:tcPr>
          <w:p w:rsidR="006B7352" w:rsidRPr="00335062" w:rsidRDefault="006B7352" w:rsidP="00C13AFC">
            <w:r w:rsidRPr="00752AC5">
              <w:t>For each subsequent drop below 30 x 10</w:t>
            </w:r>
            <w:r w:rsidRPr="00752AC5">
              <w:rPr>
                <w:vertAlign w:val="superscript"/>
              </w:rPr>
              <w:t>9</w:t>
            </w:r>
            <w:r w:rsidRPr="00752AC5">
              <w:t>/L</w:t>
            </w:r>
          </w:p>
        </w:tc>
        <w:tc>
          <w:tcPr>
            <w:tcW w:w="5069" w:type="dxa"/>
            <w:tcBorders>
              <w:top w:val="single" w:sz="4" w:space="0" w:color="auto"/>
            </w:tcBorders>
          </w:tcPr>
          <w:p w:rsidR="006B7352" w:rsidRPr="00752AC5" w:rsidRDefault="006B7352" w:rsidP="00C13AFC">
            <w:pPr>
              <w:rPr>
                <w:rFonts w:eastAsia="Times New Roman"/>
              </w:rPr>
            </w:pPr>
            <w:r w:rsidRPr="00752AC5">
              <w:rPr>
                <w:rFonts w:eastAsia="Times New Roman"/>
              </w:rPr>
              <w:t>Interrupt lenalidomide treatment</w:t>
            </w:r>
          </w:p>
        </w:tc>
      </w:tr>
      <w:tr w:rsidR="006B7352" w:rsidRPr="00335062" w:rsidTr="004273C8">
        <w:tc>
          <w:tcPr>
            <w:tcW w:w="4854" w:type="dxa"/>
            <w:tcBorders>
              <w:bottom w:val="single" w:sz="4" w:space="0" w:color="auto"/>
            </w:tcBorders>
          </w:tcPr>
          <w:p w:rsidR="006B7352" w:rsidRPr="00335062" w:rsidRDefault="006B7352" w:rsidP="00C13AFC">
            <w:r w:rsidRPr="00752AC5">
              <w:t>Return to ≥ 30 x 10</w:t>
            </w:r>
            <w:r w:rsidRPr="00752AC5">
              <w:rPr>
                <w:vertAlign w:val="superscript"/>
              </w:rPr>
              <w:t>9</w:t>
            </w:r>
            <w:r w:rsidRPr="00752AC5">
              <w:t>/L</w:t>
            </w:r>
          </w:p>
        </w:tc>
        <w:tc>
          <w:tcPr>
            <w:tcW w:w="5069" w:type="dxa"/>
            <w:tcBorders>
              <w:bottom w:val="single" w:sz="4" w:space="0" w:color="auto"/>
            </w:tcBorders>
          </w:tcPr>
          <w:p w:rsidR="006B7352" w:rsidRPr="00752AC5" w:rsidRDefault="006B7352" w:rsidP="00C13AFC">
            <w:pPr>
              <w:rPr>
                <w:rFonts w:eastAsia="Times New Roman"/>
              </w:rPr>
            </w:pPr>
            <w:r w:rsidRPr="00752AC5">
              <w:rPr>
                <w:rFonts w:eastAsia="Times New Roman"/>
              </w:rPr>
              <w:t>Resume lenalidomide at next lower dose level</w:t>
            </w:r>
            <w:r>
              <w:rPr>
                <w:rFonts w:eastAsia="Times New Roman"/>
              </w:rPr>
              <w:t xml:space="preserve"> </w:t>
            </w:r>
            <w:r w:rsidRPr="00752AC5">
              <w:rPr>
                <w:rFonts w:eastAsia="Times New Roman"/>
              </w:rPr>
              <w:t>once daily</w:t>
            </w:r>
          </w:p>
        </w:tc>
      </w:tr>
    </w:tbl>
    <w:p w:rsidR="006B7352" w:rsidRPr="00335062" w:rsidRDefault="006B7352" w:rsidP="006B7352"/>
    <w:p w:rsidR="006B7352" w:rsidRPr="00335062" w:rsidRDefault="00863F61" w:rsidP="006B7352">
      <w:pPr>
        <w:pStyle w:val="ListParagraph"/>
        <w:numPr>
          <w:ilvl w:val="0"/>
          <w:numId w:val="57"/>
        </w:numPr>
        <w:tabs>
          <w:tab w:val="left" w:pos="701"/>
        </w:tabs>
      </w:pPr>
      <w:r>
        <w:rPr>
          <w:rFonts w:eastAsia="Times New Roman"/>
          <w:i/>
          <w:iCs/>
        </w:rPr>
        <w:t>Absolute neutrophil count (ANC) - n</w:t>
      </w:r>
      <w:r w:rsidR="006B7352"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82"/>
      </w:tblGrid>
      <w:tr w:rsidR="006B7352" w:rsidRPr="00335062" w:rsidTr="00C13AFC">
        <w:tc>
          <w:tcPr>
            <w:tcW w:w="5069" w:type="dxa"/>
            <w:tcBorders>
              <w:bottom w:val="single" w:sz="4" w:space="0" w:color="auto"/>
            </w:tcBorders>
          </w:tcPr>
          <w:p w:rsidR="006B7352" w:rsidRPr="00335062" w:rsidRDefault="006B7352" w:rsidP="00863F61">
            <w:r w:rsidRPr="00335062">
              <w:rPr>
                <w:rFonts w:eastAsia="Times New Roman"/>
              </w:rPr>
              <w:t xml:space="preserve">When </w:t>
            </w:r>
            <w:r w:rsidR="00863F61">
              <w:rPr>
                <w:rFonts w:eastAsia="Times New Roman"/>
              </w:rPr>
              <w:t>ANC</w:t>
            </w:r>
          </w:p>
        </w:tc>
        <w:tc>
          <w:tcPr>
            <w:tcW w:w="5069" w:type="dxa"/>
            <w:tcBorders>
              <w:bottom w:val="single" w:sz="4" w:space="0" w:color="auto"/>
            </w:tcBorders>
          </w:tcPr>
          <w:p w:rsidR="006B7352" w:rsidRPr="00335062" w:rsidRDefault="006B7352" w:rsidP="00C13AFC">
            <w:r w:rsidRPr="00335062">
              <w:rPr>
                <w:rFonts w:eastAsia="Times New Roman"/>
              </w:rPr>
              <w:t>Recommended course</w:t>
            </w:r>
            <w:r w:rsidRPr="00752AC5">
              <w:rPr>
                <w:rFonts w:eastAsia="Times New Roman"/>
                <w:vertAlign w:val="superscript"/>
              </w:rPr>
              <w:t>a</w:t>
            </w:r>
          </w:p>
        </w:tc>
      </w:tr>
      <w:tr w:rsidR="006B7352" w:rsidRPr="00335062" w:rsidTr="00C13AF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First fall</w:t>
            </w:r>
            <w:r w:rsidR="00863F61">
              <w:rPr>
                <w:rFonts w:eastAsia="Times New Roman"/>
              </w:rPr>
              <w:t>s</w:t>
            </w:r>
            <w:r w:rsidRPr="00335062">
              <w:rPr>
                <w:rFonts w:eastAsia="Times New Roman"/>
              </w:rPr>
              <w:t xml:space="preserve"> to &lt; 0.5 x 10</w:t>
            </w:r>
            <w:r w:rsidRPr="00335062">
              <w:rPr>
                <w:rFonts w:eastAsia="Times New Roman"/>
                <w:vertAlign w:val="superscript"/>
              </w:rPr>
              <w:t>9</w:t>
            </w:r>
            <w:r w:rsidRPr="00335062">
              <w:rPr>
                <w:rFonts w:eastAsia="Times New Roman"/>
              </w:rPr>
              <w:t xml:space="preserve">/L </w:t>
            </w:r>
          </w:p>
          <w:p w:rsidR="006B7352" w:rsidRPr="00335062" w:rsidRDefault="006B7352" w:rsidP="00C13AFC">
            <w:r w:rsidRPr="00335062">
              <w:rPr>
                <w:rFonts w:eastAsia="Times New Roman"/>
              </w:rPr>
              <w:t>Return</w:t>
            </w:r>
            <w:r w:rsidR="00863F61">
              <w:rPr>
                <w:rFonts w:eastAsia="Times New Roman"/>
              </w:rPr>
              <w:t>s</w:t>
            </w:r>
            <w:r w:rsidRPr="00335062">
              <w:rPr>
                <w:rFonts w:eastAsia="Times New Roman"/>
              </w:rPr>
              <w:t xml:space="preserve"> to ≥ </w:t>
            </w:r>
            <w:r>
              <w:rPr>
                <w:rFonts w:eastAsia="Times New Roman"/>
              </w:rPr>
              <w:t>0.5</w:t>
            </w:r>
            <w:r w:rsidRPr="00335062">
              <w:rPr>
                <w:rFonts w:eastAsia="Times New Roman"/>
              </w:rPr>
              <w:t xml:space="preserve"> x 10</w:t>
            </w:r>
            <w:r w:rsidRPr="00335062">
              <w:rPr>
                <w:rFonts w:eastAsia="Times New Roman"/>
                <w:vertAlign w:val="superscript"/>
              </w:rPr>
              <w:t>9</w:t>
            </w:r>
            <w:r w:rsidRPr="00335062">
              <w:rPr>
                <w:rFonts w:eastAsia="Times New Roman"/>
              </w:rPr>
              <w:t xml:space="preserve">/L </w:t>
            </w:r>
          </w:p>
        </w:t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Interrupt lenalidomide treatment</w:t>
            </w:r>
          </w:p>
          <w:p w:rsidR="006B7352" w:rsidRPr="00335062" w:rsidRDefault="006B7352" w:rsidP="00C13AFC">
            <w:r w:rsidRPr="00752AC5">
              <w:rPr>
                <w:rFonts w:eastAsia="Times New Roman"/>
              </w:rPr>
              <w:t>Resume lenalidomide at dose level -1 once daily</w:t>
            </w:r>
          </w:p>
        </w:tc>
      </w:tr>
      <w:tr w:rsidR="006B7352" w:rsidRPr="00335062" w:rsidTr="00C13AFC">
        <w:tc>
          <w:tcPr>
            <w:tcW w:w="5069" w:type="dxa"/>
            <w:tcBorders>
              <w:top w:val="single" w:sz="4" w:space="0" w:color="auto"/>
              <w:bottom w:val="single" w:sz="4" w:space="0" w:color="auto"/>
            </w:tcBorders>
          </w:tcPr>
          <w:p w:rsidR="006B7352" w:rsidRDefault="006B7352" w:rsidP="00C13AFC">
            <w:pPr>
              <w:rPr>
                <w:rFonts w:eastAsia="Times New Roman"/>
              </w:rPr>
            </w:pPr>
            <w:r w:rsidRPr="00335062">
              <w:rPr>
                <w:rFonts w:eastAsia="Times New Roman"/>
              </w:rPr>
              <w:t>For each subsequent drop below &lt; 0.5 x 10</w:t>
            </w:r>
            <w:r w:rsidRPr="00335062">
              <w:rPr>
                <w:rFonts w:eastAsia="Times New Roman"/>
                <w:vertAlign w:val="superscript"/>
              </w:rPr>
              <w:t>9</w:t>
            </w:r>
            <w:r w:rsidRPr="00335062">
              <w:rPr>
                <w:rFonts w:eastAsia="Times New Roman"/>
              </w:rPr>
              <w:t xml:space="preserve">/L </w:t>
            </w:r>
          </w:p>
          <w:p w:rsidR="006B7352" w:rsidRPr="00335062" w:rsidRDefault="006B7352" w:rsidP="00C13AFC">
            <w:r w:rsidRPr="00335062">
              <w:rPr>
                <w:rFonts w:eastAsia="Times New Roman"/>
              </w:rPr>
              <w:t>Return</w:t>
            </w:r>
            <w:r w:rsidR="00863F61">
              <w:rPr>
                <w:rFonts w:eastAsia="Times New Roman"/>
              </w:rPr>
              <w:t>s</w:t>
            </w:r>
            <w:r w:rsidRPr="00335062">
              <w:rPr>
                <w:rFonts w:eastAsia="Times New Roman"/>
              </w:rPr>
              <w:t xml:space="preserve"> to ≥ 0.5 x 10</w:t>
            </w:r>
            <w:r w:rsidRPr="00335062">
              <w:rPr>
                <w:rFonts w:eastAsia="Times New Roman"/>
                <w:vertAlign w:val="superscript"/>
              </w:rPr>
              <w:t>9</w:t>
            </w:r>
            <w:r w:rsidRPr="00335062">
              <w:rPr>
                <w:rFonts w:eastAsia="Times New Roman"/>
              </w:rPr>
              <w:t>/L</w:t>
            </w:r>
          </w:p>
        </w:t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Interrupt lenalidomide treatment</w:t>
            </w:r>
          </w:p>
          <w:p w:rsidR="006B7352" w:rsidRPr="00335062" w:rsidRDefault="006B7352" w:rsidP="00C13AFC">
            <w:pPr>
              <w:ind w:right="1020"/>
            </w:pPr>
            <w:r w:rsidRPr="00335062">
              <w:rPr>
                <w:rFonts w:eastAsia="Times New Roman"/>
              </w:rPr>
              <w:t>Resume lenalidomide at next lower dose level once daily.</w:t>
            </w:r>
          </w:p>
        </w:tc>
      </w:tr>
    </w:tbl>
    <w:p w:rsidR="006B7352" w:rsidRPr="00F04381" w:rsidRDefault="006B7352" w:rsidP="006B7352">
      <w:pPr>
        <w:rPr>
          <w:rFonts w:eastAsia="Times New Roman"/>
          <w:iCs/>
          <w:sz w:val="16"/>
          <w:szCs w:val="16"/>
        </w:rPr>
      </w:pPr>
      <w:r w:rsidRPr="00F04381">
        <w:rPr>
          <w:rFonts w:eastAsia="Times New Roman"/>
          <w:iCs/>
          <w:sz w:val="16"/>
          <w:szCs w:val="16"/>
          <w:vertAlign w:val="superscript"/>
        </w:rPr>
        <w:t xml:space="preserve">a </w:t>
      </w:r>
      <w:r w:rsidRPr="00F04381">
        <w:rPr>
          <w:rFonts w:eastAsia="Times New Roman"/>
          <w:iCs/>
          <w:sz w:val="16"/>
          <w:szCs w:val="16"/>
        </w:rPr>
        <w:t>At the physician’s discretion, if neutropenia is the only toxicity at any dose level, add granulocyte colony stimulating factor (G-CSF) and maintain the dose level of lenalidomide.</w:t>
      </w:r>
    </w:p>
    <w:p w:rsidR="006B7352" w:rsidRPr="00335062" w:rsidRDefault="006B7352" w:rsidP="00AB7A9E"/>
    <w:p w:rsidR="00506994" w:rsidRPr="004273C8" w:rsidRDefault="00506994" w:rsidP="00AB7A9E">
      <w:pPr>
        <w:rPr>
          <w:i/>
          <w:u w:val="single"/>
        </w:rPr>
      </w:pPr>
      <w:r w:rsidRPr="004273C8">
        <w:rPr>
          <w:rFonts w:eastAsia="Times New Roman"/>
          <w:bCs/>
          <w:i/>
          <w:u w:val="single"/>
        </w:rPr>
        <w:t>Multiple myeloma with at least one prior therapy</w:t>
      </w:r>
    </w:p>
    <w:p w:rsidR="0041727C" w:rsidRDefault="0041727C" w:rsidP="00AB7A9E">
      <w:pPr>
        <w:autoSpaceDE w:val="0"/>
        <w:autoSpaceDN w:val="0"/>
        <w:adjustRightInd w:val="0"/>
        <w:rPr>
          <w:rFonts w:eastAsia="Times New Roman"/>
        </w:rPr>
      </w:pPr>
      <w:r>
        <w:rPr>
          <w:rFonts w:eastAsia="Times New Roman"/>
        </w:rPr>
        <w:t>Lenalidomide treatment must not be started if the ANC &lt; 1.0 x 10</w:t>
      </w:r>
      <w:r w:rsidRPr="0041727C">
        <w:rPr>
          <w:rFonts w:eastAsia="Times New Roman"/>
          <w:vertAlign w:val="superscript"/>
        </w:rPr>
        <w:t>9</w:t>
      </w:r>
      <w:r>
        <w:rPr>
          <w:rFonts w:eastAsia="Times New Roman"/>
        </w:rPr>
        <w:t>/L, and/or platelet counts &lt; 75 x 10</w:t>
      </w:r>
      <w:r w:rsidRPr="0041727C">
        <w:rPr>
          <w:rFonts w:eastAsia="Times New Roman"/>
          <w:vertAlign w:val="superscript"/>
        </w:rPr>
        <w:t>9</w:t>
      </w:r>
      <w:r>
        <w:rPr>
          <w:rFonts w:eastAsia="Times New Roman"/>
        </w:rPr>
        <w:t>/L or,</w:t>
      </w:r>
    </w:p>
    <w:p w:rsidR="00506994" w:rsidRDefault="0041727C" w:rsidP="00AB7A9E">
      <w:pPr>
        <w:rPr>
          <w:rFonts w:eastAsia="Times New Roman"/>
        </w:rPr>
      </w:pPr>
      <w:r>
        <w:rPr>
          <w:rFonts w:eastAsia="Times New Roman"/>
        </w:rPr>
        <w:t>dependent on bone marrow infiltration by plasma cells, platelet counts &lt; 30 x 10</w:t>
      </w:r>
      <w:r w:rsidRPr="0041727C">
        <w:rPr>
          <w:rFonts w:eastAsia="Times New Roman"/>
          <w:vertAlign w:val="superscript"/>
        </w:rPr>
        <w:t>9</w:t>
      </w:r>
      <w:r>
        <w:rPr>
          <w:rFonts w:eastAsia="Times New Roman"/>
        </w:rPr>
        <w:t>/L.</w:t>
      </w:r>
    </w:p>
    <w:p w:rsidR="0041727C" w:rsidRPr="00335062" w:rsidRDefault="0041727C" w:rsidP="00AB7A9E"/>
    <w:p w:rsidR="00506994" w:rsidRDefault="00506994" w:rsidP="00AB7A9E">
      <w:pPr>
        <w:rPr>
          <w:rFonts w:eastAsia="Times New Roman"/>
          <w:i/>
          <w:iCs/>
        </w:rPr>
      </w:pPr>
      <w:r w:rsidRPr="00D77DFF">
        <w:rPr>
          <w:rFonts w:eastAsia="Times New Roman"/>
          <w:i/>
          <w:iCs/>
        </w:rPr>
        <w:t>Recommended dose</w:t>
      </w:r>
    </w:p>
    <w:p w:rsidR="000006F0" w:rsidRDefault="000006F0" w:rsidP="00AB7A9E">
      <w:pPr>
        <w:autoSpaceDE w:val="0"/>
        <w:autoSpaceDN w:val="0"/>
        <w:adjustRightInd w:val="0"/>
        <w:rPr>
          <w:rFonts w:eastAsia="Times New Roman"/>
        </w:rPr>
      </w:pPr>
      <w:r>
        <w:rPr>
          <w:rFonts w:eastAsia="Times New Roman"/>
        </w:rPr>
        <w:t>The recommended starting dose of lenalidomide is 25 mg orally once daily on days 1 to 21 of repeated</w:t>
      </w:r>
    </w:p>
    <w:p w:rsidR="000006F0" w:rsidRDefault="000006F0" w:rsidP="00AB7A9E">
      <w:pPr>
        <w:autoSpaceDE w:val="0"/>
        <w:autoSpaceDN w:val="0"/>
        <w:adjustRightInd w:val="0"/>
        <w:rPr>
          <w:rFonts w:eastAsia="Times New Roman"/>
        </w:rPr>
      </w:pPr>
      <w:r>
        <w:rPr>
          <w:rFonts w:eastAsia="Times New Roman"/>
        </w:rPr>
        <w:t>28-day cycles. The recommended dose of dexamethasone is 40 mg orally once daily on days 1 to 4, 9 to 12,</w:t>
      </w:r>
    </w:p>
    <w:p w:rsidR="000006F0" w:rsidRDefault="000006F0" w:rsidP="00AB7A9E">
      <w:pPr>
        <w:autoSpaceDE w:val="0"/>
        <w:autoSpaceDN w:val="0"/>
        <w:adjustRightInd w:val="0"/>
        <w:rPr>
          <w:rFonts w:eastAsia="Times New Roman"/>
        </w:rPr>
      </w:pPr>
      <w:r>
        <w:rPr>
          <w:rFonts w:eastAsia="Times New Roman"/>
        </w:rPr>
        <w:t>and 17 to 20 of each 28-day cycle for the first 4 cycles of therapy and then 40 mg once daily on days 1 to 4</w:t>
      </w:r>
    </w:p>
    <w:p w:rsidR="000006F0" w:rsidRDefault="000006F0" w:rsidP="00AB7A9E">
      <w:pPr>
        <w:autoSpaceDE w:val="0"/>
        <w:autoSpaceDN w:val="0"/>
        <w:adjustRightInd w:val="0"/>
        <w:rPr>
          <w:rFonts w:eastAsia="Times New Roman"/>
        </w:rPr>
      </w:pPr>
      <w:r>
        <w:rPr>
          <w:rFonts w:eastAsia="Times New Roman"/>
        </w:rPr>
        <w:t>every 28 days.</w:t>
      </w:r>
    </w:p>
    <w:p w:rsidR="000006F0" w:rsidRDefault="000006F0" w:rsidP="00AB7A9E">
      <w:pPr>
        <w:autoSpaceDE w:val="0"/>
        <w:autoSpaceDN w:val="0"/>
        <w:adjustRightInd w:val="0"/>
        <w:rPr>
          <w:rFonts w:eastAsia="Times New Roman"/>
        </w:rPr>
      </w:pPr>
      <w:r>
        <w:rPr>
          <w:rFonts w:eastAsia="Times New Roman"/>
        </w:rPr>
        <w:t>Prescribing physicians should carefully evaluate which dose of dexamethasone to use, taking into account</w:t>
      </w:r>
    </w:p>
    <w:p w:rsidR="00506994" w:rsidRDefault="000006F0" w:rsidP="00AB7A9E">
      <w:pPr>
        <w:rPr>
          <w:rFonts w:eastAsia="Times New Roman"/>
        </w:rPr>
      </w:pPr>
      <w:r>
        <w:rPr>
          <w:rFonts w:eastAsia="Times New Roman"/>
        </w:rPr>
        <w:t>the condition and disease status of the patient.</w:t>
      </w:r>
    </w:p>
    <w:p w:rsidR="000006F0" w:rsidRDefault="000006F0" w:rsidP="00AB7A9E"/>
    <w:p w:rsidR="00506994" w:rsidRPr="002A4B38" w:rsidRDefault="00506994" w:rsidP="00AB7A9E">
      <w:pPr>
        <w:pStyle w:val="ListParagraph"/>
        <w:numPr>
          <w:ilvl w:val="0"/>
          <w:numId w:val="57"/>
        </w:numPr>
        <w:rPr>
          <w:i/>
        </w:rPr>
      </w:pPr>
      <w:r w:rsidRPr="002A4B38">
        <w:rPr>
          <w:i/>
        </w:rPr>
        <w:t>Dose reduction steps</w:t>
      </w:r>
    </w:p>
    <w:tbl>
      <w:tblPr>
        <w:tblStyle w:val="TableGrid"/>
        <w:tblW w:w="5000" w:type="pct"/>
        <w:jc w:val="center"/>
        <w:tblLook w:val="04A0" w:firstRow="1" w:lastRow="0" w:firstColumn="1" w:lastColumn="0" w:noHBand="0" w:noVBand="1"/>
      </w:tblPr>
      <w:tblGrid>
        <w:gridCol w:w="3920"/>
        <w:gridCol w:w="5995"/>
      </w:tblGrid>
      <w:tr w:rsidR="00506994" w:rsidRPr="00F30CC0" w:rsidTr="000006F0">
        <w:trPr>
          <w:jc w:val="center"/>
        </w:trPr>
        <w:tc>
          <w:tcPr>
            <w:tcW w:w="1977" w:type="pct"/>
            <w:vAlign w:val="bottom"/>
          </w:tcPr>
          <w:p w:rsidR="00506994" w:rsidRPr="00F30CC0" w:rsidRDefault="00506994" w:rsidP="00AB7A9E">
            <w:r w:rsidRPr="00F30CC0">
              <w:t>Starting dose</w:t>
            </w:r>
          </w:p>
        </w:tc>
        <w:tc>
          <w:tcPr>
            <w:tcW w:w="3023" w:type="pct"/>
            <w:vAlign w:val="bottom"/>
          </w:tcPr>
          <w:p w:rsidR="00506994" w:rsidRPr="00F30CC0" w:rsidRDefault="00506994" w:rsidP="00AB7A9E">
            <w:pPr>
              <w:jc w:val="center"/>
            </w:pPr>
            <w:r w:rsidRPr="00F30CC0">
              <w:t>25 mg</w:t>
            </w:r>
          </w:p>
        </w:tc>
      </w:tr>
      <w:tr w:rsidR="00506994" w:rsidRPr="00F30CC0" w:rsidTr="000006F0">
        <w:trPr>
          <w:jc w:val="center"/>
        </w:trPr>
        <w:tc>
          <w:tcPr>
            <w:tcW w:w="1977" w:type="pct"/>
            <w:vAlign w:val="bottom"/>
          </w:tcPr>
          <w:p w:rsidR="00506994" w:rsidRPr="00F30CC0" w:rsidRDefault="00506994" w:rsidP="00AB7A9E">
            <w:r w:rsidRPr="00F30CC0">
              <w:t>Dose level -1</w:t>
            </w:r>
          </w:p>
        </w:tc>
        <w:tc>
          <w:tcPr>
            <w:tcW w:w="3023" w:type="pct"/>
            <w:vAlign w:val="bottom"/>
          </w:tcPr>
          <w:p w:rsidR="00506994" w:rsidRPr="00F30CC0" w:rsidRDefault="00506994" w:rsidP="00AB7A9E">
            <w:pPr>
              <w:jc w:val="center"/>
            </w:pPr>
            <w:r w:rsidRPr="00F30CC0">
              <w:t>15 mg</w:t>
            </w:r>
          </w:p>
        </w:tc>
      </w:tr>
      <w:tr w:rsidR="00506994" w:rsidRPr="00F30CC0" w:rsidTr="000006F0">
        <w:trPr>
          <w:jc w:val="center"/>
        </w:trPr>
        <w:tc>
          <w:tcPr>
            <w:tcW w:w="1977" w:type="pct"/>
            <w:vAlign w:val="bottom"/>
          </w:tcPr>
          <w:p w:rsidR="00506994" w:rsidRPr="00F30CC0" w:rsidRDefault="00506994" w:rsidP="00AB7A9E">
            <w:r w:rsidRPr="00F30CC0">
              <w:t>Dose level -2</w:t>
            </w:r>
          </w:p>
        </w:tc>
        <w:tc>
          <w:tcPr>
            <w:tcW w:w="3023" w:type="pct"/>
            <w:vAlign w:val="bottom"/>
          </w:tcPr>
          <w:p w:rsidR="00506994" w:rsidRPr="00F30CC0" w:rsidRDefault="00506994" w:rsidP="00AB7A9E">
            <w:pPr>
              <w:jc w:val="center"/>
            </w:pPr>
            <w:r w:rsidRPr="00F30CC0">
              <w:t>10 mg</w:t>
            </w:r>
          </w:p>
        </w:tc>
      </w:tr>
      <w:tr w:rsidR="00506994" w:rsidRPr="00F30CC0" w:rsidTr="000006F0">
        <w:trPr>
          <w:jc w:val="center"/>
        </w:trPr>
        <w:tc>
          <w:tcPr>
            <w:tcW w:w="1977" w:type="pct"/>
            <w:vAlign w:val="bottom"/>
          </w:tcPr>
          <w:p w:rsidR="00506994" w:rsidRPr="00F30CC0" w:rsidRDefault="00506994" w:rsidP="00AB7A9E">
            <w:r w:rsidRPr="00F30CC0">
              <w:t>Dose level -3</w:t>
            </w:r>
          </w:p>
        </w:tc>
        <w:tc>
          <w:tcPr>
            <w:tcW w:w="3023" w:type="pct"/>
            <w:vAlign w:val="bottom"/>
          </w:tcPr>
          <w:p w:rsidR="00506994" w:rsidRPr="00F30CC0" w:rsidRDefault="00506994" w:rsidP="00AB7A9E">
            <w:pPr>
              <w:jc w:val="center"/>
            </w:pPr>
            <w:r w:rsidRPr="00F30CC0">
              <w:t>5 mg</w:t>
            </w:r>
          </w:p>
        </w:tc>
      </w:tr>
    </w:tbl>
    <w:p w:rsidR="00506994" w:rsidRDefault="00506994" w:rsidP="00AB7A9E"/>
    <w:p w:rsidR="00506994" w:rsidRPr="002A4B38" w:rsidRDefault="00506994" w:rsidP="00AB7A9E">
      <w:pPr>
        <w:pStyle w:val="ListParagraph"/>
        <w:numPr>
          <w:ilvl w:val="0"/>
          <w:numId w:val="57"/>
        </w:numPr>
        <w:rPr>
          <w:rFonts w:eastAsia="Times New Roman"/>
          <w:i/>
        </w:rPr>
      </w:pPr>
      <w:r w:rsidRPr="002A4B38">
        <w:rPr>
          <w:rFonts w:eastAsia="Times New Roman"/>
          <w:i/>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506994" w:rsidRPr="00F30CC0" w:rsidTr="000006F0">
        <w:tc>
          <w:tcPr>
            <w:tcW w:w="4637" w:type="dxa"/>
            <w:tcBorders>
              <w:bottom w:val="single" w:sz="4" w:space="0" w:color="auto"/>
            </w:tcBorders>
          </w:tcPr>
          <w:p w:rsidR="00506994" w:rsidRPr="00F30CC0" w:rsidRDefault="00506994" w:rsidP="00AB7A9E">
            <w:r w:rsidRPr="00F30CC0">
              <w:t>When platelets</w:t>
            </w:r>
          </w:p>
        </w:tc>
        <w:tc>
          <w:tcPr>
            <w:tcW w:w="5286" w:type="dxa"/>
            <w:tcBorders>
              <w:bottom w:val="single" w:sz="4" w:space="0" w:color="auto"/>
            </w:tcBorders>
          </w:tcPr>
          <w:p w:rsidR="00506994" w:rsidRPr="00F30CC0" w:rsidRDefault="00506994" w:rsidP="00AB7A9E">
            <w:r w:rsidRPr="00F30CC0">
              <w:t>Recommended course</w:t>
            </w:r>
          </w:p>
        </w:tc>
      </w:tr>
      <w:tr w:rsidR="00506994" w:rsidRPr="00F30CC0" w:rsidTr="000006F0">
        <w:tc>
          <w:tcPr>
            <w:tcW w:w="4637" w:type="dxa"/>
            <w:tcBorders>
              <w:top w:val="single" w:sz="4" w:space="0" w:color="auto"/>
              <w:bottom w:val="single" w:sz="4" w:space="0" w:color="auto"/>
            </w:tcBorders>
          </w:tcPr>
          <w:p w:rsidR="00506994" w:rsidRPr="00F30CC0" w:rsidRDefault="00506994" w:rsidP="00AB7A9E">
            <w:r w:rsidRPr="00F30CC0">
              <w:t>First fall</w:t>
            </w:r>
            <w:r w:rsidR="00490884">
              <w:t>s</w:t>
            </w:r>
            <w:r w:rsidRPr="00F30CC0">
              <w:t xml:space="preserve"> to &lt; 30 x 10</w:t>
            </w:r>
            <w:r w:rsidRPr="00F30CC0">
              <w:rPr>
                <w:vertAlign w:val="superscript"/>
              </w:rPr>
              <w:t>9</w:t>
            </w:r>
            <w:r w:rsidRPr="00F30CC0">
              <w:t>/L</w:t>
            </w:r>
          </w:p>
          <w:p w:rsidR="00506994" w:rsidRPr="00F30CC0" w:rsidRDefault="00506994" w:rsidP="00AB7A9E">
            <w:r w:rsidRPr="00F30CC0">
              <w:t>Return</w:t>
            </w:r>
            <w:r w:rsidR="00490884">
              <w:t>s</w:t>
            </w:r>
            <w:r w:rsidRPr="00F30CC0">
              <w:t xml:space="preserve"> to ≥ 30 x 10</w:t>
            </w:r>
            <w:r w:rsidRPr="00F30CC0">
              <w:rPr>
                <w:vertAlign w:val="superscript"/>
              </w:rPr>
              <w:t>9</w:t>
            </w:r>
            <w:r w:rsidRPr="00F30CC0">
              <w:t>/L</w:t>
            </w:r>
          </w:p>
        </w:tc>
        <w:tc>
          <w:tcPr>
            <w:tcW w:w="5286" w:type="dxa"/>
            <w:tcBorders>
              <w:top w:val="single" w:sz="4" w:space="0" w:color="auto"/>
              <w:bottom w:val="single" w:sz="4" w:space="0" w:color="auto"/>
            </w:tcBorders>
          </w:tcPr>
          <w:p w:rsidR="000006F0" w:rsidRDefault="00506994" w:rsidP="00AB7A9E">
            <w:r w:rsidRPr="00F30CC0">
              <w:t xml:space="preserve">Interrupt lenalidomide treatment </w:t>
            </w:r>
          </w:p>
          <w:p w:rsidR="00506994" w:rsidRPr="00F30CC0" w:rsidRDefault="00506994" w:rsidP="00AB7A9E">
            <w:r w:rsidRPr="00F30CC0">
              <w:t xml:space="preserve">Resume lenalidomide at </w:t>
            </w:r>
            <w:r w:rsidR="000006F0">
              <w:t>d</w:t>
            </w:r>
            <w:r w:rsidRPr="00F30CC0">
              <w:t>ose level -1</w:t>
            </w:r>
          </w:p>
        </w:tc>
      </w:tr>
      <w:tr w:rsidR="00506994" w:rsidRPr="00F30CC0" w:rsidTr="000006F0">
        <w:tc>
          <w:tcPr>
            <w:tcW w:w="4637" w:type="dxa"/>
            <w:tcBorders>
              <w:top w:val="single" w:sz="4" w:space="0" w:color="auto"/>
            </w:tcBorders>
          </w:tcPr>
          <w:p w:rsidR="00506994" w:rsidRPr="00F30CC0" w:rsidRDefault="00506994" w:rsidP="00AB7A9E">
            <w:r w:rsidRPr="00F30CC0">
              <w:t>For each subsequent drop below 30 x 10</w:t>
            </w:r>
            <w:r w:rsidRPr="00F30CC0">
              <w:rPr>
                <w:vertAlign w:val="superscript"/>
              </w:rPr>
              <w:t>9</w:t>
            </w:r>
            <w:r w:rsidRPr="00F30CC0">
              <w:t>/L Return</w:t>
            </w:r>
            <w:r w:rsidR="00490884">
              <w:t>s</w:t>
            </w:r>
            <w:r w:rsidRPr="00F30CC0">
              <w:t xml:space="preserve"> to ≥ 30 x 10</w:t>
            </w:r>
            <w:r w:rsidRPr="00F30CC0">
              <w:rPr>
                <w:vertAlign w:val="superscript"/>
              </w:rPr>
              <w:t>9</w:t>
            </w:r>
            <w:r w:rsidRPr="00F30CC0">
              <w:t>/L</w:t>
            </w:r>
          </w:p>
        </w:tc>
        <w:tc>
          <w:tcPr>
            <w:tcW w:w="5286" w:type="dxa"/>
            <w:tcBorders>
              <w:top w:val="single" w:sz="4" w:space="0" w:color="auto"/>
            </w:tcBorders>
          </w:tcPr>
          <w:p w:rsidR="00052277" w:rsidRDefault="00506994" w:rsidP="00AB7A9E">
            <w:r w:rsidRPr="00F30CC0">
              <w:t xml:space="preserve">Interrupt lenalidomide treatment </w:t>
            </w:r>
          </w:p>
          <w:p w:rsidR="00052277" w:rsidRDefault="00506994" w:rsidP="00AB7A9E">
            <w:r w:rsidRPr="00F30CC0">
              <w:t>Resume lenalidomide at next lower dose level (</w:t>
            </w:r>
            <w:r w:rsidR="00052277">
              <w:t>d</w:t>
            </w:r>
            <w:r w:rsidRPr="00F30CC0">
              <w:t>ose level -2 or -3) once daily.</w:t>
            </w:r>
            <w:r w:rsidR="00052277">
              <w:t xml:space="preserve"> Do not dose</w:t>
            </w:r>
          </w:p>
          <w:p w:rsidR="00506994" w:rsidRPr="00F30CC0" w:rsidRDefault="00052277" w:rsidP="00AB7A9E">
            <w:r>
              <w:t>below 5 mg once daily.</w:t>
            </w:r>
          </w:p>
        </w:tc>
      </w:tr>
    </w:tbl>
    <w:p w:rsidR="00506994" w:rsidRPr="00F02383" w:rsidRDefault="00506994" w:rsidP="00AB7A9E">
      <w:pPr>
        <w:rPr>
          <w:rFonts w:eastAsia="Times New Roman"/>
        </w:rPr>
      </w:pPr>
    </w:p>
    <w:p w:rsidR="00506994" w:rsidRPr="00456001" w:rsidRDefault="00863F61" w:rsidP="00AB7A9E">
      <w:pPr>
        <w:pStyle w:val="ListParagraph"/>
        <w:numPr>
          <w:ilvl w:val="0"/>
          <w:numId w:val="57"/>
        </w:numPr>
        <w:tabs>
          <w:tab w:val="left" w:pos="340"/>
        </w:tabs>
      </w:pPr>
      <w:r>
        <w:rPr>
          <w:rFonts w:eastAsia="Times New Roman"/>
          <w:i/>
          <w:iCs/>
        </w:rPr>
        <w:t>Absolute neutrophil count (ANC) - n</w:t>
      </w:r>
      <w:r w:rsidR="00506994"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506994" w:rsidTr="00847F91">
        <w:tc>
          <w:tcPr>
            <w:tcW w:w="5069" w:type="dxa"/>
            <w:tcBorders>
              <w:bottom w:val="single" w:sz="4" w:space="0" w:color="auto"/>
            </w:tcBorders>
          </w:tcPr>
          <w:p w:rsidR="00506994" w:rsidRDefault="00506994" w:rsidP="00863F61">
            <w:pPr>
              <w:ind w:right="1020"/>
            </w:pPr>
            <w:r>
              <w:rPr>
                <w:rFonts w:eastAsia="Times New Roman"/>
              </w:rPr>
              <w:t xml:space="preserve">When </w:t>
            </w:r>
            <w:r w:rsidR="00863F61">
              <w:rPr>
                <w:rFonts w:eastAsia="Times New Roman"/>
              </w:rPr>
              <w:t>ANC</w:t>
            </w:r>
          </w:p>
        </w:tc>
        <w:tc>
          <w:tcPr>
            <w:tcW w:w="5069" w:type="dxa"/>
            <w:tcBorders>
              <w:bottom w:val="single" w:sz="4" w:space="0" w:color="auto"/>
            </w:tcBorders>
          </w:tcPr>
          <w:p w:rsidR="00506994" w:rsidRPr="008820D9" w:rsidRDefault="00506994" w:rsidP="00AB7A9E">
            <w:pPr>
              <w:ind w:right="1020"/>
            </w:pPr>
            <w:r>
              <w:rPr>
                <w:rFonts w:eastAsia="Times New Roman"/>
              </w:rPr>
              <w:t>Recommended course</w:t>
            </w:r>
            <w:r w:rsidR="008820D9">
              <w:rPr>
                <w:rFonts w:eastAsia="Times New Roman"/>
                <w:vertAlign w:val="superscript"/>
              </w:rPr>
              <w:t>a</w:t>
            </w:r>
          </w:p>
        </w:tc>
      </w:tr>
      <w:tr w:rsidR="00506994" w:rsidTr="00847F91">
        <w:tc>
          <w:tcPr>
            <w:tcW w:w="5069" w:type="dxa"/>
            <w:tcBorders>
              <w:top w:val="single" w:sz="4" w:space="0" w:color="auto"/>
              <w:bottom w:val="single" w:sz="4" w:space="0" w:color="auto"/>
            </w:tcBorders>
          </w:tcPr>
          <w:p w:rsidR="00506994" w:rsidRPr="00052277" w:rsidRDefault="00052277" w:rsidP="00AB7A9E">
            <w:pPr>
              <w:rPr>
                <w:rFonts w:eastAsia="Times New Roman"/>
              </w:rPr>
            </w:pPr>
            <w:r w:rsidRPr="00052277">
              <w:rPr>
                <w:rFonts w:eastAsia="Times New Roman"/>
              </w:rPr>
              <w:t>First fall</w:t>
            </w:r>
            <w:r w:rsidR="00863F61">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052277" w:rsidRPr="00052277" w:rsidRDefault="00052277" w:rsidP="00AB7A9E">
            <w:r w:rsidRPr="00052277">
              <w:t>Return</w:t>
            </w:r>
            <w:r w:rsidR="00863F61">
              <w:t>s</w:t>
            </w:r>
            <w:r w:rsidRPr="00052277">
              <w:t xml:space="preserve"> to ≥ 0.5 x 10</w:t>
            </w:r>
            <w:r w:rsidRPr="00052277">
              <w:rPr>
                <w:vertAlign w:val="superscript"/>
              </w:rPr>
              <w:t>9</w:t>
            </w:r>
            <w:r w:rsidRPr="00052277">
              <w:t>/L when neutropenia is the only</w:t>
            </w:r>
          </w:p>
          <w:p w:rsidR="00052277" w:rsidRDefault="00052277" w:rsidP="00AB7A9E">
            <w:pPr>
              <w:rPr>
                <w:sz w:val="20"/>
                <w:szCs w:val="20"/>
              </w:rPr>
            </w:pPr>
            <w:r w:rsidRPr="00052277">
              <w:t>observed toxicity</w:t>
            </w:r>
          </w:p>
        </w:tc>
        <w:tc>
          <w:tcPr>
            <w:tcW w:w="5069" w:type="dxa"/>
            <w:tcBorders>
              <w:top w:val="single" w:sz="4" w:space="0" w:color="auto"/>
              <w:bottom w:val="single" w:sz="4" w:space="0" w:color="auto"/>
            </w:tcBorders>
          </w:tcPr>
          <w:p w:rsidR="00506994" w:rsidRDefault="00052277" w:rsidP="00AB7A9E">
            <w:pPr>
              <w:ind w:right="1020"/>
              <w:rPr>
                <w:rFonts w:eastAsia="Times New Roman"/>
              </w:rPr>
            </w:pPr>
            <w:r>
              <w:rPr>
                <w:rFonts w:eastAsia="Times New Roman"/>
              </w:rPr>
              <w:t>Interrupt lenalidomide treatment</w:t>
            </w:r>
          </w:p>
          <w:p w:rsidR="00052277" w:rsidRDefault="00052277" w:rsidP="00AB7A9E">
            <w:pPr>
              <w:ind w:right="424"/>
            </w:pPr>
            <w:r>
              <w:rPr>
                <w:rFonts w:eastAsia="Times New Roman"/>
              </w:rPr>
              <w:t>Resume lenalidomide at starting dose once daily</w:t>
            </w:r>
          </w:p>
        </w:tc>
      </w:tr>
      <w:tr w:rsidR="00506994" w:rsidTr="00847F91">
        <w:tc>
          <w:tcPr>
            <w:tcW w:w="5069" w:type="dxa"/>
            <w:tcBorders>
              <w:top w:val="single" w:sz="4" w:space="0" w:color="auto"/>
              <w:bottom w:val="single" w:sz="4" w:space="0" w:color="auto"/>
            </w:tcBorders>
          </w:tcPr>
          <w:p w:rsidR="00506994" w:rsidRDefault="00506994" w:rsidP="00AB7A9E">
            <w:pPr>
              <w:rPr>
                <w:sz w:val="20"/>
                <w:szCs w:val="20"/>
              </w:rPr>
            </w:pPr>
            <w:r>
              <w:rPr>
                <w:rFonts w:eastAsia="Times New Roman"/>
              </w:rPr>
              <w:t>Return</w:t>
            </w:r>
            <w:r w:rsidR="00863F61">
              <w:rPr>
                <w:rFonts w:eastAsia="Times New Roman"/>
              </w:rPr>
              <w:t>s</w:t>
            </w:r>
            <w:r>
              <w:rPr>
                <w:rFonts w:eastAsia="Times New Roman"/>
              </w:rPr>
              <w:t xml:space="preserve"> to ≥ 0.5 x 10</w:t>
            </w:r>
            <w:r>
              <w:rPr>
                <w:rFonts w:eastAsia="Times New Roman"/>
                <w:sz w:val="27"/>
                <w:szCs w:val="27"/>
                <w:vertAlign w:val="superscript"/>
              </w:rPr>
              <w:t>9</w:t>
            </w:r>
            <w:r>
              <w:rPr>
                <w:rFonts w:eastAsia="Times New Roman"/>
              </w:rPr>
              <w:t>/L when dose-dependent haematological toxicities other than neutropenia are observed</w:t>
            </w:r>
          </w:p>
        </w:tc>
        <w:tc>
          <w:tcPr>
            <w:tcW w:w="5069" w:type="dxa"/>
            <w:tcBorders>
              <w:top w:val="single" w:sz="4" w:space="0" w:color="auto"/>
              <w:bottom w:val="single" w:sz="4" w:space="0" w:color="auto"/>
            </w:tcBorders>
          </w:tcPr>
          <w:p w:rsidR="00506994" w:rsidRDefault="00506994" w:rsidP="00AB7A9E">
            <w:pPr>
              <w:ind w:right="1020"/>
            </w:pPr>
            <w:r>
              <w:rPr>
                <w:rFonts w:eastAsia="Times New Roman"/>
              </w:rPr>
              <w:t xml:space="preserve">Resume lenalidomide at </w:t>
            </w:r>
            <w:r w:rsidR="00052277">
              <w:rPr>
                <w:rFonts w:eastAsia="Times New Roman"/>
              </w:rPr>
              <w:t>d</w:t>
            </w:r>
            <w:r>
              <w:rPr>
                <w:rFonts w:eastAsia="Times New Roman"/>
              </w:rPr>
              <w:t>ose level -1 once daily</w:t>
            </w:r>
          </w:p>
        </w:tc>
      </w:tr>
      <w:tr w:rsidR="00506994" w:rsidTr="00847F91">
        <w:tc>
          <w:tcPr>
            <w:tcW w:w="5069" w:type="dxa"/>
            <w:tcBorders>
              <w:top w:val="single" w:sz="4" w:space="0" w:color="auto"/>
              <w:bottom w:val="single" w:sz="4" w:space="0" w:color="auto"/>
            </w:tcBorders>
          </w:tcPr>
          <w:p w:rsidR="00506994" w:rsidRDefault="00506994" w:rsidP="00AB7A9E">
            <w:pPr>
              <w:rPr>
                <w:sz w:val="20"/>
                <w:szCs w:val="20"/>
              </w:rPr>
            </w:pPr>
            <w:r>
              <w:rPr>
                <w:rFonts w:eastAsia="Times New Roman"/>
              </w:rPr>
              <w:t>For each subsequent drop below &lt; 0.5 x 10</w:t>
            </w:r>
            <w:r>
              <w:rPr>
                <w:rFonts w:eastAsia="Times New Roman"/>
                <w:sz w:val="27"/>
                <w:szCs w:val="27"/>
                <w:vertAlign w:val="superscript"/>
              </w:rPr>
              <w:t>9</w:t>
            </w:r>
            <w:r>
              <w:rPr>
                <w:rFonts w:eastAsia="Times New Roman"/>
              </w:rPr>
              <w:t>/L Return</w:t>
            </w:r>
            <w:r w:rsidR="00863F61">
              <w:rPr>
                <w:rFonts w:eastAsia="Times New Roman"/>
              </w:rPr>
              <w:t>s</w:t>
            </w:r>
            <w:r>
              <w:rPr>
                <w:rFonts w:eastAsia="Times New Roman"/>
              </w:rPr>
              <w:t xml:space="preserve"> to ≥ 0.5 x 10</w:t>
            </w:r>
            <w:r>
              <w:rPr>
                <w:rFonts w:eastAsia="Times New Roman"/>
                <w:sz w:val="27"/>
                <w:szCs w:val="27"/>
                <w:vertAlign w:val="superscript"/>
              </w:rPr>
              <w:t>9</w:t>
            </w:r>
            <w:r>
              <w:rPr>
                <w:rFonts w:eastAsia="Times New Roman"/>
              </w:rPr>
              <w:t>/L</w:t>
            </w:r>
          </w:p>
        </w:tc>
        <w:tc>
          <w:tcPr>
            <w:tcW w:w="5069" w:type="dxa"/>
            <w:tcBorders>
              <w:top w:val="single" w:sz="4" w:space="0" w:color="auto"/>
              <w:bottom w:val="single" w:sz="4" w:space="0" w:color="auto"/>
            </w:tcBorders>
          </w:tcPr>
          <w:p w:rsidR="00506994" w:rsidRDefault="00506994" w:rsidP="00AB7A9E">
            <w:pPr>
              <w:ind w:right="1020"/>
              <w:rPr>
                <w:rFonts w:eastAsia="Times New Roman"/>
              </w:rPr>
            </w:pPr>
            <w:r>
              <w:rPr>
                <w:rFonts w:eastAsia="Times New Roman"/>
              </w:rPr>
              <w:t xml:space="preserve">Interrupt lenalidomide treatment </w:t>
            </w:r>
          </w:p>
          <w:p w:rsidR="00506994" w:rsidRPr="003B2466" w:rsidRDefault="00506994" w:rsidP="00AB7A9E">
            <w:pPr>
              <w:ind w:right="566"/>
              <w:rPr>
                <w:sz w:val="20"/>
                <w:szCs w:val="20"/>
              </w:rPr>
            </w:pPr>
            <w:r>
              <w:rPr>
                <w:rFonts w:eastAsia="Times New Roman"/>
              </w:rPr>
              <w:t xml:space="preserve">Resume lenalidomide at next lower dose </w:t>
            </w:r>
            <w:r w:rsidR="00052277">
              <w:rPr>
                <w:rFonts w:eastAsia="Times New Roman"/>
              </w:rPr>
              <w:t>l</w:t>
            </w:r>
            <w:r>
              <w:rPr>
                <w:rFonts w:eastAsia="Times New Roman"/>
              </w:rPr>
              <w:t>evel (</w:t>
            </w:r>
            <w:r w:rsidR="00052277">
              <w:rPr>
                <w:rFonts w:eastAsia="Times New Roman"/>
              </w:rPr>
              <w:t>d</w:t>
            </w:r>
            <w:r>
              <w:rPr>
                <w:rFonts w:eastAsia="Times New Roman"/>
              </w:rPr>
              <w:t>ose level -1,</w:t>
            </w:r>
            <w:r w:rsidR="00B75DCD">
              <w:rPr>
                <w:rFonts w:eastAsia="Times New Roman"/>
              </w:rPr>
              <w:t xml:space="preserve"> </w:t>
            </w:r>
            <w:r>
              <w:rPr>
                <w:rFonts w:eastAsia="Times New Roman"/>
              </w:rPr>
              <w:t>-2 or -3) once daily. Do not dose below 5 mg once daily</w:t>
            </w:r>
          </w:p>
        </w:tc>
      </w:tr>
    </w:tbl>
    <w:p w:rsidR="00863F61" w:rsidRPr="00F04381" w:rsidRDefault="00863F61" w:rsidP="00863F61">
      <w:pPr>
        <w:rPr>
          <w:rFonts w:eastAsia="Times New Roman"/>
          <w:iCs/>
          <w:sz w:val="16"/>
          <w:szCs w:val="16"/>
        </w:rPr>
      </w:pPr>
      <w:r w:rsidRPr="00F04381">
        <w:rPr>
          <w:rFonts w:eastAsia="Times New Roman"/>
          <w:iCs/>
          <w:sz w:val="16"/>
          <w:szCs w:val="16"/>
          <w:vertAlign w:val="superscript"/>
        </w:rPr>
        <w:t xml:space="preserve">a </w:t>
      </w:r>
      <w:r w:rsidRPr="00F04381">
        <w:rPr>
          <w:rFonts w:eastAsia="Times New Roman"/>
          <w:iCs/>
          <w:sz w:val="16"/>
          <w:szCs w:val="16"/>
        </w:rPr>
        <w:t>At the physician’s discretion, if neutropenia is the only toxicity at any dose level, add granulocyte colony stimulating factor (G-CSF) and maintain the dose level of lenalidomide.</w:t>
      </w:r>
    </w:p>
    <w:p w:rsidR="00506994" w:rsidRDefault="00506994" w:rsidP="00AB7A9E"/>
    <w:p w:rsidR="00117F34" w:rsidRDefault="00117F34" w:rsidP="00B2301B">
      <w:pPr>
        <w:shd w:val="clear" w:color="auto" w:fill="FDE9D9" w:themeFill="accent6" w:themeFillTint="33"/>
        <w:spacing w:line="251" w:lineRule="exact"/>
        <w:rPr>
          <w:rFonts w:eastAsia="Times New Roman"/>
        </w:rPr>
      </w:pPr>
      <w:r>
        <w:rPr>
          <w:i/>
          <w:spacing w:val="-1"/>
          <w:u w:val="single" w:color="000000"/>
        </w:rPr>
        <w:t>Myelodysplastic</w:t>
      </w:r>
      <w:r>
        <w:rPr>
          <w:i/>
          <w:spacing w:val="-3"/>
          <w:u w:val="single" w:color="000000"/>
        </w:rPr>
        <w:t xml:space="preserve"> </w:t>
      </w:r>
      <w:r>
        <w:rPr>
          <w:i/>
          <w:spacing w:val="-1"/>
          <w:u w:val="single" w:color="000000"/>
        </w:rPr>
        <w:t>syndromes</w:t>
      </w:r>
      <w:r>
        <w:rPr>
          <w:i/>
          <w:spacing w:val="-2"/>
          <w:u w:val="single" w:color="000000"/>
        </w:rPr>
        <w:t xml:space="preserve"> </w:t>
      </w:r>
      <w:r>
        <w:rPr>
          <w:i/>
          <w:spacing w:val="-1"/>
          <w:u w:val="single" w:color="000000"/>
        </w:rPr>
        <w:t>(MDS)</w:t>
      </w:r>
    </w:p>
    <w:p w:rsidR="00117F34" w:rsidRPr="004273C8" w:rsidRDefault="00117F34" w:rsidP="00B2301B">
      <w:pPr>
        <w:pStyle w:val="BodyText"/>
        <w:shd w:val="clear" w:color="auto" w:fill="FDE9D9" w:themeFill="accent6" w:themeFillTint="33"/>
        <w:spacing w:line="256" w:lineRule="exact"/>
        <w:rPr>
          <w:spacing w:val="-1"/>
        </w:rPr>
      </w:pPr>
      <w:r>
        <w:rPr>
          <w:spacing w:val="-1"/>
        </w:rPr>
        <w:t>Lenalidomide</w:t>
      </w:r>
      <w:r>
        <w:t xml:space="preserve"> </w:t>
      </w:r>
      <w:r>
        <w:rPr>
          <w:spacing w:val="-1"/>
        </w:rPr>
        <w:t>treatment</w:t>
      </w:r>
      <w:r>
        <w:rPr>
          <w:spacing w:val="1"/>
        </w:rPr>
        <w:t xml:space="preserve"> </w:t>
      </w:r>
      <w:r>
        <w:rPr>
          <w:spacing w:val="-1"/>
        </w:rPr>
        <w:t>must</w:t>
      </w:r>
      <w:r>
        <w:rPr>
          <w:spacing w:val="1"/>
        </w:rPr>
        <w:t xml:space="preserve"> </w:t>
      </w:r>
      <w:r>
        <w:rPr>
          <w:spacing w:val="-1"/>
        </w:rPr>
        <w:t>not</w:t>
      </w:r>
      <w:r>
        <w:rPr>
          <w:spacing w:val="1"/>
        </w:rPr>
        <w:t xml:space="preserve"> </w:t>
      </w:r>
      <w:r>
        <w:t>be</w:t>
      </w:r>
      <w:r>
        <w:rPr>
          <w:spacing w:val="-2"/>
        </w:rPr>
        <w:t xml:space="preserve"> </w:t>
      </w:r>
      <w:r>
        <w:rPr>
          <w:spacing w:val="-1"/>
        </w:rPr>
        <w:t>started</w:t>
      </w:r>
      <w:r>
        <w:rPr>
          <w:spacing w:val="-2"/>
        </w:rPr>
        <w:t xml:space="preserve"> </w:t>
      </w:r>
      <w:r>
        <w:t>if</w:t>
      </w:r>
      <w:r>
        <w:rPr>
          <w:spacing w:val="-2"/>
        </w:rPr>
        <w:t xml:space="preserve"> </w:t>
      </w:r>
      <w:r>
        <w:t xml:space="preserve">the </w:t>
      </w:r>
      <w:r>
        <w:rPr>
          <w:spacing w:val="-1"/>
        </w:rPr>
        <w:t>ANC</w:t>
      </w:r>
      <w:r>
        <w:rPr>
          <w:spacing w:val="-3"/>
        </w:rPr>
        <w:t xml:space="preserve"> </w:t>
      </w:r>
      <w:r>
        <w:t>&lt;</w:t>
      </w:r>
      <w:r>
        <w:rPr>
          <w:spacing w:val="1"/>
        </w:rPr>
        <w:t xml:space="preserve"> </w:t>
      </w:r>
      <w:r>
        <w:t xml:space="preserve">0.5 x </w:t>
      </w:r>
      <w:r>
        <w:rPr>
          <w:spacing w:val="-1"/>
        </w:rPr>
        <w:t>10</w:t>
      </w:r>
      <w:r>
        <w:rPr>
          <w:spacing w:val="-1"/>
          <w:position w:val="8"/>
          <w:sz w:val="14"/>
        </w:rPr>
        <w:t>9</w:t>
      </w:r>
      <w:r>
        <w:rPr>
          <w:spacing w:val="-1"/>
        </w:rPr>
        <w:t>/L and/or</w:t>
      </w:r>
      <w:r>
        <w:t xml:space="preserve"> </w:t>
      </w:r>
      <w:r>
        <w:rPr>
          <w:spacing w:val="-1"/>
        </w:rPr>
        <w:t>platelet</w:t>
      </w:r>
      <w:r>
        <w:rPr>
          <w:spacing w:val="1"/>
        </w:rPr>
        <w:t xml:space="preserve"> </w:t>
      </w:r>
      <w:r>
        <w:rPr>
          <w:spacing w:val="-1"/>
        </w:rPr>
        <w:t>counts</w:t>
      </w:r>
      <w:r>
        <w:t xml:space="preserve"> &lt; 25</w:t>
      </w:r>
      <w:r>
        <w:rPr>
          <w:spacing w:val="-2"/>
        </w:rPr>
        <w:t xml:space="preserve"> </w:t>
      </w:r>
      <w:r>
        <w:t xml:space="preserve">x </w:t>
      </w:r>
      <w:r>
        <w:rPr>
          <w:spacing w:val="-1"/>
        </w:rPr>
        <w:t>10</w:t>
      </w:r>
      <w:r>
        <w:rPr>
          <w:spacing w:val="-1"/>
          <w:position w:val="8"/>
          <w:sz w:val="14"/>
        </w:rPr>
        <w:t>9</w:t>
      </w:r>
      <w:r>
        <w:rPr>
          <w:spacing w:val="-1"/>
        </w:rPr>
        <w:t>/L.</w:t>
      </w:r>
      <w:r w:rsidR="00B77C49">
        <w:rPr>
          <w:spacing w:val="-1"/>
        </w:rPr>
        <w:br/>
      </w:r>
      <w:r w:rsidR="00B77C49">
        <w:rPr>
          <w:spacing w:val="-1"/>
        </w:rPr>
        <w:br/>
      </w:r>
      <w:r>
        <w:rPr>
          <w:i/>
          <w:spacing w:val="-1"/>
        </w:rPr>
        <w:t>Recommended</w:t>
      </w:r>
      <w:r>
        <w:rPr>
          <w:i/>
          <w:spacing w:val="-2"/>
        </w:rPr>
        <w:t xml:space="preserve"> </w:t>
      </w:r>
      <w:r>
        <w:rPr>
          <w:i/>
          <w:spacing w:val="-1"/>
        </w:rPr>
        <w:t>dose</w:t>
      </w:r>
      <w:r w:rsidR="00B77C49">
        <w:br/>
      </w:r>
      <w:r>
        <w:t>The</w:t>
      </w:r>
      <w:r>
        <w:rPr>
          <w:spacing w:val="-2"/>
        </w:rPr>
        <w:t xml:space="preserve"> </w:t>
      </w:r>
      <w:r>
        <w:rPr>
          <w:spacing w:val="-1"/>
        </w:rPr>
        <w:t>recommended</w:t>
      </w:r>
      <w:r>
        <w:t xml:space="preserve"> </w:t>
      </w:r>
      <w:r>
        <w:rPr>
          <w:spacing w:val="-1"/>
        </w:rPr>
        <w:t>starting</w:t>
      </w:r>
      <w:r>
        <w:rPr>
          <w:spacing w:val="-3"/>
        </w:rPr>
        <w:t xml:space="preserve"> </w:t>
      </w:r>
      <w:r>
        <w:t xml:space="preserve">dose </w:t>
      </w:r>
      <w:r>
        <w:rPr>
          <w:spacing w:val="-2"/>
        </w:rPr>
        <w:t>of</w:t>
      </w:r>
      <w:r>
        <w:rPr>
          <w:spacing w:val="1"/>
        </w:rPr>
        <w:t xml:space="preserve"> </w:t>
      </w:r>
      <w:r>
        <w:rPr>
          <w:spacing w:val="-1"/>
        </w:rPr>
        <w:t>lenalidomide</w:t>
      </w:r>
      <w:r>
        <w:rPr>
          <w:spacing w:val="-2"/>
        </w:rPr>
        <w:t xml:space="preserve"> </w:t>
      </w:r>
      <w:r>
        <w:t xml:space="preserve">is </w:t>
      </w:r>
      <w:r>
        <w:rPr>
          <w:spacing w:val="-2"/>
        </w:rPr>
        <w:t>10</w:t>
      </w:r>
      <w:r>
        <w:rPr>
          <w:spacing w:val="-3"/>
        </w:rPr>
        <w:t xml:space="preserve"> </w:t>
      </w:r>
      <w:r>
        <w:rPr>
          <w:spacing w:val="-1"/>
        </w:rPr>
        <w:t>mg</w:t>
      </w:r>
      <w:r>
        <w:rPr>
          <w:spacing w:val="-3"/>
        </w:rPr>
        <w:t xml:space="preserve"> </w:t>
      </w:r>
      <w:r>
        <w:t>orally</w:t>
      </w:r>
      <w:r>
        <w:rPr>
          <w:spacing w:val="-2"/>
        </w:rPr>
        <w:t xml:space="preserve"> </w:t>
      </w:r>
      <w:r>
        <w:t xml:space="preserve">once </w:t>
      </w:r>
      <w:r>
        <w:rPr>
          <w:spacing w:val="-1"/>
        </w:rPr>
        <w:t>daily</w:t>
      </w:r>
      <w:r>
        <w:rPr>
          <w:spacing w:val="-3"/>
        </w:rPr>
        <w:t xml:space="preserve"> </w:t>
      </w:r>
      <w:r>
        <w:t xml:space="preserve">on </w:t>
      </w:r>
      <w:r>
        <w:rPr>
          <w:spacing w:val="-2"/>
        </w:rPr>
        <w:t>days</w:t>
      </w:r>
      <w:r>
        <w:t xml:space="preserve"> 1 to 21 </w:t>
      </w:r>
      <w:r>
        <w:rPr>
          <w:spacing w:val="-2"/>
        </w:rPr>
        <w:t>of</w:t>
      </w:r>
      <w:r>
        <w:rPr>
          <w:spacing w:val="1"/>
        </w:rPr>
        <w:t xml:space="preserve"> </w:t>
      </w:r>
      <w:r>
        <w:rPr>
          <w:spacing w:val="-1"/>
        </w:rPr>
        <w:t>repeated</w:t>
      </w:r>
      <w:r>
        <w:rPr>
          <w:spacing w:val="67"/>
        </w:rPr>
        <w:t xml:space="preserve"> </w:t>
      </w:r>
      <w:r>
        <w:rPr>
          <w:spacing w:val="-1"/>
        </w:rPr>
        <w:t>28-day</w:t>
      </w:r>
      <w:r>
        <w:rPr>
          <w:spacing w:val="-3"/>
        </w:rPr>
        <w:t xml:space="preserve"> </w:t>
      </w:r>
      <w:r>
        <w:rPr>
          <w:spacing w:val="-1"/>
        </w:rPr>
        <w:t>cycles.</w:t>
      </w:r>
    </w:p>
    <w:p w:rsidR="00117F34" w:rsidRDefault="00117F34" w:rsidP="00B2301B">
      <w:pPr>
        <w:widowControl w:val="0"/>
        <w:numPr>
          <w:ilvl w:val="2"/>
          <w:numId w:val="102"/>
        </w:numPr>
        <w:shd w:val="clear" w:color="auto" w:fill="FDE9D9" w:themeFill="accent6" w:themeFillTint="33"/>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0" w:type="auto"/>
        <w:tblInd w:w="124" w:type="dxa"/>
        <w:tblLayout w:type="fixed"/>
        <w:tblCellMar>
          <w:left w:w="0" w:type="dxa"/>
          <w:right w:w="0" w:type="dxa"/>
        </w:tblCellMar>
        <w:tblLook w:val="01E0" w:firstRow="1" w:lastRow="1" w:firstColumn="1" w:lastColumn="1" w:noHBand="0" w:noVBand="0"/>
      </w:tblPr>
      <w:tblGrid>
        <w:gridCol w:w="2647"/>
        <w:gridCol w:w="7207"/>
      </w:tblGrid>
      <w:tr w:rsidR="00117F34" w:rsidTr="00C13AFC">
        <w:trPr>
          <w:trHeight w:hRule="exact" w:val="264"/>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3"/>
              </w:rPr>
              <w:t xml:space="preserve"> </w:t>
            </w:r>
            <w:r>
              <w:rPr>
                <w:rFonts w:ascii="Times New Roman"/>
                <w:spacing w:val="-1"/>
              </w:rPr>
              <w:t>once</w:t>
            </w:r>
            <w:r>
              <w:rPr>
                <w:rFonts w:ascii="Times New Roman"/>
              </w:rPr>
              <w:t xml:space="preserv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C13AFC">
        <w:trPr>
          <w:trHeight w:hRule="exact" w:val="269"/>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 </w:t>
            </w:r>
            <w:r>
              <w:rPr>
                <w:rFonts w:ascii="Times New Roman"/>
                <w:spacing w:val="-1"/>
              </w:rPr>
              <w:t>to</w:t>
            </w:r>
            <w:r>
              <w:rPr>
                <w:rFonts w:ascii="Times New Roman"/>
              </w:rPr>
              <w:t xml:space="preserve"> 28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C13AFC">
        <w:trPr>
          <w:trHeight w:hRule="exact" w:val="271"/>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spacing w:val="-2"/>
              </w:rPr>
              <w:t xml:space="preserve"> </w:t>
            </w:r>
            <w:r>
              <w:rPr>
                <w:rFonts w:ascii="Times New Roman"/>
              </w:rPr>
              <w:t>1 to 28</w:t>
            </w:r>
            <w:r>
              <w:rPr>
                <w:rFonts w:ascii="Times New Roman"/>
                <w:spacing w:val="-3"/>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C13AFC">
        <w:trPr>
          <w:trHeight w:hRule="exact" w:val="262"/>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0"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spacing w:val="-1"/>
              </w:rPr>
              <w:t>every</w:t>
            </w:r>
            <w:r>
              <w:rPr>
                <w:rFonts w:ascii="Times New Roman"/>
                <w:spacing w:val="-3"/>
              </w:rPr>
              <w:t xml:space="preserve"> </w:t>
            </w:r>
            <w:r>
              <w:rPr>
                <w:rFonts w:ascii="Times New Roman"/>
              </w:rPr>
              <w:t>other</w:t>
            </w:r>
            <w:r>
              <w:rPr>
                <w:rFonts w:ascii="Times New Roman"/>
                <w:spacing w:val="1"/>
              </w:rPr>
              <w:t xml:space="preserve"> </w:t>
            </w:r>
            <w:r>
              <w:rPr>
                <w:rFonts w:ascii="Times New Roman"/>
              </w:rPr>
              <w:t>day</w:t>
            </w:r>
            <w:r>
              <w:rPr>
                <w:rFonts w:ascii="Times New Roman"/>
                <w:spacing w:val="-3"/>
              </w:rPr>
              <w:t xml:space="preserve"> </w:t>
            </w:r>
            <w:r>
              <w:rPr>
                <w:rFonts w:ascii="Times New Roman"/>
              </w:rPr>
              <w:t>1 to</w:t>
            </w:r>
            <w:r>
              <w:rPr>
                <w:rFonts w:ascii="Times New Roman"/>
                <w:spacing w:val="-3"/>
              </w:rPr>
              <w:t xml:space="preserve"> </w:t>
            </w:r>
            <w:r>
              <w:rPr>
                <w:rFonts w:ascii="Times New Roman"/>
              </w:rPr>
              <w:t xml:space="preserve">28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B2301B">
      <w:pPr>
        <w:shd w:val="clear" w:color="auto" w:fill="FDE9D9" w:themeFill="accent6" w:themeFillTint="33"/>
        <w:spacing w:before="9"/>
        <w:rPr>
          <w:rFonts w:eastAsia="Times New Roman"/>
          <w:i/>
          <w:sz w:val="16"/>
          <w:szCs w:val="16"/>
        </w:rPr>
      </w:pPr>
    </w:p>
    <w:p w:rsidR="00117F34" w:rsidRPr="00490884" w:rsidRDefault="00117F34" w:rsidP="00B2301B">
      <w:pPr>
        <w:widowControl w:val="0"/>
        <w:numPr>
          <w:ilvl w:val="2"/>
          <w:numId w:val="102"/>
        </w:numPr>
        <w:shd w:val="clear" w:color="auto" w:fill="FDE9D9" w:themeFill="accent6" w:themeFillTint="33"/>
        <w:tabs>
          <w:tab w:val="left" w:pos="666"/>
        </w:tabs>
        <w:spacing w:before="60"/>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247"/>
      </w:tblGrid>
      <w:tr w:rsidR="00490884" w:rsidRPr="00F30CC0" w:rsidTr="004273C8">
        <w:tc>
          <w:tcPr>
            <w:tcW w:w="4570" w:type="dxa"/>
            <w:tcBorders>
              <w:bottom w:val="single" w:sz="4" w:space="0" w:color="auto"/>
            </w:tcBorders>
          </w:tcPr>
          <w:p w:rsidR="00490884" w:rsidRPr="00F30CC0" w:rsidRDefault="00490884" w:rsidP="00B2301B">
            <w:pPr>
              <w:shd w:val="clear" w:color="auto" w:fill="FDE9D9" w:themeFill="accent6" w:themeFillTint="33"/>
            </w:pPr>
            <w:r w:rsidRPr="00F30CC0">
              <w:t>When platelets</w:t>
            </w:r>
          </w:p>
        </w:tc>
        <w:tc>
          <w:tcPr>
            <w:tcW w:w="5247" w:type="dxa"/>
            <w:tcBorders>
              <w:bottom w:val="single" w:sz="4" w:space="0" w:color="auto"/>
            </w:tcBorders>
          </w:tcPr>
          <w:p w:rsidR="00490884" w:rsidRPr="00F30CC0" w:rsidRDefault="00490884" w:rsidP="00B2301B">
            <w:pPr>
              <w:shd w:val="clear" w:color="auto" w:fill="FDE9D9" w:themeFill="accent6" w:themeFillTint="33"/>
            </w:pPr>
            <w:r w:rsidRPr="00F30CC0">
              <w:t>Recommended course</w:t>
            </w:r>
          </w:p>
        </w:tc>
      </w:tr>
      <w:tr w:rsidR="00490884" w:rsidRPr="00F30CC0" w:rsidTr="004273C8">
        <w:tc>
          <w:tcPr>
            <w:tcW w:w="4570" w:type="dxa"/>
            <w:tcBorders>
              <w:top w:val="single" w:sz="4" w:space="0" w:color="auto"/>
              <w:bottom w:val="single" w:sz="4" w:space="0" w:color="auto"/>
            </w:tcBorders>
          </w:tcPr>
          <w:p w:rsidR="00490884" w:rsidRPr="00F30CC0" w:rsidRDefault="00490884" w:rsidP="00B2301B">
            <w:pPr>
              <w:shd w:val="clear" w:color="auto" w:fill="FDE9D9" w:themeFill="accent6" w:themeFillTint="33"/>
            </w:pPr>
            <w:r>
              <w:t>Falls to &lt; 25</w:t>
            </w:r>
            <w:r w:rsidRPr="00F30CC0">
              <w:t xml:space="preserve"> x 10</w:t>
            </w:r>
            <w:r w:rsidRPr="00F30CC0">
              <w:rPr>
                <w:vertAlign w:val="superscript"/>
              </w:rPr>
              <w:t>9</w:t>
            </w:r>
            <w:r w:rsidRPr="00F30CC0">
              <w:t>/L</w:t>
            </w:r>
          </w:p>
          <w:p w:rsidR="00490884" w:rsidRPr="00F30CC0" w:rsidRDefault="00490884" w:rsidP="00B2301B">
            <w:pPr>
              <w:shd w:val="clear" w:color="auto" w:fill="FDE9D9" w:themeFill="accent6" w:themeFillTint="33"/>
            </w:pPr>
            <w:r>
              <w:t>Returns to ≥ 25 x 10</w:t>
            </w:r>
            <w:r w:rsidRPr="00B84E25">
              <w:rPr>
                <w:vertAlign w:val="superscript"/>
              </w:rPr>
              <w:t>9</w:t>
            </w:r>
            <w:r>
              <w:t>/L - &lt; 50 x 10</w:t>
            </w:r>
            <w:r w:rsidRPr="00B84E25">
              <w:rPr>
                <w:vertAlign w:val="superscript"/>
              </w:rPr>
              <w:t>9</w:t>
            </w:r>
            <w:r>
              <w:t>/L on at least 2</w:t>
            </w:r>
            <w:r w:rsidR="0062050D">
              <w:t xml:space="preserve"> </w:t>
            </w:r>
            <w:r>
              <w:t>occasions for ≥ 7 days or when the platelet count recovers to ≥ 50 x 10</w:t>
            </w:r>
            <w:r w:rsidRPr="00B84E25">
              <w:rPr>
                <w:vertAlign w:val="superscript"/>
              </w:rPr>
              <w:t>9</w:t>
            </w:r>
            <w:r>
              <w:t>/L at any time</w:t>
            </w:r>
          </w:p>
        </w:tc>
        <w:tc>
          <w:tcPr>
            <w:tcW w:w="5247" w:type="dxa"/>
            <w:tcBorders>
              <w:top w:val="single" w:sz="4" w:space="0" w:color="auto"/>
              <w:bottom w:val="single" w:sz="4" w:space="0" w:color="auto"/>
            </w:tcBorders>
          </w:tcPr>
          <w:p w:rsidR="00490884" w:rsidRDefault="00490884" w:rsidP="00B2301B">
            <w:pPr>
              <w:shd w:val="clear" w:color="auto" w:fill="FDE9D9" w:themeFill="accent6" w:themeFillTint="33"/>
            </w:pPr>
            <w:r w:rsidRPr="00F30CC0">
              <w:t xml:space="preserve">Interrupt lenalidomide treatment </w:t>
            </w:r>
          </w:p>
          <w:p w:rsidR="00490884" w:rsidRPr="00F30CC0" w:rsidRDefault="00490884" w:rsidP="00B2301B">
            <w:pPr>
              <w:shd w:val="clear" w:color="auto" w:fill="FDE9D9" w:themeFill="accent6" w:themeFillTint="33"/>
            </w:pPr>
            <w:r>
              <w:t>Resume lenalidomide at next lower dose level (dose level -1, -2, or -3)</w:t>
            </w:r>
          </w:p>
        </w:tc>
      </w:tr>
    </w:tbl>
    <w:p w:rsidR="00117F34" w:rsidRDefault="00117F34" w:rsidP="00B2301B">
      <w:pPr>
        <w:shd w:val="clear" w:color="auto" w:fill="FDE9D9" w:themeFill="accent6" w:themeFillTint="33"/>
        <w:spacing w:before="3"/>
        <w:rPr>
          <w:rFonts w:eastAsia="Times New Roman"/>
          <w:sz w:val="15"/>
          <w:szCs w:val="15"/>
        </w:rPr>
      </w:pPr>
    </w:p>
    <w:p w:rsidR="00117F34" w:rsidRPr="004273C8" w:rsidRDefault="00117F34" w:rsidP="00B2301B">
      <w:pPr>
        <w:widowControl w:val="0"/>
        <w:numPr>
          <w:ilvl w:val="2"/>
          <w:numId w:val="102"/>
        </w:numPr>
        <w:shd w:val="clear" w:color="auto" w:fill="FDE9D9" w:themeFill="accent6" w:themeFillTint="33"/>
        <w:tabs>
          <w:tab w:val="left" w:pos="666"/>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490884">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7"/>
      </w:tblGrid>
      <w:tr w:rsidR="00490884" w:rsidTr="004273C8">
        <w:tc>
          <w:tcPr>
            <w:tcW w:w="4678" w:type="dxa"/>
            <w:tcBorders>
              <w:bottom w:val="single" w:sz="4" w:space="0" w:color="auto"/>
            </w:tcBorders>
          </w:tcPr>
          <w:p w:rsidR="00490884" w:rsidRDefault="00490884" w:rsidP="00B2301B">
            <w:pPr>
              <w:shd w:val="clear" w:color="auto" w:fill="FDE9D9" w:themeFill="accent6" w:themeFillTint="33"/>
              <w:ind w:right="1020"/>
            </w:pPr>
            <w:r>
              <w:rPr>
                <w:rFonts w:eastAsia="Times New Roman"/>
              </w:rPr>
              <w:t>When ANC</w:t>
            </w:r>
          </w:p>
        </w:tc>
        <w:tc>
          <w:tcPr>
            <w:tcW w:w="5247" w:type="dxa"/>
            <w:tcBorders>
              <w:bottom w:val="single" w:sz="4" w:space="0" w:color="auto"/>
            </w:tcBorders>
          </w:tcPr>
          <w:p w:rsidR="00490884" w:rsidRDefault="00490884" w:rsidP="00B2301B">
            <w:pPr>
              <w:shd w:val="clear" w:color="auto" w:fill="FDE9D9" w:themeFill="accent6" w:themeFillTint="33"/>
              <w:ind w:right="1020"/>
            </w:pPr>
            <w:r>
              <w:rPr>
                <w:rFonts w:eastAsia="Times New Roman"/>
              </w:rPr>
              <w:t>Recommended course</w:t>
            </w:r>
          </w:p>
        </w:tc>
      </w:tr>
      <w:tr w:rsidR="00490884" w:rsidTr="004273C8">
        <w:tc>
          <w:tcPr>
            <w:tcW w:w="4678" w:type="dxa"/>
            <w:tcBorders>
              <w:top w:val="single" w:sz="4" w:space="0" w:color="auto"/>
              <w:bottom w:val="single" w:sz="4" w:space="0" w:color="auto"/>
            </w:tcBorders>
          </w:tcPr>
          <w:p w:rsidR="00490884" w:rsidRPr="00052277" w:rsidRDefault="00490884" w:rsidP="00B2301B">
            <w:pPr>
              <w:shd w:val="clear" w:color="auto" w:fill="FDE9D9" w:themeFill="accent6" w:themeFillTint="33"/>
              <w:rPr>
                <w:rFonts w:eastAsia="Times New Roman"/>
              </w:rPr>
            </w:pPr>
            <w:r>
              <w:t>F</w:t>
            </w:r>
            <w:r w:rsidRPr="00052277">
              <w:rPr>
                <w:rFonts w:eastAsia="Times New Roman"/>
              </w:rPr>
              <w:t>all</w:t>
            </w:r>
            <w:r>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490884" w:rsidRDefault="00490884" w:rsidP="00B2301B">
            <w:pPr>
              <w:shd w:val="clear" w:color="auto" w:fill="FDE9D9" w:themeFill="accent6" w:themeFillTint="33"/>
            </w:pPr>
            <w:r w:rsidRPr="00052277">
              <w:t>Return</w:t>
            </w:r>
            <w:r>
              <w:t>s</w:t>
            </w:r>
            <w:r w:rsidRPr="00052277">
              <w:t xml:space="preserve"> to ≥ 0.5 x 10</w:t>
            </w:r>
            <w:r w:rsidRPr="00052277">
              <w:rPr>
                <w:vertAlign w:val="superscript"/>
              </w:rPr>
              <w:t>9</w:t>
            </w:r>
            <w:r w:rsidRPr="00052277">
              <w:t xml:space="preserve">/L </w:t>
            </w:r>
          </w:p>
          <w:p w:rsidR="00490884" w:rsidRDefault="00490884" w:rsidP="00B2301B">
            <w:pPr>
              <w:shd w:val="clear" w:color="auto" w:fill="FDE9D9" w:themeFill="accent6" w:themeFillTint="33"/>
              <w:rPr>
                <w:sz w:val="20"/>
                <w:szCs w:val="20"/>
              </w:rPr>
            </w:pPr>
          </w:p>
        </w:tc>
        <w:tc>
          <w:tcPr>
            <w:tcW w:w="5247" w:type="dxa"/>
            <w:tcBorders>
              <w:top w:val="single" w:sz="4" w:space="0" w:color="auto"/>
              <w:bottom w:val="single" w:sz="4" w:space="0" w:color="auto"/>
            </w:tcBorders>
          </w:tcPr>
          <w:p w:rsidR="00490884" w:rsidRDefault="00490884" w:rsidP="00B2301B">
            <w:pPr>
              <w:shd w:val="clear" w:color="auto" w:fill="FDE9D9" w:themeFill="accent6" w:themeFillTint="33"/>
              <w:ind w:right="1020"/>
              <w:rPr>
                <w:rFonts w:eastAsia="Times New Roman"/>
              </w:rPr>
            </w:pPr>
            <w:r>
              <w:rPr>
                <w:rFonts w:eastAsia="Times New Roman"/>
              </w:rPr>
              <w:t>Interrupt lenalidomide treatment</w:t>
            </w:r>
          </w:p>
          <w:p w:rsidR="00490884" w:rsidRDefault="00490884" w:rsidP="00B2301B">
            <w:pPr>
              <w:shd w:val="clear" w:color="auto" w:fill="FDE9D9" w:themeFill="accent6" w:themeFillTint="33"/>
              <w:ind w:right="424"/>
            </w:pPr>
            <w:r>
              <w:rPr>
                <w:rFonts w:eastAsia="Times New Roman"/>
              </w:rPr>
              <w:t xml:space="preserve">Resume lenalidomide at </w:t>
            </w:r>
            <w:r>
              <w:t>next lower dose level (dose level -1, -2, or -3)</w:t>
            </w:r>
          </w:p>
        </w:tc>
      </w:tr>
    </w:tbl>
    <w:p w:rsidR="00117F34" w:rsidRDefault="00117F34" w:rsidP="00B2301B">
      <w:pPr>
        <w:shd w:val="clear" w:color="auto" w:fill="FDE9D9" w:themeFill="accent6" w:themeFillTint="33"/>
        <w:spacing w:before="7"/>
        <w:rPr>
          <w:rFonts w:eastAsia="Times New Roman"/>
          <w:sz w:val="16"/>
          <w:szCs w:val="16"/>
        </w:rPr>
      </w:pPr>
    </w:p>
    <w:p w:rsidR="00117F34" w:rsidRDefault="00117F34" w:rsidP="00B2301B">
      <w:pPr>
        <w:shd w:val="clear" w:color="auto" w:fill="FDE9D9" w:themeFill="accent6" w:themeFillTint="33"/>
        <w:spacing w:before="72"/>
        <w:rPr>
          <w:rFonts w:eastAsia="Times New Roman"/>
        </w:rPr>
      </w:pPr>
      <w:r>
        <w:rPr>
          <w:i/>
          <w:spacing w:val="-1"/>
        </w:rPr>
        <w:t>Discontinuation</w:t>
      </w:r>
      <w:r>
        <w:rPr>
          <w:i/>
        </w:rPr>
        <w:t xml:space="preserve"> </w:t>
      </w:r>
      <w:r>
        <w:rPr>
          <w:i/>
          <w:spacing w:val="-1"/>
        </w:rPr>
        <w:t>of</w:t>
      </w:r>
      <w:r>
        <w:rPr>
          <w:i/>
          <w:spacing w:val="-2"/>
        </w:rPr>
        <w:t xml:space="preserve"> </w:t>
      </w:r>
      <w:r>
        <w:rPr>
          <w:i/>
          <w:spacing w:val="-1"/>
        </w:rPr>
        <w:t>lenalidomide</w:t>
      </w:r>
    </w:p>
    <w:p w:rsidR="00117F34" w:rsidRDefault="00117F34" w:rsidP="00B2301B">
      <w:pPr>
        <w:pStyle w:val="BodyText"/>
        <w:shd w:val="clear" w:color="auto" w:fill="FDE9D9" w:themeFill="accent6" w:themeFillTint="33"/>
        <w:spacing w:before="1"/>
        <w:ind w:right="349"/>
      </w:pPr>
      <w:r>
        <w:rPr>
          <w:spacing w:val="-1"/>
        </w:rPr>
        <w:t>Patients</w:t>
      </w:r>
      <w:r>
        <w:t xml:space="preserve"> </w:t>
      </w:r>
      <w:r>
        <w:rPr>
          <w:spacing w:val="-1"/>
        </w:rPr>
        <w:t>without</w:t>
      </w:r>
      <w:r>
        <w:rPr>
          <w:spacing w:val="1"/>
        </w:rPr>
        <w:t xml:space="preserve"> </w:t>
      </w:r>
      <w:r>
        <w:rPr>
          <w:spacing w:val="-1"/>
        </w:rPr>
        <w:t>at</w:t>
      </w:r>
      <w:r>
        <w:rPr>
          <w:spacing w:val="1"/>
        </w:rPr>
        <w:t xml:space="preserve"> </w:t>
      </w:r>
      <w:r>
        <w:rPr>
          <w:spacing w:val="-1"/>
        </w:rPr>
        <w:t>least</w:t>
      </w:r>
      <w:r>
        <w:rPr>
          <w:spacing w:val="1"/>
        </w:rPr>
        <w:t xml:space="preserve"> </w:t>
      </w:r>
      <w:r>
        <w:t>a</w:t>
      </w:r>
      <w:r>
        <w:rPr>
          <w:spacing w:val="-2"/>
        </w:rPr>
        <w:t xml:space="preserve"> </w:t>
      </w:r>
      <w:r>
        <w:rPr>
          <w:spacing w:val="-1"/>
        </w:rPr>
        <w:t>minor</w:t>
      </w:r>
      <w:r>
        <w:rPr>
          <w:spacing w:val="1"/>
        </w:rPr>
        <w:t xml:space="preserve"> </w:t>
      </w:r>
      <w:r>
        <w:rPr>
          <w:spacing w:val="-1"/>
        </w:rPr>
        <w:t>erythroid</w:t>
      </w:r>
      <w:r>
        <w:rPr>
          <w:spacing w:val="-3"/>
        </w:rPr>
        <w:t xml:space="preserve"> </w:t>
      </w:r>
      <w:r>
        <w:rPr>
          <w:spacing w:val="-1"/>
        </w:rPr>
        <w:t>response</w:t>
      </w:r>
      <w:r>
        <w:t xml:space="preserve"> </w:t>
      </w:r>
      <w:r>
        <w:rPr>
          <w:spacing w:val="-1"/>
        </w:rPr>
        <w:t>within</w:t>
      </w:r>
      <w:r>
        <w:t xml:space="preserve"> 4 </w:t>
      </w:r>
      <w:r>
        <w:rPr>
          <w:spacing w:val="-1"/>
        </w:rPr>
        <w:t>months</w:t>
      </w:r>
      <w:r>
        <w:rPr>
          <w:spacing w:val="-2"/>
        </w:rPr>
        <w:t xml:space="preserve"> </w:t>
      </w:r>
      <w:r>
        <w:t>of</w:t>
      </w:r>
      <w:r>
        <w:rPr>
          <w:spacing w:val="-2"/>
        </w:rPr>
        <w:t xml:space="preserve"> </w:t>
      </w:r>
      <w:r>
        <w:rPr>
          <w:spacing w:val="-1"/>
        </w:rPr>
        <w:t>therapy</w:t>
      </w:r>
      <w:r>
        <w:rPr>
          <w:spacing w:val="-3"/>
        </w:rPr>
        <w:t xml:space="preserve"> </w:t>
      </w:r>
      <w:r>
        <w:rPr>
          <w:spacing w:val="-1"/>
        </w:rPr>
        <w:t>initiation,</w:t>
      </w:r>
      <w:r>
        <w:rPr>
          <w:spacing w:val="-3"/>
        </w:rPr>
        <w:t xml:space="preserve"> </w:t>
      </w:r>
      <w:r>
        <w:rPr>
          <w:spacing w:val="-1"/>
        </w:rPr>
        <w:t>demonstrated</w:t>
      </w:r>
      <w:r>
        <w:t xml:space="preserve"> by</w:t>
      </w:r>
      <w:r>
        <w:rPr>
          <w:spacing w:val="-2"/>
        </w:rPr>
        <w:t xml:space="preserve"> </w:t>
      </w:r>
      <w:r>
        <w:t>at</w:t>
      </w:r>
      <w:r>
        <w:rPr>
          <w:spacing w:val="81"/>
        </w:rPr>
        <w:t xml:space="preserve"> </w:t>
      </w:r>
      <w:r>
        <w:rPr>
          <w:spacing w:val="-1"/>
        </w:rPr>
        <w:t>least</w:t>
      </w:r>
      <w:r>
        <w:rPr>
          <w:spacing w:val="1"/>
        </w:rPr>
        <w:t xml:space="preserve"> </w:t>
      </w:r>
      <w:r>
        <w:t>a</w:t>
      </w:r>
      <w:r>
        <w:rPr>
          <w:spacing w:val="-2"/>
        </w:rPr>
        <w:t xml:space="preserve"> </w:t>
      </w:r>
      <w:r>
        <w:t>50%</w:t>
      </w:r>
      <w:r>
        <w:rPr>
          <w:spacing w:val="-1"/>
        </w:rPr>
        <w:t xml:space="preserve"> reduction</w:t>
      </w:r>
      <w:r>
        <w:rPr>
          <w:spacing w:val="-2"/>
        </w:rPr>
        <w:t xml:space="preserve"> </w:t>
      </w:r>
      <w:r>
        <w:t>in</w:t>
      </w:r>
      <w:r>
        <w:rPr>
          <w:spacing w:val="-2"/>
        </w:rPr>
        <w:t xml:space="preserve"> </w:t>
      </w:r>
      <w:r>
        <w:rPr>
          <w:spacing w:val="-1"/>
        </w:rPr>
        <w:t>transfusion</w:t>
      </w:r>
      <w:r>
        <w:rPr>
          <w:spacing w:val="-2"/>
        </w:rPr>
        <w:t xml:space="preserve"> </w:t>
      </w:r>
      <w:r>
        <w:rPr>
          <w:spacing w:val="-1"/>
        </w:rPr>
        <w:t>requirements</w:t>
      </w:r>
      <w:r>
        <w:rPr>
          <w:spacing w:val="1"/>
        </w:rPr>
        <w:t xml:space="preserve"> </w:t>
      </w:r>
      <w:r>
        <w:rPr>
          <w:spacing w:val="-1"/>
        </w:rPr>
        <w:t>or,</w:t>
      </w:r>
      <w:r>
        <w:t xml:space="preserve"> </w:t>
      </w:r>
      <w:r>
        <w:rPr>
          <w:spacing w:val="-1"/>
        </w:rPr>
        <w:t>if</w:t>
      </w:r>
      <w:r>
        <w:rPr>
          <w:spacing w:val="-2"/>
        </w:rPr>
        <w:t xml:space="preserve"> </w:t>
      </w:r>
      <w:r>
        <w:t>not</w:t>
      </w:r>
      <w:r>
        <w:rPr>
          <w:spacing w:val="-1"/>
        </w:rPr>
        <w:t xml:space="preserve"> transfused,</w:t>
      </w:r>
      <w:r>
        <w:rPr>
          <w:spacing w:val="-3"/>
        </w:rPr>
        <w:t xml:space="preserve"> </w:t>
      </w:r>
      <w:r>
        <w:t xml:space="preserve">a </w:t>
      </w:r>
      <w:r>
        <w:rPr>
          <w:spacing w:val="-1"/>
        </w:rPr>
        <w:t>1g/dl</w:t>
      </w:r>
      <w:r>
        <w:rPr>
          <w:spacing w:val="-2"/>
        </w:rPr>
        <w:t xml:space="preserve"> </w:t>
      </w:r>
      <w:r>
        <w:rPr>
          <w:spacing w:val="-1"/>
        </w:rPr>
        <w:t>rise</w:t>
      </w:r>
      <w:r>
        <w:rPr>
          <w:spacing w:val="-2"/>
        </w:rPr>
        <w:t xml:space="preserve"> </w:t>
      </w:r>
      <w:r>
        <w:t xml:space="preserve">in </w:t>
      </w:r>
      <w:r>
        <w:rPr>
          <w:spacing w:val="-1"/>
        </w:rPr>
        <w:t>haemoglobin,</w:t>
      </w:r>
      <w:r>
        <w:t xml:space="preserve"> </w:t>
      </w:r>
      <w:r>
        <w:rPr>
          <w:spacing w:val="-1"/>
        </w:rPr>
        <w:t>should</w:t>
      </w:r>
      <w:r>
        <w:rPr>
          <w:spacing w:val="81"/>
        </w:rPr>
        <w:t xml:space="preserve"> </w:t>
      </w:r>
      <w:r>
        <w:rPr>
          <w:spacing w:val="-1"/>
        </w:rPr>
        <w:t>discontinue</w:t>
      </w:r>
      <w:r>
        <w:rPr>
          <w:spacing w:val="-2"/>
        </w:rPr>
        <w:t xml:space="preserve"> </w:t>
      </w:r>
      <w:r>
        <w:rPr>
          <w:spacing w:val="-1"/>
        </w:rPr>
        <w:t>lenalidomide</w:t>
      </w:r>
      <w:r>
        <w:t xml:space="preserve"> </w:t>
      </w:r>
      <w:r>
        <w:rPr>
          <w:spacing w:val="-1"/>
        </w:rPr>
        <w:t>treatment.</w:t>
      </w:r>
    </w:p>
    <w:p w:rsidR="00117F34" w:rsidRDefault="00117F34" w:rsidP="00117F34">
      <w:pPr>
        <w:rPr>
          <w:rFonts w:eastAsia="Times New Roman"/>
        </w:rPr>
      </w:pPr>
    </w:p>
    <w:p w:rsidR="00B77C49" w:rsidRDefault="00117F34" w:rsidP="00B2301B">
      <w:pPr>
        <w:shd w:val="clear" w:color="auto" w:fill="DBE5F1" w:themeFill="accent1" w:themeFillTint="33"/>
        <w:ind w:right="85"/>
        <w:rPr>
          <w:i/>
          <w:spacing w:val="25"/>
        </w:rPr>
      </w:pPr>
      <w:r>
        <w:rPr>
          <w:i/>
          <w:u w:val="single" w:color="000000"/>
        </w:rPr>
        <w:t>Mantle</w:t>
      </w:r>
      <w:r>
        <w:rPr>
          <w:i/>
          <w:spacing w:val="-3"/>
          <w:u w:val="single" w:color="000000"/>
        </w:rPr>
        <w:t xml:space="preserve"> </w:t>
      </w:r>
      <w:r>
        <w:rPr>
          <w:i/>
          <w:spacing w:val="-1"/>
          <w:u w:val="single" w:color="000000"/>
        </w:rPr>
        <w:t>cell</w:t>
      </w:r>
      <w:r>
        <w:rPr>
          <w:i/>
          <w:spacing w:val="-2"/>
          <w:u w:val="single" w:color="000000"/>
        </w:rPr>
        <w:t xml:space="preserve"> </w:t>
      </w:r>
      <w:r>
        <w:rPr>
          <w:i/>
          <w:spacing w:val="-1"/>
          <w:u w:val="single" w:color="000000"/>
        </w:rPr>
        <w:t>lymphoma</w:t>
      </w:r>
      <w:r>
        <w:rPr>
          <w:i/>
          <w:u w:val="single" w:color="000000"/>
        </w:rPr>
        <w:t xml:space="preserve"> </w:t>
      </w:r>
      <w:r>
        <w:rPr>
          <w:i/>
          <w:spacing w:val="-2"/>
          <w:u w:val="single" w:color="000000"/>
        </w:rPr>
        <w:t>(MCL)</w:t>
      </w:r>
      <w:r>
        <w:rPr>
          <w:i/>
          <w:spacing w:val="25"/>
        </w:rPr>
        <w:t xml:space="preserve"> </w:t>
      </w:r>
    </w:p>
    <w:p w:rsidR="00117F34" w:rsidRDefault="00117F34" w:rsidP="00B2301B">
      <w:pPr>
        <w:shd w:val="clear" w:color="auto" w:fill="DBE5F1" w:themeFill="accent1" w:themeFillTint="33"/>
        <w:ind w:right="85"/>
        <w:rPr>
          <w:rFonts w:eastAsia="Times New Roman"/>
        </w:rPr>
      </w:pPr>
      <w:r>
        <w:rPr>
          <w:i/>
          <w:spacing w:val="-1"/>
        </w:rPr>
        <w:t>Recommended</w:t>
      </w:r>
      <w:r>
        <w:rPr>
          <w:i/>
          <w:spacing w:val="-2"/>
        </w:rPr>
        <w:t xml:space="preserve"> </w:t>
      </w:r>
      <w:r>
        <w:rPr>
          <w:i/>
          <w:spacing w:val="-1"/>
        </w:rPr>
        <w:t>dose</w:t>
      </w:r>
    </w:p>
    <w:p w:rsidR="00117F34" w:rsidRDefault="00117F34" w:rsidP="00B2301B">
      <w:pPr>
        <w:pStyle w:val="BodyText"/>
        <w:shd w:val="clear" w:color="auto" w:fill="DBE5F1" w:themeFill="accent1" w:themeFillTint="33"/>
        <w:ind w:right="858"/>
      </w:pPr>
      <w:r>
        <w:t>The</w:t>
      </w:r>
      <w:r>
        <w:rPr>
          <w:spacing w:val="-2"/>
        </w:rPr>
        <w:t xml:space="preserve"> </w:t>
      </w:r>
      <w:r>
        <w:rPr>
          <w:spacing w:val="-1"/>
        </w:rPr>
        <w:t>recommended</w:t>
      </w:r>
      <w:r>
        <w:t xml:space="preserve"> </w:t>
      </w:r>
      <w:r>
        <w:rPr>
          <w:spacing w:val="-1"/>
        </w:rPr>
        <w:t>starting</w:t>
      </w:r>
      <w:r>
        <w:rPr>
          <w:spacing w:val="-3"/>
        </w:rPr>
        <w:t xml:space="preserve"> </w:t>
      </w:r>
      <w:r>
        <w:t xml:space="preserve">dose </w:t>
      </w:r>
      <w:r>
        <w:rPr>
          <w:spacing w:val="-2"/>
        </w:rPr>
        <w:t>of</w:t>
      </w:r>
      <w:r>
        <w:rPr>
          <w:spacing w:val="1"/>
        </w:rPr>
        <w:t xml:space="preserve"> </w:t>
      </w:r>
      <w:r>
        <w:rPr>
          <w:spacing w:val="-1"/>
        </w:rPr>
        <w:t>lenalidomide</w:t>
      </w:r>
      <w:r>
        <w:rPr>
          <w:spacing w:val="-2"/>
        </w:rPr>
        <w:t xml:space="preserve"> </w:t>
      </w:r>
      <w:r>
        <w:t xml:space="preserve">is </w:t>
      </w:r>
      <w:r>
        <w:rPr>
          <w:spacing w:val="-2"/>
        </w:rPr>
        <w:t>25</w:t>
      </w:r>
      <w:r>
        <w:rPr>
          <w:spacing w:val="-3"/>
        </w:rPr>
        <w:t xml:space="preserve"> </w:t>
      </w:r>
      <w:r>
        <w:rPr>
          <w:spacing w:val="-1"/>
        </w:rPr>
        <w:t>mg</w:t>
      </w:r>
      <w:r>
        <w:rPr>
          <w:spacing w:val="-3"/>
        </w:rPr>
        <w:t xml:space="preserve"> </w:t>
      </w:r>
      <w:r>
        <w:t>orally</w:t>
      </w:r>
      <w:r>
        <w:rPr>
          <w:spacing w:val="-2"/>
        </w:rPr>
        <w:t xml:space="preserve"> </w:t>
      </w:r>
      <w:r>
        <w:t xml:space="preserve">once </w:t>
      </w:r>
      <w:r>
        <w:rPr>
          <w:spacing w:val="-1"/>
        </w:rPr>
        <w:t>daily</w:t>
      </w:r>
      <w:r>
        <w:rPr>
          <w:spacing w:val="-3"/>
        </w:rPr>
        <w:t xml:space="preserve"> </w:t>
      </w:r>
      <w:r>
        <w:t xml:space="preserve">on </w:t>
      </w:r>
      <w:r>
        <w:rPr>
          <w:spacing w:val="-2"/>
        </w:rPr>
        <w:t>days</w:t>
      </w:r>
      <w:r>
        <w:t xml:space="preserve"> 1 to 21 </w:t>
      </w:r>
      <w:r>
        <w:rPr>
          <w:spacing w:val="-2"/>
        </w:rPr>
        <w:t>of</w:t>
      </w:r>
      <w:r>
        <w:rPr>
          <w:spacing w:val="1"/>
        </w:rPr>
        <w:t xml:space="preserve"> </w:t>
      </w:r>
      <w:r>
        <w:rPr>
          <w:spacing w:val="-1"/>
        </w:rPr>
        <w:t>repeated</w:t>
      </w:r>
      <w:r>
        <w:rPr>
          <w:spacing w:val="67"/>
        </w:rPr>
        <w:t xml:space="preserve"> </w:t>
      </w:r>
      <w:r>
        <w:rPr>
          <w:spacing w:val="-1"/>
        </w:rPr>
        <w:t>28-day</w:t>
      </w:r>
      <w:r>
        <w:rPr>
          <w:spacing w:val="-3"/>
        </w:rPr>
        <w:t xml:space="preserve"> </w:t>
      </w:r>
      <w:r>
        <w:rPr>
          <w:spacing w:val="-1"/>
        </w:rPr>
        <w:t>cycles.</w:t>
      </w:r>
    </w:p>
    <w:p w:rsidR="00117F34" w:rsidRDefault="00117F34" w:rsidP="00B2301B">
      <w:pPr>
        <w:shd w:val="clear" w:color="auto" w:fill="DBE5F1" w:themeFill="accent1" w:themeFillTint="33"/>
        <w:spacing w:before="10"/>
        <w:rPr>
          <w:rFonts w:eastAsia="Times New Roman"/>
          <w:sz w:val="21"/>
          <w:szCs w:val="21"/>
        </w:rPr>
      </w:pPr>
    </w:p>
    <w:p w:rsidR="00117F34" w:rsidRDefault="00117F34" w:rsidP="00B2301B">
      <w:pPr>
        <w:widowControl w:val="0"/>
        <w:numPr>
          <w:ilvl w:val="2"/>
          <w:numId w:val="102"/>
        </w:numPr>
        <w:shd w:val="clear" w:color="auto" w:fill="DBE5F1" w:themeFill="accent1" w:themeFillTint="33"/>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9984" w:type="dxa"/>
        <w:tblInd w:w="-6" w:type="dxa"/>
        <w:tblLayout w:type="fixed"/>
        <w:tblCellMar>
          <w:left w:w="0" w:type="dxa"/>
          <w:right w:w="0" w:type="dxa"/>
        </w:tblCellMar>
        <w:tblLook w:val="01E0" w:firstRow="1" w:lastRow="1" w:firstColumn="1" w:lastColumn="1" w:noHBand="0" w:noVBand="0"/>
      </w:tblPr>
      <w:tblGrid>
        <w:gridCol w:w="2789"/>
        <w:gridCol w:w="7195"/>
      </w:tblGrid>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1"/>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rPr>
              <w:t xml:space="preserve">20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2"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2" w:lineRule="exact"/>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2"/>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1"/>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-4</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1"/>
              </w:rPr>
              <w:t xml:space="preserve"> to</w:t>
            </w:r>
            <w:r>
              <w:rPr>
                <w:rFonts w:ascii="Times New Roman"/>
              </w:rPr>
              <w:t xml:space="preserve"> 21,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4273C8">
        <w:trPr>
          <w:trHeight w:hRule="exact" w:val="516"/>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-5</w:t>
            </w:r>
          </w:p>
        </w:tc>
        <w:tc>
          <w:tcPr>
            <w:tcW w:w="7195" w:type="dxa"/>
            <w:tcBorders>
              <w:top w:val="single" w:sz="5" w:space="0" w:color="000000"/>
              <w:left w:val="single" w:sz="5" w:space="0" w:color="000000"/>
              <w:bottom w:val="single" w:sz="5" w:space="0" w:color="000000"/>
              <w:right w:val="single" w:sz="5" w:space="0" w:color="000000"/>
            </w:tcBorders>
          </w:tcPr>
          <w:p w:rsidR="00B75DCD" w:rsidRDefault="00117F34" w:rsidP="00B2301B">
            <w:pPr>
              <w:pStyle w:val="TableParagraph"/>
              <w:shd w:val="clear" w:color="auto" w:fill="DBE5F1" w:themeFill="accent1" w:themeFillTint="33"/>
              <w:spacing w:line="241" w:lineRule="auto"/>
              <w:ind w:right="1288"/>
              <w:rPr>
                <w:rFonts w:ascii="Times New Roman"/>
                <w:spacing w:val="23"/>
                <w:w w:val="99"/>
                <w:position w:val="8"/>
                <w:sz w:val="14"/>
              </w:rPr>
            </w:pPr>
            <w:r>
              <w:rPr>
                <w:rFonts w:ascii="Times New Roman"/>
              </w:rPr>
              <w:t>2.5</w:t>
            </w:r>
            <w:r>
              <w:rPr>
                <w:rFonts w:ascii="Times New Roman"/>
                <w:spacing w:val="-1"/>
              </w:rPr>
              <w:t xml:space="preserve"> 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spacing w:val="-2"/>
              </w:rPr>
              <w:t xml:space="preserve"> </w:t>
            </w:r>
            <w:r>
              <w:rPr>
                <w:rFonts w:ascii="Times New Roman"/>
              </w:rPr>
              <w:t>1 to 21,</w:t>
            </w:r>
            <w:r>
              <w:rPr>
                <w:rFonts w:ascii="Times New Roman"/>
                <w:spacing w:val="-2"/>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r>
              <w:rPr>
                <w:rFonts w:ascii="Times New Roman"/>
                <w:spacing w:val="-1"/>
                <w:position w:val="8"/>
                <w:sz w:val="14"/>
              </w:rPr>
              <w:t>1</w:t>
            </w:r>
            <w:r>
              <w:rPr>
                <w:rFonts w:ascii="Times New Roman"/>
                <w:spacing w:val="23"/>
                <w:w w:val="99"/>
                <w:position w:val="8"/>
                <w:sz w:val="14"/>
              </w:rPr>
              <w:t xml:space="preserve"> </w:t>
            </w:r>
          </w:p>
          <w:p w:rsidR="00117F34" w:rsidRDefault="00117F34" w:rsidP="00B2301B">
            <w:pPr>
              <w:pStyle w:val="TableParagraph"/>
              <w:shd w:val="clear" w:color="auto" w:fill="DBE5F1" w:themeFill="accent1" w:themeFillTint="33"/>
              <w:spacing w:line="241" w:lineRule="auto"/>
              <w:ind w:right="1288"/>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r>
              <w:rPr>
                <w:rFonts w:ascii="Times New Roman"/>
                <w:spacing w:val="-2"/>
              </w:rPr>
              <w:t xml:space="preserve"> </w:t>
            </w:r>
            <w:r>
              <w:rPr>
                <w:rFonts w:ascii="Times New Roman"/>
              </w:rPr>
              <w:t xml:space="preserve">on </w:t>
            </w:r>
            <w:r>
              <w:rPr>
                <w:rFonts w:ascii="Times New Roman"/>
                <w:spacing w:val="-2"/>
              </w:rPr>
              <w:t>days</w:t>
            </w:r>
            <w:r>
              <w:rPr>
                <w:rFonts w:ascii="Times New Roman"/>
              </w:rPr>
              <w:t xml:space="preserve"> 1 to 21,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B2301B">
      <w:pPr>
        <w:shd w:val="clear" w:color="auto" w:fill="DBE5F1" w:themeFill="accent1" w:themeFillTint="33"/>
        <w:spacing w:line="185" w:lineRule="exact"/>
        <w:rPr>
          <w:rFonts w:eastAsia="Times New Roman"/>
          <w:sz w:val="16"/>
          <w:szCs w:val="16"/>
        </w:rPr>
      </w:pPr>
      <w:r>
        <w:rPr>
          <w:position w:val="6"/>
          <w:sz w:val="10"/>
        </w:rPr>
        <w:t>1</w:t>
      </w:r>
      <w:r>
        <w:rPr>
          <w:spacing w:val="1"/>
          <w:position w:val="6"/>
          <w:sz w:val="10"/>
        </w:rPr>
        <w:t xml:space="preserve"> </w:t>
      </w:r>
      <w:r>
        <w:rPr>
          <w:sz w:val="16"/>
        </w:rPr>
        <w:t xml:space="preserve">- </w:t>
      </w:r>
      <w:r>
        <w:rPr>
          <w:spacing w:val="-3"/>
          <w:sz w:val="16"/>
        </w:rPr>
        <w:t>In</w:t>
      </w:r>
      <w:r>
        <w:rPr>
          <w:spacing w:val="2"/>
          <w:sz w:val="16"/>
        </w:rPr>
        <w:t xml:space="preserve"> </w:t>
      </w:r>
      <w:r>
        <w:rPr>
          <w:spacing w:val="-1"/>
          <w:sz w:val="16"/>
        </w:rPr>
        <w:t>countries</w:t>
      </w:r>
      <w:r>
        <w:rPr>
          <w:sz w:val="16"/>
        </w:rPr>
        <w:t xml:space="preserve"> </w:t>
      </w:r>
      <w:r>
        <w:rPr>
          <w:spacing w:val="-2"/>
          <w:sz w:val="16"/>
        </w:rPr>
        <w:t>where</w:t>
      </w:r>
      <w:r>
        <w:rPr>
          <w:spacing w:val="-1"/>
          <w:sz w:val="16"/>
        </w:rPr>
        <w:t xml:space="preserve"> </w:t>
      </w:r>
      <w:r>
        <w:rPr>
          <w:sz w:val="16"/>
        </w:rPr>
        <w:t>the</w:t>
      </w:r>
      <w:r>
        <w:rPr>
          <w:spacing w:val="-1"/>
          <w:sz w:val="16"/>
        </w:rPr>
        <w:t xml:space="preserve"> 2.5</w:t>
      </w:r>
      <w:r>
        <w:rPr>
          <w:spacing w:val="2"/>
          <w:sz w:val="16"/>
        </w:rPr>
        <w:t xml:space="preserve"> </w:t>
      </w:r>
      <w:r>
        <w:rPr>
          <w:sz w:val="16"/>
        </w:rPr>
        <w:t>mg</w:t>
      </w:r>
      <w:r>
        <w:rPr>
          <w:spacing w:val="-1"/>
          <w:sz w:val="16"/>
        </w:rPr>
        <w:t xml:space="preserve"> capsule </w:t>
      </w:r>
      <w:r>
        <w:rPr>
          <w:sz w:val="16"/>
        </w:rPr>
        <w:t xml:space="preserve">is </w:t>
      </w:r>
      <w:r>
        <w:rPr>
          <w:spacing w:val="-1"/>
          <w:sz w:val="16"/>
        </w:rPr>
        <w:t>available.</w:t>
      </w:r>
    </w:p>
    <w:p w:rsidR="00117F34" w:rsidRDefault="00117F34" w:rsidP="00117F34">
      <w:pPr>
        <w:spacing w:before="9"/>
        <w:rPr>
          <w:rFonts w:eastAsia="Times New Roman"/>
          <w:sz w:val="21"/>
          <w:szCs w:val="21"/>
        </w:rPr>
      </w:pPr>
    </w:p>
    <w:p w:rsidR="00117F34" w:rsidRPr="004273C8" w:rsidRDefault="00117F34" w:rsidP="00B2301B">
      <w:pPr>
        <w:widowControl w:val="0"/>
        <w:numPr>
          <w:ilvl w:val="2"/>
          <w:numId w:val="102"/>
        </w:numPr>
        <w:shd w:val="clear" w:color="auto" w:fill="DBE5F1" w:themeFill="accent1" w:themeFillTint="33"/>
        <w:tabs>
          <w:tab w:val="left" w:pos="666"/>
        </w:tabs>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490884" w:rsidRPr="00F30CC0" w:rsidTr="00B85F0C">
        <w:tc>
          <w:tcPr>
            <w:tcW w:w="4637" w:type="dxa"/>
            <w:tcBorders>
              <w:bottom w:val="single" w:sz="4" w:space="0" w:color="auto"/>
            </w:tcBorders>
          </w:tcPr>
          <w:p w:rsidR="00490884" w:rsidRPr="00F30CC0" w:rsidRDefault="00490884" w:rsidP="00B2301B">
            <w:pPr>
              <w:shd w:val="clear" w:color="auto" w:fill="DBE5F1" w:themeFill="accent1" w:themeFillTint="33"/>
            </w:pPr>
            <w:r w:rsidRPr="00F30CC0">
              <w:t>When platelets</w:t>
            </w:r>
          </w:p>
        </w:tc>
        <w:tc>
          <w:tcPr>
            <w:tcW w:w="5286" w:type="dxa"/>
            <w:tcBorders>
              <w:bottom w:val="single" w:sz="4" w:space="0" w:color="auto"/>
            </w:tcBorders>
          </w:tcPr>
          <w:p w:rsidR="00490884" w:rsidRPr="00F30CC0" w:rsidRDefault="00490884" w:rsidP="00B2301B">
            <w:pPr>
              <w:shd w:val="clear" w:color="auto" w:fill="DBE5F1" w:themeFill="accent1" w:themeFillTint="33"/>
            </w:pPr>
            <w:r w:rsidRPr="00F30CC0">
              <w:t>Recommended course</w:t>
            </w:r>
          </w:p>
        </w:tc>
      </w:tr>
      <w:tr w:rsidR="00490884" w:rsidRPr="00F30CC0" w:rsidTr="00B85F0C">
        <w:tc>
          <w:tcPr>
            <w:tcW w:w="4637" w:type="dxa"/>
            <w:tcBorders>
              <w:top w:val="single" w:sz="4" w:space="0" w:color="auto"/>
              <w:bottom w:val="single" w:sz="4" w:space="0" w:color="auto"/>
            </w:tcBorders>
          </w:tcPr>
          <w:p w:rsidR="00490884" w:rsidRPr="00F30CC0" w:rsidRDefault="00490884" w:rsidP="00B2301B">
            <w:pPr>
              <w:shd w:val="clear" w:color="auto" w:fill="DBE5F1" w:themeFill="accent1" w:themeFillTint="33"/>
            </w:pPr>
            <w:r>
              <w:t>Falls to &lt; 50</w:t>
            </w:r>
            <w:r w:rsidRPr="00F30CC0">
              <w:t xml:space="preserve"> x 10</w:t>
            </w:r>
            <w:r w:rsidRPr="00F30CC0">
              <w:rPr>
                <w:vertAlign w:val="superscript"/>
              </w:rPr>
              <w:t>9</w:t>
            </w:r>
            <w:r w:rsidRPr="00F30CC0">
              <w:t>/L</w:t>
            </w:r>
          </w:p>
          <w:p w:rsidR="00490884" w:rsidRDefault="00490884" w:rsidP="00B2301B">
            <w:pPr>
              <w:shd w:val="clear" w:color="auto" w:fill="DBE5F1" w:themeFill="accent1" w:themeFillTint="33"/>
            </w:pPr>
          </w:p>
          <w:p w:rsidR="00490884" w:rsidRPr="00F30CC0" w:rsidRDefault="00490884" w:rsidP="00B2301B">
            <w:pPr>
              <w:shd w:val="clear" w:color="auto" w:fill="DBE5F1" w:themeFill="accent1" w:themeFillTint="33"/>
            </w:pPr>
            <w:r w:rsidRPr="00771287">
              <w:t xml:space="preserve">Returns to ≥ </w:t>
            </w:r>
            <w:r>
              <w:t>60</w:t>
            </w:r>
            <w:r w:rsidRPr="00771287">
              <w:t xml:space="preserve"> x 1</w:t>
            </w:r>
            <w:r>
              <w:t>0</w:t>
            </w:r>
            <w:r w:rsidRPr="00771287">
              <w:rPr>
                <w:vertAlign w:val="superscript"/>
              </w:rPr>
              <w:t>9</w:t>
            </w:r>
            <w:r>
              <w:t xml:space="preserve">/L </w:t>
            </w:r>
          </w:p>
        </w:tc>
        <w:tc>
          <w:tcPr>
            <w:tcW w:w="5286" w:type="dxa"/>
            <w:tcBorders>
              <w:top w:val="single" w:sz="4" w:space="0" w:color="auto"/>
              <w:bottom w:val="single" w:sz="4" w:space="0" w:color="auto"/>
            </w:tcBorders>
          </w:tcPr>
          <w:p w:rsidR="00490884" w:rsidRDefault="00490884" w:rsidP="00B2301B">
            <w:pPr>
              <w:shd w:val="clear" w:color="auto" w:fill="DBE5F1" w:themeFill="accent1" w:themeFillTint="33"/>
            </w:pPr>
            <w:r>
              <w:t>Interrupt lenalidomide treatment and conduct Complete Blood Count (CBC) at least every 7 days</w:t>
            </w:r>
          </w:p>
          <w:p w:rsidR="00490884" w:rsidRPr="00F30CC0" w:rsidRDefault="00490884" w:rsidP="00B2301B">
            <w:pPr>
              <w:shd w:val="clear" w:color="auto" w:fill="DBE5F1" w:themeFill="accent1" w:themeFillTint="33"/>
            </w:pPr>
            <w:r>
              <w:t>Resume lenalidomide at next lower level (dose level -1)</w:t>
            </w:r>
          </w:p>
        </w:tc>
      </w:tr>
      <w:tr w:rsidR="00490884" w:rsidRPr="00F30CC0" w:rsidTr="00B85F0C">
        <w:tc>
          <w:tcPr>
            <w:tcW w:w="4637" w:type="dxa"/>
            <w:tcBorders>
              <w:top w:val="single" w:sz="4" w:space="0" w:color="auto"/>
            </w:tcBorders>
          </w:tcPr>
          <w:p w:rsidR="00490884" w:rsidRDefault="00490884" w:rsidP="00B2301B">
            <w:pPr>
              <w:shd w:val="clear" w:color="auto" w:fill="DBE5F1" w:themeFill="accent1" w:themeFillTint="33"/>
            </w:pPr>
            <w:r>
              <w:t>For each subsequent drop below 5</w:t>
            </w:r>
            <w:r w:rsidRPr="00F30CC0">
              <w:t>0 x 10</w:t>
            </w:r>
            <w:r w:rsidRPr="00F30CC0">
              <w:rPr>
                <w:vertAlign w:val="superscript"/>
              </w:rPr>
              <w:t>9</w:t>
            </w:r>
            <w:r w:rsidRPr="00F30CC0">
              <w:t xml:space="preserve">/L </w:t>
            </w:r>
          </w:p>
          <w:p w:rsidR="00490884" w:rsidRDefault="00490884" w:rsidP="00B2301B">
            <w:pPr>
              <w:shd w:val="clear" w:color="auto" w:fill="DBE5F1" w:themeFill="accent1" w:themeFillTint="33"/>
            </w:pPr>
          </w:p>
          <w:p w:rsidR="00490884" w:rsidRPr="00F30CC0" w:rsidRDefault="00490884" w:rsidP="00B2301B">
            <w:pPr>
              <w:shd w:val="clear" w:color="auto" w:fill="DBE5F1" w:themeFill="accent1" w:themeFillTint="33"/>
            </w:pPr>
            <w:r w:rsidRPr="00F30CC0">
              <w:t>Return</w:t>
            </w:r>
            <w:r>
              <w:t>s to ≥ 6</w:t>
            </w:r>
            <w:r w:rsidRPr="00F30CC0">
              <w:t>0 x 10</w:t>
            </w:r>
            <w:r w:rsidRPr="00F30CC0">
              <w:rPr>
                <w:vertAlign w:val="superscript"/>
              </w:rPr>
              <w:t>9</w:t>
            </w:r>
            <w:r w:rsidRPr="00F30CC0">
              <w:t>/L</w:t>
            </w:r>
          </w:p>
        </w:tc>
        <w:tc>
          <w:tcPr>
            <w:tcW w:w="5286" w:type="dxa"/>
            <w:tcBorders>
              <w:top w:val="single" w:sz="4" w:space="0" w:color="auto"/>
            </w:tcBorders>
          </w:tcPr>
          <w:p w:rsidR="00490884" w:rsidRDefault="00490884" w:rsidP="00B2301B">
            <w:pPr>
              <w:shd w:val="clear" w:color="auto" w:fill="DBE5F1" w:themeFill="accent1" w:themeFillTint="33"/>
            </w:pPr>
            <w:r w:rsidRPr="00F30CC0">
              <w:t xml:space="preserve">Interrupt lenalidomide treatment </w:t>
            </w:r>
            <w:r>
              <w:t>and conduct the CBC at least every 7 days</w:t>
            </w:r>
          </w:p>
          <w:p w:rsidR="00490884" w:rsidRPr="00F30CC0" w:rsidRDefault="00490884" w:rsidP="00B2301B">
            <w:pPr>
              <w:shd w:val="clear" w:color="auto" w:fill="DBE5F1" w:themeFill="accent1" w:themeFillTint="33"/>
            </w:pPr>
            <w:r w:rsidRPr="00F30CC0">
              <w:t xml:space="preserve">Resume lenalidomide </w:t>
            </w:r>
            <w:r>
              <w:t xml:space="preserve">at next lower level (dose level -2, -3, </w:t>
            </w:r>
            <w:r w:rsidR="005B0414">
              <w:t>-</w:t>
            </w:r>
            <w:r>
              <w:t>4, or -5). Do not dose below level</w:t>
            </w:r>
            <w:r w:rsidR="005B0414">
              <w:t xml:space="preserve"> </w:t>
            </w:r>
            <w:r>
              <w:t>-5</w:t>
            </w:r>
          </w:p>
        </w:tc>
      </w:tr>
    </w:tbl>
    <w:p w:rsidR="00117F34" w:rsidRDefault="00117F34" w:rsidP="00B2301B">
      <w:pPr>
        <w:shd w:val="clear" w:color="auto" w:fill="DBE5F1" w:themeFill="accent1" w:themeFillTint="33"/>
        <w:spacing w:before="9"/>
        <w:rPr>
          <w:rFonts w:eastAsia="Times New Roman"/>
          <w:sz w:val="17"/>
          <w:szCs w:val="17"/>
        </w:rPr>
      </w:pPr>
    </w:p>
    <w:p w:rsidR="00117F34" w:rsidRPr="004273C8" w:rsidRDefault="00117F34" w:rsidP="00B2301B">
      <w:pPr>
        <w:widowControl w:val="0"/>
        <w:numPr>
          <w:ilvl w:val="2"/>
          <w:numId w:val="102"/>
        </w:numPr>
        <w:shd w:val="clear" w:color="auto" w:fill="DBE5F1" w:themeFill="accent1" w:themeFillTint="33"/>
        <w:tabs>
          <w:tab w:val="left" w:pos="666"/>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490884">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490884" w:rsidTr="00B85F0C">
        <w:tc>
          <w:tcPr>
            <w:tcW w:w="5069" w:type="dxa"/>
            <w:tcBorders>
              <w:bottom w:val="single" w:sz="4" w:space="0" w:color="auto"/>
            </w:tcBorders>
          </w:tcPr>
          <w:p w:rsidR="00490884" w:rsidRDefault="00490884" w:rsidP="00B2301B">
            <w:pPr>
              <w:shd w:val="clear" w:color="auto" w:fill="DBE5F1" w:themeFill="accent1" w:themeFillTint="33"/>
              <w:ind w:right="1020"/>
            </w:pPr>
            <w:r>
              <w:rPr>
                <w:rFonts w:eastAsia="Times New Roman"/>
              </w:rPr>
              <w:t>When ANC</w:t>
            </w:r>
          </w:p>
        </w:tc>
        <w:tc>
          <w:tcPr>
            <w:tcW w:w="5069" w:type="dxa"/>
            <w:tcBorders>
              <w:bottom w:val="single" w:sz="4" w:space="0" w:color="auto"/>
            </w:tcBorders>
          </w:tcPr>
          <w:p w:rsidR="00490884" w:rsidRDefault="00490884" w:rsidP="00B2301B">
            <w:pPr>
              <w:shd w:val="clear" w:color="auto" w:fill="DBE5F1" w:themeFill="accent1" w:themeFillTint="33"/>
              <w:ind w:right="1020"/>
            </w:pPr>
            <w:r>
              <w:rPr>
                <w:rFonts w:eastAsia="Times New Roman"/>
              </w:rPr>
              <w:t>Recommended course</w:t>
            </w:r>
          </w:p>
        </w:tc>
      </w:tr>
      <w:tr w:rsidR="00490884" w:rsidTr="00B85F0C">
        <w:tc>
          <w:tcPr>
            <w:tcW w:w="5069" w:type="dxa"/>
            <w:tcBorders>
              <w:top w:val="single" w:sz="4" w:space="0" w:color="auto"/>
              <w:bottom w:val="single" w:sz="4" w:space="0" w:color="auto"/>
            </w:tcBorders>
          </w:tcPr>
          <w:p w:rsidR="00490884" w:rsidRPr="00052277" w:rsidRDefault="00490884" w:rsidP="00B2301B">
            <w:pPr>
              <w:shd w:val="clear" w:color="auto" w:fill="DBE5F1" w:themeFill="accent1" w:themeFillTint="33"/>
              <w:rPr>
                <w:rFonts w:eastAsia="Times New Roman"/>
              </w:rPr>
            </w:pPr>
            <w:r>
              <w:t>F</w:t>
            </w:r>
            <w:r w:rsidRPr="00052277">
              <w:rPr>
                <w:rFonts w:eastAsia="Times New Roman"/>
              </w:rPr>
              <w:t>all</w:t>
            </w:r>
            <w:r>
              <w:rPr>
                <w:rFonts w:eastAsia="Times New Roman"/>
              </w:rPr>
              <w:t>s</w:t>
            </w:r>
            <w:r>
              <w:t xml:space="preserve"> to &lt; 1</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for at least 7 days or</w:t>
            </w:r>
          </w:p>
          <w:p w:rsidR="00490884" w:rsidRDefault="00490884" w:rsidP="00B2301B">
            <w:pPr>
              <w:shd w:val="clear" w:color="auto" w:fill="DBE5F1" w:themeFill="accent1" w:themeFillTint="33"/>
            </w:pPr>
            <w:r>
              <w:t>Falls</w:t>
            </w:r>
            <w:r w:rsidRPr="00052277">
              <w:t xml:space="preserve"> to </w:t>
            </w:r>
            <w:r>
              <w:t>&lt;</w:t>
            </w:r>
            <w:r w:rsidRPr="00052277">
              <w:t xml:space="preserve"> </w:t>
            </w:r>
            <w:r>
              <w:t>1</w:t>
            </w:r>
            <w:r w:rsidRPr="00052277">
              <w:t xml:space="preserve"> x 10</w:t>
            </w:r>
            <w:r w:rsidRPr="00052277">
              <w:rPr>
                <w:vertAlign w:val="superscript"/>
              </w:rPr>
              <w:t>9</w:t>
            </w:r>
            <w:r w:rsidRPr="00052277">
              <w:t xml:space="preserve">/L </w:t>
            </w:r>
            <w:r>
              <w:t xml:space="preserve">with associated fever (body temperature </w:t>
            </w:r>
            <w:r w:rsidRPr="00B84E25">
              <w:t>≥ 38.5°C</w:t>
            </w:r>
            <w:r>
              <w:t>) or</w:t>
            </w:r>
          </w:p>
          <w:p w:rsidR="00490884" w:rsidRDefault="00490884" w:rsidP="00B2301B">
            <w:pPr>
              <w:shd w:val="clear" w:color="auto" w:fill="DBE5F1" w:themeFill="accent1" w:themeFillTint="33"/>
              <w:rPr>
                <w:sz w:val="20"/>
                <w:szCs w:val="20"/>
              </w:rPr>
            </w:pPr>
            <w:r>
              <w:t>Falls to &lt;</w:t>
            </w:r>
            <w:r w:rsidR="00080085">
              <w:t xml:space="preserve"> </w:t>
            </w:r>
            <w:r>
              <w:t xml:space="preserve">0.5 </w:t>
            </w:r>
            <w:r w:rsidRPr="00B84E25">
              <w:t>x 10</w:t>
            </w:r>
            <w:r w:rsidRPr="00B84E25">
              <w:rPr>
                <w:vertAlign w:val="superscript"/>
              </w:rPr>
              <w:t>9</w:t>
            </w:r>
            <w:r w:rsidRPr="00B84E25">
              <w:t>/L</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424"/>
            </w:pPr>
            <w:r>
              <w:t>Interrupt lenalidomide treatment and conduct the CBC at least every 7 days</w:t>
            </w:r>
          </w:p>
        </w:tc>
      </w:tr>
      <w:tr w:rsidR="00490884" w:rsidTr="00B85F0C">
        <w:tc>
          <w:tcPr>
            <w:tcW w:w="5069" w:type="dxa"/>
            <w:tcBorders>
              <w:top w:val="single" w:sz="4" w:space="0" w:color="auto"/>
              <w:bottom w:val="single" w:sz="4" w:space="0" w:color="auto"/>
            </w:tcBorders>
          </w:tcPr>
          <w:p w:rsidR="00490884" w:rsidRPr="000971AE" w:rsidRDefault="00490884" w:rsidP="00B2301B">
            <w:pPr>
              <w:shd w:val="clear" w:color="auto" w:fill="DBE5F1" w:themeFill="accent1" w:themeFillTint="33"/>
              <w:rPr>
                <w:sz w:val="20"/>
                <w:szCs w:val="20"/>
              </w:rPr>
            </w:pPr>
            <w:r w:rsidRPr="000971AE">
              <w:rPr>
                <w:rFonts w:eastAsia="Times New Roman"/>
                <w:sz w:val="20"/>
                <w:szCs w:val="20"/>
              </w:rPr>
              <w:t xml:space="preserve">Returns to ≥ </w:t>
            </w:r>
            <w:r>
              <w:t>1</w:t>
            </w:r>
            <w:r w:rsidRPr="000971AE">
              <w:rPr>
                <w:rFonts w:eastAsia="Times New Roman"/>
                <w:sz w:val="20"/>
                <w:szCs w:val="20"/>
              </w:rPr>
              <w:t xml:space="preserve"> x 10</w:t>
            </w:r>
            <w:r w:rsidRPr="000971AE">
              <w:rPr>
                <w:rFonts w:eastAsia="Times New Roman"/>
                <w:sz w:val="20"/>
                <w:szCs w:val="20"/>
                <w:vertAlign w:val="superscript"/>
              </w:rPr>
              <w:t>9</w:t>
            </w:r>
            <w:r w:rsidRPr="000971AE">
              <w:rPr>
                <w:rFonts w:eastAsia="Times New Roman"/>
                <w:sz w:val="20"/>
                <w:szCs w:val="20"/>
              </w:rPr>
              <w:t xml:space="preserve">/L </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1020"/>
            </w:pPr>
            <w:r>
              <w:rPr>
                <w:rFonts w:eastAsia="Times New Roman"/>
              </w:rPr>
              <w:t>Resume lenalidomide at</w:t>
            </w:r>
            <w:r>
              <w:t xml:space="preserve"> next lower</w:t>
            </w:r>
            <w:r>
              <w:rPr>
                <w:rFonts w:eastAsia="Times New Roman"/>
              </w:rPr>
              <w:t xml:space="preserve"> d</w:t>
            </w:r>
            <w:r>
              <w:t xml:space="preserve">ose level (dose level -1) </w:t>
            </w:r>
          </w:p>
        </w:tc>
      </w:tr>
      <w:tr w:rsidR="00490884" w:rsidTr="00B85F0C">
        <w:trPr>
          <w:trHeight w:val="662"/>
        </w:trPr>
        <w:tc>
          <w:tcPr>
            <w:tcW w:w="5069" w:type="dxa"/>
            <w:tcBorders>
              <w:top w:val="single" w:sz="4" w:space="0" w:color="auto"/>
              <w:bottom w:val="single" w:sz="4" w:space="0" w:color="auto"/>
            </w:tcBorders>
          </w:tcPr>
          <w:p w:rsidR="00490884" w:rsidRDefault="00490884" w:rsidP="00B2301B">
            <w:pPr>
              <w:shd w:val="clear" w:color="auto" w:fill="DBE5F1" w:themeFill="accent1" w:themeFillTint="33"/>
            </w:pPr>
            <w:r>
              <w:rPr>
                <w:rFonts w:eastAsia="Times New Roman"/>
              </w:rPr>
              <w:t xml:space="preserve">For each subsequent drop below &lt; </w:t>
            </w:r>
            <w:r>
              <w:t>1</w:t>
            </w:r>
            <w:r>
              <w:rPr>
                <w:rFonts w:eastAsia="Times New Roman"/>
              </w:rPr>
              <w:t xml:space="preserve"> x 10</w:t>
            </w:r>
            <w:r w:rsidR="005B0414" w:rsidRPr="00052277">
              <w:rPr>
                <w:rFonts w:eastAsia="Times New Roman"/>
                <w:vertAlign w:val="superscript"/>
              </w:rPr>
              <w:t>9</w:t>
            </w:r>
            <w:r>
              <w:rPr>
                <w:rFonts w:eastAsia="Times New Roman"/>
              </w:rPr>
              <w:t xml:space="preserve">/L </w:t>
            </w:r>
            <w:r>
              <w:t>for at least 7 days or drop to &lt; 1</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with associated fever (body temperature </w:t>
            </w:r>
            <w:r w:rsidRPr="00B84E25">
              <w:t>≥ 38.5°C</w:t>
            </w:r>
            <w:r>
              <w:t>) or  drop to &lt; 0.5</w:t>
            </w:r>
            <w:r w:rsidRPr="00052277">
              <w:rPr>
                <w:rFonts w:eastAsia="Times New Roman"/>
              </w:rPr>
              <w:t xml:space="preserve"> x 10</w:t>
            </w:r>
            <w:r w:rsidRPr="00052277">
              <w:rPr>
                <w:rFonts w:eastAsia="Times New Roman"/>
                <w:vertAlign w:val="superscript"/>
              </w:rPr>
              <w:t>9</w:t>
            </w:r>
            <w:r w:rsidRPr="00052277">
              <w:rPr>
                <w:rFonts w:eastAsia="Times New Roman"/>
              </w:rPr>
              <w:t>/L</w:t>
            </w:r>
          </w:p>
          <w:p w:rsidR="00490884" w:rsidRDefault="00490884" w:rsidP="00B2301B">
            <w:pPr>
              <w:shd w:val="clear" w:color="auto" w:fill="DBE5F1" w:themeFill="accent1" w:themeFillTint="33"/>
              <w:rPr>
                <w:sz w:val="20"/>
                <w:szCs w:val="20"/>
              </w:rPr>
            </w:pPr>
            <w:r>
              <w:rPr>
                <w:rFonts w:eastAsia="Times New Roman"/>
              </w:rPr>
              <w:t>Returns</w:t>
            </w:r>
            <w:r>
              <w:t xml:space="preserve"> to ≥ 1</w:t>
            </w:r>
            <w:r>
              <w:rPr>
                <w:rFonts w:eastAsia="Times New Roman"/>
              </w:rPr>
              <w:t xml:space="preserve"> x 10</w:t>
            </w:r>
            <w:r w:rsidR="005B0414" w:rsidRPr="00052277">
              <w:rPr>
                <w:rFonts w:eastAsia="Times New Roman"/>
                <w:vertAlign w:val="superscript"/>
              </w:rPr>
              <w:t>9</w:t>
            </w:r>
            <w:r>
              <w:rPr>
                <w:rFonts w:eastAsia="Times New Roman"/>
              </w:rPr>
              <w:t>/L</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1020"/>
              <w:rPr>
                <w:rFonts w:eastAsia="Times New Roman"/>
              </w:rPr>
            </w:pPr>
            <w:r>
              <w:rPr>
                <w:rFonts w:eastAsia="Times New Roman"/>
              </w:rPr>
              <w:t xml:space="preserve">Interrupt lenalidomide treatment </w:t>
            </w:r>
          </w:p>
          <w:p w:rsidR="00490884" w:rsidRDefault="00490884" w:rsidP="00B2301B">
            <w:pPr>
              <w:shd w:val="clear" w:color="auto" w:fill="DBE5F1" w:themeFill="accent1" w:themeFillTint="33"/>
              <w:ind w:right="566"/>
            </w:pPr>
          </w:p>
          <w:p w:rsidR="00490884" w:rsidRDefault="00490884" w:rsidP="00B2301B">
            <w:pPr>
              <w:shd w:val="clear" w:color="auto" w:fill="DBE5F1" w:themeFill="accent1" w:themeFillTint="33"/>
              <w:ind w:right="566"/>
            </w:pPr>
          </w:p>
          <w:p w:rsidR="00490884" w:rsidRDefault="00490884" w:rsidP="00B2301B">
            <w:pPr>
              <w:shd w:val="clear" w:color="auto" w:fill="DBE5F1" w:themeFill="accent1" w:themeFillTint="33"/>
              <w:ind w:right="566"/>
            </w:pPr>
          </w:p>
          <w:p w:rsidR="00490884" w:rsidRPr="003B2466" w:rsidRDefault="00490884" w:rsidP="00B2301B">
            <w:pPr>
              <w:shd w:val="clear" w:color="auto" w:fill="DBE5F1" w:themeFill="accent1" w:themeFillTint="33"/>
              <w:ind w:right="566"/>
              <w:rPr>
                <w:sz w:val="20"/>
                <w:szCs w:val="20"/>
              </w:rPr>
            </w:pPr>
            <w:r w:rsidRPr="00F30CC0">
              <w:t xml:space="preserve">Resume lenalidomide </w:t>
            </w:r>
            <w:r>
              <w:t xml:space="preserve">at next lower dose level (dose level -2, -3, </w:t>
            </w:r>
            <w:r w:rsidR="005B0414">
              <w:t>-</w:t>
            </w:r>
            <w:r>
              <w:t>4, or -5). Do not dose below level</w:t>
            </w:r>
            <w:r w:rsidR="005B0414">
              <w:t xml:space="preserve"> </w:t>
            </w:r>
            <w:r>
              <w:t>-5</w:t>
            </w:r>
          </w:p>
        </w:tc>
      </w:tr>
    </w:tbl>
    <w:p w:rsidR="00117F34" w:rsidRDefault="00117F34" w:rsidP="00117F34">
      <w:pPr>
        <w:spacing w:before="7"/>
        <w:rPr>
          <w:rFonts w:eastAsia="Times New Roman"/>
          <w:sz w:val="16"/>
          <w:szCs w:val="16"/>
        </w:rPr>
      </w:pPr>
    </w:p>
    <w:p w:rsidR="00117F34" w:rsidRDefault="00117F34" w:rsidP="00117F34">
      <w:pPr>
        <w:spacing w:before="72" w:line="250" w:lineRule="exact"/>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r>
        <w:rPr>
          <w:i/>
          <w:u w:val="single" w:color="000000"/>
        </w:rPr>
        <w:t xml:space="preserve"> </w:t>
      </w:r>
      <w:r>
        <w:rPr>
          <w:i/>
          <w:spacing w:val="-1"/>
          <w:u w:val="single" w:color="000000"/>
        </w:rPr>
        <w:t>(FL)</w:t>
      </w:r>
    </w:p>
    <w:p w:rsidR="00117F34" w:rsidRDefault="00117F34" w:rsidP="00117F34">
      <w:pPr>
        <w:pStyle w:val="BodyText"/>
        <w:spacing w:line="241" w:lineRule="auto"/>
        <w:ind w:right="602"/>
      </w:pPr>
      <w:r>
        <w:rPr>
          <w:spacing w:val="-1"/>
        </w:rPr>
        <w:t>Lenalidomide</w:t>
      </w:r>
      <w:r>
        <w:t xml:space="preserve"> </w:t>
      </w:r>
      <w:r>
        <w:rPr>
          <w:spacing w:val="-1"/>
        </w:rPr>
        <w:t>treatment</w:t>
      </w:r>
      <w:r>
        <w:rPr>
          <w:spacing w:val="1"/>
        </w:rPr>
        <w:t xml:space="preserve"> </w:t>
      </w:r>
      <w:r>
        <w:rPr>
          <w:spacing w:val="-1"/>
        </w:rPr>
        <w:t>must</w:t>
      </w:r>
      <w:r>
        <w:rPr>
          <w:spacing w:val="1"/>
        </w:rPr>
        <w:t xml:space="preserve"> </w:t>
      </w:r>
      <w:r>
        <w:rPr>
          <w:spacing w:val="-1"/>
        </w:rPr>
        <w:t>not</w:t>
      </w:r>
      <w:r>
        <w:rPr>
          <w:spacing w:val="1"/>
        </w:rPr>
        <w:t xml:space="preserve"> </w:t>
      </w:r>
      <w:r>
        <w:t>be</w:t>
      </w:r>
      <w:r>
        <w:rPr>
          <w:spacing w:val="-2"/>
        </w:rPr>
        <w:t xml:space="preserve"> </w:t>
      </w:r>
      <w:r>
        <w:rPr>
          <w:spacing w:val="-1"/>
        </w:rPr>
        <w:t>started</w:t>
      </w:r>
      <w:r>
        <w:rPr>
          <w:spacing w:val="-2"/>
        </w:rPr>
        <w:t xml:space="preserve"> </w:t>
      </w:r>
      <w:r>
        <w:t>if</w:t>
      </w:r>
      <w:r>
        <w:rPr>
          <w:spacing w:val="-2"/>
        </w:rPr>
        <w:t xml:space="preserve"> </w:t>
      </w:r>
      <w:r>
        <w:t xml:space="preserve">the </w:t>
      </w:r>
      <w:r>
        <w:rPr>
          <w:spacing w:val="-1"/>
        </w:rPr>
        <w:t>ANC</w:t>
      </w:r>
      <w:r>
        <w:rPr>
          <w:spacing w:val="-3"/>
        </w:rPr>
        <w:t xml:space="preserve"> </w:t>
      </w:r>
      <w:r>
        <w:t>is &lt;</w:t>
      </w:r>
      <w:r>
        <w:rPr>
          <w:spacing w:val="-2"/>
        </w:rPr>
        <w:t xml:space="preserve"> </w:t>
      </w:r>
      <w:r>
        <w:t xml:space="preserve">1 x </w:t>
      </w:r>
      <w:r>
        <w:rPr>
          <w:spacing w:val="-1"/>
        </w:rPr>
        <w:t>10</w:t>
      </w:r>
      <w:r>
        <w:rPr>
          <w:spacing w:val="-1"/>
          <w:position w:val="8"/>
          <w:sz w:val="14"/>
        </w:rPr>
        <w:t>9</w:t>
      </w:r>
      <w:r>
        <w:rPr>
          <w:spacing w:val="-1"/>
        </w:rPr>
        <w:t>/L,</w:t>
      </w:r>
      <w:r>
        <w:t xml:space="preserve"> </w:t>
      </w:r>
      <w:r>
        <w:rPr>
          <w:spacing w:val="-1"/>
        </w:rPr>
        <w:t>and/or</w:t>
      </w:r>
      <w:r>
        <w:t xml:space="preserve"> </w:t>
      </w:r>
      <w:r>
        <w:rPr>
          <w:spacing w:val="-1"/>
        </w:rPr>
        <w:t>platelet</w:t>
      </w:r>
      <w:r>
        <w:rPr>
          <w:spacing w:val="-2"/>
        </w:rPr>
        <w:t xml:space="preserve"> </w:t>
      </w:r>
      <w:r>
        <w:rPr>
          <w:spacing w:val="-1"/>
        </w:rPr>
        <w:t>count</w:t>
      </w:r>
      <w:r>
        <w:rPr>
          <w:spacing w:val="1"/>
        </w:rPr>
        <w:t xml:space="preserve"> </w:t>
      </w:r>
      <w:r>
        <w:t xml:space="preserve">&lt; </w:t>
      </w:r>
      <w:r>
        <w:rPr>
          <w:spacing w:val="-2"/>
        </w:rPr>
        <w:t>50</w:t>
      </w:r>
      <w:r>
        <w:t xml:space="preserve"> x </w:t>
      </w:r>
      <w:r>
        <w:rPr>
          <w:spacing w:val="-1"/>
        </w:rPr>
        <w:t>10</w:t>
      </w:r>
      <w:r>
        <w:rPr>
          <w:spacing w:val="-1"/>
          <w:position w:val="8"/>
          <w:sz w:val="14"/>
        </w:rPr>
        <w:t>9</w:t>
      </w:r>
      <w:r>
        <w:rPr>
          <w:spacing w:val="-1"/>
        </w:rPr>
        <w:t>/L,</w:t>
      </w:r>
      <w:r>
        <w:rPr>
          <w:spacing w:val="59"/>
        </w:rPr>
        <w:t xml:space="preserve"> </w:t>
      </w:r>
      <w:r>
        <w:rPr>
          <w:spacing w:val="-1"/>
        </w:rPr>
        <w:t>unless</w:t>
      </w:r>
      <w:r>
        <w:t xml:space="preserve"> </w:t>
      </w:r>
      <w:r>
        <w:rPr>
          <w:spacing w:val="-1"/>
        </w:rPr>
        <w:t>secondary</w:t>
      </w:r>
      <w:r>
        <w:rPr>
          <w:spacing w:val="-2"/>
        </w:rPr>
        <w:t xml:space="preserve"> </w:t>
      </w:r>
      <w:r>
        <w:t>to</w:t>
      </w:r>
      <w:r>
        <w:rPr>
          <w:spacing w:val="-2"/>
        </w:rPr>
        <w:t xml:space="preserve"> </w:t>
      </w:r>
      <w:r>
        <w:rPr>
          <w:spacing w:val="-1"/>
        </w:rPr>
        <w:t>lymphoma</w:t>
      </w:r>
      <w:r>
        <w:t xml:space="preserve"> </w:t>
      </w:r>
      <w:r>
        <w:rPr>
          <w:spacing w:val="-1"/>
        </w:rPr>
        <w:t>infiltration</w:t>
      </w:r>
      <w:r>
        <w:t xml:space="preserve"> </w:t>
      </w:r>
      <w:r>
        <w:rPr>
          <w:spacing w:val="-1"/>
        </w:rPr>
        <w:t>of</w:t>
      </w:r>
      <w:r>
        <w:rPr>
          <w:spacing w:val="1"/>
        </w:rPr>
        <w:t xml:space="preserve"> </w:t>
      </w:r>
      <w:r>
        <w:rPr>
          <w:spacing w:val="-1"/>
        </w:rPr>
        <w:t>bone</w:t>
      </w:r>
      <w:r>
        <w:t xml:space="preserve"> </w:t>
      </w:r>
      <w:r>
        <w:rPr>
          <w:spacing w:val="-1"/>
        </w:rPr>
        <w:t>marrow.</w:t>
      </w:r>
    </w:p>
    <w:p w:rsidR="00117F34" w:rsidRDefault="00117F34" w:rsidP="00117F34">
      <w:pPr>
        <w:spacing w:before="8"/>
        <w:rPr>
          <w:rFonts w:eastAsia="Times New Roman"/>
          <w:sz w:val="21"/>
          <w:szCs w:val="21"/>
        </w:rPr>
      </w:pPr>
    </w:p>
    <w:p w:rsidR="00117F34" w:rsidRDefault="00117F34" w:rsidP="00117F34">
      <w:pPr>
        <w:rPr>
          <w:rFonts w:eastAsia="Times New Roman"/>
        </w:rPr>
      </w:pPr>
      <w:r>
        <w:rPr>
          <w:i/>
          <w:spacing w:val="-1"/>
        </w:rPr>
        <w:t>Recommended</w:t>
      </w:r>
      <w:r>
        <w:rPr>
          <w:i/>
          <w:spacing w:val="-2"/>
        </w:rPr>
        <w:t xml:space="preserve"> </w:t>
      </w:r>
      <w:r>
        <w:rPr>
          <w:i/>
          <w:spacing w:val="-1"/>
        </w:rPr>
        <w:t>dose</w:t>
      </w:r>
    </w:p>
    <w:p w:rsidR="00117F34" w:rsidRDefault="002C544C" w:rsidP="004273C8">
      <w:pPr>
        <w:pStyle w:val="BodyText"/>
        <w:spacing w:before="3" w:line="237" w:lineRule="auto"/>
        <w:ind w:right="245"/>
      </w:pPr>
      <w:r>
        <w:rPr>
          <w:noProof/>
        </w:rPr>
        <mc:AlternateContent>
          <mc:Choice Requires="wpg">
            <w:drawing>
              <wp:anchor distT="0" distB="0" distL="114300" distR="114300" simplePos="0" relativeHeight="251670528" behindDoc="1" locked="0" layoutInCell="1" allowOverlap="1" wp14:anchorId="1D70CF63" wp14:editId="53278ADF">
                <wp:simplePos x="0" y="0"/>
                <wp:positionH relativeFrom="page">
                  <wp:posOffset>4742815</wp:posOffset>
                </wp:positionH>
                <wp:positionV relativeFrom="paragraph">
                  <wp:posOffset>467995</wp:posOffset>
                </wp:positionV>
                <wp:extent cx="34925" cy="6350"/>
                <wp:effectExtent l="0" t="0" r="3175" b="0"/>
                <wp:wrapNone/>
                <wp:docPr id="48"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7469" y="737"/>
                          <a:chExt cx="55" cy="10"/>
                        </a:xfrm>
                      </wpg:grpSpPr>
                      <wps:wsp>
                        <wps:cNvPr id="49" name="Freeform 404"/>
                        <wps:cNvSpPr>
                          <a:spLocks/>
                        </wps:cNvSpPr>
                        <wps:spPr bwMode="auto">
                          <a:xfrm>
                            <a:off x="7469" y="737"/>
                            <a:ext cx="55" cy="10"/>
                          </a:xfrm>
                          <a:custGeom>
                            <a:avLst/>
                            <a:gdLst>
                              <a:gd name="T0" fmla="+- 0 7469 7469"/>
                              <a:gd name="T1" fmla="*/ T0 w 55"/>
                              <a:gd name="T2" fmla="+- 0 742 737"/>
                              <a:gd name="T3" fmla="*/ 742 h 10"/>
                              <a:gd name="T4" fmla="+- 0 7524 7469"/>
                              <a:gd name="T5" fmla="*/ T4 w 55"/>
                              <a:gd name="T6" fmla="+- 0 742 737"/>
                              <a:gd name="T7" fmla="*/ 742 h 10"/>
                            </a:gdLst>
                            <a:ahLst/>
                            <a:cxnLst>
                              <a:cxn ang="0">
                                <a:pos x="T1" y="T3"/>
                              </a:cxn>
                              <a:cxn ang="0">
                                <a:pos x="T5" y="T7"/>
                              </a:cxn>
                            </a:cxnLst>
                            <a:rect l="0" t="0" r="r" b="b"/>
                            <a:pathLst>
                              <a:path w="55" h="10">
                                <a:moveTo>
                                  <a:pt x="0" y="5"/>
                                </a:moveTo>
                                <a:lnTo>
                                  <a:pt x="55" y="5"/>
                                </a:lnTo>
                              </a:path>
                            </a:pathLst>
                          </a:custGeom>
                          <a:noFill/>
                          <a:ln w="7239">
                            <a:solidFill>
                              <a:srgbClr val="00AF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8AA0D5" id="Group 403" o:spid="_x0000_s1026" style="position:absolute;margin-left:373.45pt;margin-top:36.85pt;width:2.75pt;height:.5pt;z-index:-251645952;mso-position-horizontal-relative:page" coordorigin="7469,737"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XKkwMAAHUIAAAOAAAAZHJzL2Uyb0RvYy54bWykVtuO2zYQfS+QfyD42MKri2l7Law2WPiy&#10;KJC2AeJ+AE1RF0QiVZK2vAny7x2Sotd2krZI/SAPPaOZM2eGM354e+padORKN1LkOLmLMeKCyaIR&#10;VY7/3G0n9xhpQ0VBWyl4jl+4xm8f3/z0MPQZT2Ut24IrBE6EzoY+x7UxfRZFmtW8o/pO9lyAspSq&#10;owaOqooKRQfw3rVRGsfzaJCq6JVkXGv4de2V+NH5L0vOzB9lqblBbY4Bm3FP5Z57+4weH2hWKdrX&#10;DRth0B9A0dFGQNCzqzU1FB1U85WrrmFKalmaOya7SJZlw7jLAbJJ4ptsnpU89C6XKhuq/kwTUHvD&#10;0w+7Zb8f3yvUFDkmUClBO6iRC4tIPLXsDH2VgdGz6j/075VPEcR3kn3UoI5u9fZceWO0H36TBTik&#10;ByMdO6dSddYF5I1Orggv5yLwk0EMfpySZTrDiIFmPp2NFWI1lNG+siDzJUagW0wXvnis3oxvzsbX&#10;EvdSRDMfzkEcIdl8oNH0K5f6/3H5oaY9dyXSlqbAJWD0XG4V57Z7gU7i6XR2gUt9SeSFxqLUwPe/&#10;Uvg1H4HH77BBM3bQ5plLVwh6fKeNvwMFSK68xQh9B/el7Fq4Dr9MUIxsJPcY78zZLAlmP0doF6MB&#10;QeTRZfCUBpPRU4rO5avOfqbBCPwsSIpq5AsJl+psQ4KNdzRLyTchQSN45BYS+SakeTD5J0iLYHQD&#10;CXqrCnzROlDITmLkECRE7QSMXdv3Utve3QFT0Lk7d6/ABVhZwr9jDDlYY9flwdh/j0EUDLfbsaYw&#10;grG29/z31FhsNoYV0ZBj2xQ1zGmPq5NHvpNOb17vo6seRHrVtuLSyvoAZMHMK8HexoCB4AUX18K9&#10;aDYht03butZohUWzSKdLR5CWbVNYpcWiVbVftQodqZ3Z8dPWDwFwdmUGs1EUzlnNabEZZUOb1stg&#10;3zp+4UKMLNir4Yby52W83Nxv7smEpPPNhMTr9eRpuyKT+TZZzNbT9Wq1Tr5YaAnJ6qYouLDowoJI&#10;yH8bGuOq8qP9vCKusrhKdus+tnjXyUbXMJwacgnfnuswMvyI28viBcaHkn7jwYYGoZbqE0YDbLsc&#10;678OVHGM2l8FjMBlQohdj+5AZosUDupSs7/UUMHAVY4Nhi634sr4lXroVVPVEClxZRXyCSZ/2dgJ&#10;A1NYZx7VeIAp7CS321wu4x62y/Py7Kxe/y08/g0AAP//AwBQSwMEFAAGAAgAAAAhADhGEOfgAAAA&#10;CQEAAA8AAABkcnMvZG93bnJldi54bWxMj01Lw0AQhu+C/2EZwZvdpF/RmE0pRT2Vgq0g3qbZaRKa&#10;3Q3ZbZL+e6cnvc3wPrzzTLYaTSN66nztrIJ4EoEgWzhd21LB1+H96RmED2g1Ns6Sgit5WOX3dxmm&#10;2g32k/p9KAWXWJ+igiqENpXSFxUZ9BPXkuXs5DqDgdeulLrDgctNI6dRtJQGa8sXKmxpU1Fx3l+M&#10;go8Bh/Usfuu359Pm+nNY7L63MSn1+DCuX0EEGsMfDDd9VoecnY7uYrUXjYJkvnxhlIdZAoKBZDGd&#10;gzjekgRknsn/H+S/AAAA//8DAFBLAQItABQABgAIAAAAIQC2gziS/gAAAOEBAAATAAAAAAAAAAAA&#10;AAAAAAAAAABbQ29udGVudF9UeXBlc10ueG1sUEsBAi0AFAAGAAgAAAAhADj9If/WAAAAlAEAAAsA&#10;AAAAAAAAAAAAAAAALwEAAF9yZWxzLy5yZWxzUEsBAi0AFAAGAAgAAAAhALb35cqTAwAAdQgAAA4A&#10;AAAAAAAAAAAAAAAALgIAAGRycy9lMm9Eb2MueG1sUEsBAi0AFAAGAAgAAAAhADhGEOfgAAAACQEA&#10;AA8AAAAAAAAAAAAAAAAA7QUAAGRycy9kb3ducmV2LnhtbFBLBQYAAAAABAAEAPMAAAD6BgAAAAA=&#10;">
                <v:shape id="Freeform 404" o:spid="_x0000_s1027" style="position:absolute;left:7469;top:737;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jWEwQAAANsAAAAPAAAAZHJzL2Rvd25yZXYueG1sRI/disIw&#10;FITvBd8hHGHvNNUVf6pRRHdB9EL8eYBDc2yLzUlpoq1vbwTBy2FmvmHmy8YU4kGVyy0r6PciEMSJ&#10;1TmnCi7n/+4EhPPIGgvLpOBJDpaLdmuOsbY1H+lx8qkIEHYxKsi8L2MpXZKRQdezJXHwrrYy6IOs&#10;UqkrrAPcFHIQRSNpMOewkGFJ64yS2+luFNS7zfhSrv60PfzWzj370tJeKvXTaVYzEJ4a/w1/2lut&#10;YDiF95fwA+TiBQAA//8DAFBLAQItABQABgAIAAAAIQDb4fbL7gAAAIUBAAATAAAAAAAAAAAAAAAA&#10;AAAAAABbQ29udGVudF9UeXBlc10ueG1sUEsBAi0AFAAGAAgAAAAhAFr0LFu/AAAAFQEAAAsAAAAA&#10;AAAAAAAAAAAAHwEAAF9yZWxzLy5yZWxzUEsBAi0AFAAGAAgAAAAhADQyNYTBAAAA2wAAAA8AAAAA&#10;AAAAAAAAAAAABwIAAGRycy9kb3ducmV2LnhtbFBLBQYAAAAAAwADALcAAAD1AgAAAAA=&#10;" path="m,5r55,e" filled="f" strokecolor="#00af50" strokeweight=".57pt">
                  <v:path arrowok="t" o:connecttype="custom" o:connectlocs="0,742;55,742" o:connectangles="0,0"/>
                </v:shape>
                <w10:wrap anchorx="page"/>
              </v:group>
            </w:pict>
          </mc:Fallback>
        </mc:AlternateContent>
      </w:r>
      <w:r w:rsidR="00117F34">
        <w:t>The</w:t>
      </w:r>
      <w:r w:rsidR="00117F34">
        <w:rPr>
          <w:spacing w:val="-2"/>
        </w:rPr>
        <w:t xml:space="preserve"> </w:t>
      </w:r>
      <w:r w:rsidR="00117F34">
        <w:rPr>
          <w:spacing w:val="-1"/>
        </w:rPr>
        <w:t>recommended</w:t>
      </w:r>
      <w:r w:rsidR="00117F34">
        <w:t xml:space="preserve"> </w:t>
      </w:r>
      <w:r w:rsidR="00117F34">
        <w:rPr>
          <w:spacing w:val="-1"/>
        </w:rPr>
        <w:t>starting</w:t>
      </w:r>
      <w:r w:rsidR="00117F34">
        <w:rPr>
          <w:spacing w:val="-3"/>
        </w:rPr>
        <w:t xml:space="preserve"> </w:t>
      </w:r>
      <w:r w:rsidR="00117F34">
        <w:t xml:space="preserve">dose </w:t>
      </w:r>
      <w:r w:rsidR="00117F34">
        <w:rPr>
          <w:spacing w:val="-2"/>
        </w:rPr>
        <w:t>of</w:t>
      </w:r>
      <w:r w:rsidR="00117F34">
        <w:rPr>
          <w:spacing w:val="1"/>
        </w:rPr>
        <w:t xml:space="preserve"> </w:t>
      </w:r>
      <w:r w:rsidR="00117F34">
        <w:rPr>
          <w:spacing w:val="-1"/>
        </w:rPr>
        <w:t>lenalidomide</w:t>
      </w:r>
      <w:r w:rsidR="00117F34">
        <w:rPr>
          <w:spacing w:val="-2"/>
        </w:rPr>
        <w:t xml:space="preserve"> </w:t>
      </w:r>
      <w:r w:rsidR="00117F34">
        <w:t xml:space="preserve">is </w:t>
      </w:r>
      <w:r w:rsidR="00117F34">
        <w:rPr>
          <w:spacing w:val="-2"/>
        </w:rPr>
        <w:t>20</w:t>
      </w:r>
      <w:r w:rsidR="00117F34">
        <w:rPr>
          <w:spacing w:val="-3"/>
        </w:rPr>
        <w:t xml:space="preserve"> </w:t>
      </w:r>
      <w:r w:rsidR="00117F34">
        <w:rPr>
          <w:spacing w:val="-2"/>
        </w:rPr>
        <w:t>mg,</w:t>
      </w:r>
      <w:r w:rsidR="00117F34">
        <w:t xml:space="preserve"> orally</w:t>
      </w:r>
      <w:r w:rsidR="00117F34">
        <w:rPr>
          <w:spacing w:val="-3"/>
        </w:rPr>
        <w:t xml:space="preserve"> </w:t>
      </w:r>
      <w:r w:rsidR="00117F34">
        <w:t xml:space="preserve">once </w:t>
      </w:r>
      <w:r w:rsidR="00117F34">
        <w:rPr>
          <w:spacing w:val="-1"/>
        </w:rPr>
        <w:t>daily</w:t>
      </w:r>
      <w:r w:rsidR="00117F34">
        <w:rPr>
          <w:spacing w:val="-2"/>
        </w:rPr>
        <w:t xml:space="preserve"> </w:t>
      </w:r>
      <w:r w:rsidR="00117F34">
        <w:t xml:space="preserve">on </w:t>
      </w:r>
      <w:r w:rsidR="00117F34">
        <w:rPr>
          <w:spacing w:val="-2"/>
        </w:rPr>
        <w:t>days</w:t>
      </w:r>
      <w:r w:rsidR="00117F34">
        <w:t xml:space="preserve"> 1 to 21 </w:t>
      </w:r>
      <w:r w:rsidR="00117F34">
        <w:rPr>
          <w:spacing w:val="-2"/>
        </w:rPr>
        <w:t>of</w:t>
      </w:r>
      <w:r w:rsidR="00117F34">
        <w:rPr>
          <w:spacing w:val="1"/>
        </w:rPr>
        <w:t xml:space="preserve"> </w:t>
      </w:r>
      <w:r w:rsidR="00117F34">
        <w:rPr>
          <w:spacing w:val="-1"/>
        </w:rPr>
        <w:t>repeated</w:t>
      </w:r>
      <w:r w:rsidR="00117F34">
        <w:rPr>
          <w:spacing w:val="-2"/>
        </w:rPr>
        <w:t xml:space="preserve"> </w:t>
      </w:r>
      <w:r w:rsidR="00117F34">
        <w:t>28-</w:t>
      </w:r>
      <w:r w:rsidR="00117F34">
        <w:rPr>
          <w:spacing w:val="75"/>
        </w:rPr>
        <w:t xml:space="preserve"> </w:t>
      </w:r>
      <w:r w:rsidR="00117F34">
        <w:t>day</w:t>
      </w:r>
      <w:r w:rsidR="00117F34">
        <w:rPr>
          <w:spacing w:val="-3"/>
        </w:rPr>
        <w:t xml:space="preserve"> </w:t>
      </w:r>
      <w:r w:rsidR="00117F34">
        <w:rPr>
          <w:spacing w:val="-1"/>
        </w:rPr>
        <w:t>cycles</w:t>
      </w:r>
      <w:r w:rsidR="00117F34">
        <w:t xml:space="preserve"> </w:t>
      </w:r>
      <w:r w:rsidR="00117F34">
        <w:rPr>
          <w:spacing w:val="-1"/>
        </w:rPr>
        <w:t>for</w:t>
      </w:r>
      <w:r w:rsidR="00117F34">
        <w:rPr>
          <w:spacing w:val="1"/>
        </w:rPr>
        <w:t xml:space="preserve"> </w:t>
      </w:r>
      <w:r w:rsidR="00117F34">
        <w:t>up</w:t>
      </w:r>
      <w:r w:rsidR="00117F34">
        <w:rPr>
          <w:spacing w:val="-2"/>
        </w:rPr>
        <w:t xml:space="preserve"> </w:t>
      </w:r>
      <w:r w:rsidR="00117F34">
        <w:t>to 12</w:t>
      </w:r>
      <w:r w:rsidR="00117F34">
        <w:rPr>
          <w:spacing w:val="-2"/>
        </w:rPr>
        <w:t xml:space="preserve"> </w:t>
      </w:r>
      <w:r w:rsidR="00117F34">
        <w:rPr>
          <w:spacing w:val="-1"/>
        </w:rPr>
        <w:t>cycles</w:t>
      </w:r>
      <w:r w:rsidR="00117F34">
        <w:t xml:space="preserve"> of</w:t>
      </w:r>
      <w:r w:rsidR="00117F34">
        <w:rPr>
          <w:spacing w:val="-2"/>
        </w:rPr>
        <w:t xml:space="preserve"> </w:t>
      </w:r>
      <w:r w:rsidR="00117F34">
        <w:rPr>
          <w:spacing w:val="-1"/>
        </w:rPr>
        <w:t>treatment.</w:t>
      </w:r>
      <w:r w:rsidR="00117F34">
        <w:t xml:space="preserve"> </w:t>
      </w:r>
      <w:r w:rsidR="00117F34">
        <w:rPr>
          <w:spacing w:val="-1"/>
        </w:rPr>
        <w:t>The</w:t>
      </w:r>
      <w:r w:rsidR="00117F34">
        <w:t xml:space="preserve"> </w:t>
      </w:r>
      <w:r w:rsidR="00117F34">
        <w:rPr>
          <w:spacing w:val="-1"/>
        </w:rPr>
        <w:t>recommended</w:t>
      </w:r>
      <w:r w:rsidR="00117F34">
        <w:t xml:space="preserve"> </w:t>
      </w:r>
      <w:r w:rsidR="00117F34">
        <w:rPr>
          <w:spacing w:val="-1"/>
        </w:rPr>
        <w:t>starting</w:t>
      </w:r>
      <w:r w:rsidR="00117F34">
        <w:rPr>
          <w:spacing w:val="-3"/>
        </w:rPr>
        <w:t xml:space="preserve"> </w:t>
      </w:r>
      <w:r w:rsidR="00117F34">
        <w:t xml:space="preserve">dose </w:t>
      </w:r>
      <w:r w:rsidR="00117F34">
        <w:rPr>
          <w:spacing w:val="-2"/>
        </w:rPr>
        <w:t>of</w:t>
      </w:r>
      <w:r w:rsidR="00117F34">
        <w:rPr>
          <w:spacing w:val="1"/>
        </w:rPr>
        <w:t xml:space="preserve"> </w:t>
      </w:r>
      <w:r w:rsidR="00117F34">
        <w:rPr>
          <w:spacing w:val="-1"/>
        </w:rPr>
        <w:t>rituximab</w:t>
      </w:r>
      <w:r w:rsidR="00117F34">
        <w:t xml:space="preserve"> is</w:t>
      </w:r>
      <w:r w:rsidR="00117F34">
        <w:rPr>
          <w:spacing w:val="1"/>
        </w:rPr>
        <w:t xml:space="preserve"> </w:t>
      </w:r>
      <w:r w:rsidR="00117F34">
        <w:rPr>
          <w:spacing w:val="-1"/>
        </w:rPr>
        <w:t>375</w:t>
      </w:r>
      <w:r w:rsidR="00117F34">
        <w:t xml:space="preserve"> </w:t>
      </w:r>
      <w:r w:rsidR="00117F34">
        <w:rPr>
          <w:spacing w:val="-2"/>
        </w:rPr>
        <w:t>mg/m</w:t>
      </w:r>
      <w:r w:rsidR="00117F34">
        <w:rPr>
          <w:spacing w:val="-2"/>
          <w:position w:val="8"/>
          <w:sz w:val="14"/>
        </w:rPr>
        <w:t>2</w:t>
      </w:r>
      <w:r w:rsidR="00117F34">
        <w:rPr>
          <w:spacing w:val="51"/>
          <w:w w:val="99"/>
          <w:position w:val="8"/>
          <w:sz w:val="14"/>
        </w:rPr>
        <w:t xml:space="preserve"> </w:t>
      </w:r>
      <w:r w:rsidR="00117F34">
        <w:rPr>
          <w:spacing w:val="-1"/>
        </w:rPr>
        <w:t>intravenously</w:t>
      </w:r>
      <w:r w:rsidR="00117F34">
        <w:rPr>
          <w:spacing w:val="-2"/>
        </w:rPr>
        <w:t xml:space="preserve"> </w:t>
      </w:r>
      <w:r w:rsidR="00117F34">
        <w:rPr>
          <w:spacing w:val="-1"/>
        </w:rPr>
        <w:t>(IV)</w:t>
      </w:r>
      <w:r w:rsidR="00117F34">
        <w:rPr>
          <w:spacing w:val="1"/>
        </w:rPr>
        <w:t xml:space="preserve"> </w:t>
      </w:r>
      <w:r w:rsidR="00117F34">
        <w:rPr>
          <w:spacing w:val="-1"/>
        </w:rPr>
        <w:t>every</w:t>
      </w:r>
      <w:r w:rsidR="00117F34">
        <w:rPr>
          <w:spacing w:val="-2"/>
        </w:rPr>
        <w:t xml:space="preserve"> </w:t>
      </w:r>
      <w:r w:rsidR="00117F34">
        <w:t>week</w:t>
      </w:r>
      <w:r w:rsidR="00117F34">
        <w:rPr>
          <w:spacing w:val="-3"/>
        </w:rPr>
        <w:t xml:space="preserve"> </w:t>
      </w:r>
      <w:r w:rsidR="00117F34">
        <w:t xml:space="preserve">in </w:t>
      </w:r>
      <w:r w:rsidR="00117F34">
        <w:rPr>
          <w:spacing w:val="-1"/>
        </w:rPr>
        <w:t>Cycle</w:t>
      </w:r>
      <w:r w:rsidR="00117F34">
        <w:t xml:space="preserve"> 1</w:t>
      </w:r>
      <w:r w:rsidR="00117F34">
        <w:rPr>
          <w:spacing w:val="-3"/>
        </w:rPr>
        <w:t xml:space="preserve"> </w:t>
      </w:r>
      <w:r w:rsidR="00117F34">
        <w:rPr>
          <w:spacing w:val="-1"/>
        </w:rPr>
        <w:t>(days</w:t>
      </w:r>
      <w:r w:rsidR="00117F34">
        <w:t xml:space="preserve"> 1, 8, </w:t>
      </w:r>
      <w:r w:rsidR="00117F34">
        <w:rPr>
          <w:spacing w:val="-1"/>
        </w:rPr>
        <w:t>15,</w:t>
      </w:r>
      <w:r w:rsidR="00117F34">
        <w:t xml:space="preserve"> and </w:t>
      </w:r>
      <w:r w:rsidR="00117F34">
        <w:rPr>
          <w:spacing w:val="-1"/>
        </w:rPr>
        <w:t>22)</w:t>
      </w:r>
      <w:r w:rsidR="00117F34">
        <w:rPr>
          <w:spacing w:val="1"/>
        </w:rPr>
        <w:t xml:space="preserve"> </w:t>
      </w:r>
      <w:r w:rsidR="00117F34">
        <w:rPr>
          <w:spacing w:val="-1"/>
        </w:rPr>
        <w:t>and</w:t>
      </w:r>
      <w:r w:rsidR="00117F34">
        <w:rPr>
          <w:spacing w:val="-2"/>
        </w:rPr>
        <w:t xml:space="preserve"> </w:t>
      </w:r>
      <w:r w:rsidR="00117F34">
        <w:t>day</w:t>
      </w:r>
      <w:r w:rsidR="00117F34">
        <w:rPr>
          <w:spacing w:val="-3"/>
        </w:rPr>
        <w:t xml:space="preserve"> </w:t>
      </w:r>
      <w:r w:rsidR="00117F34">
        <w:t>1 of</w:t>
      </w:r>
      <w:r w:rsidR="00117F34">
        <w:rPr>
          <w:spacing w:val="-2"/>
        </w:rPr>
        <w:t xml:space="preserve"> </w:t>
      </w:r>
      <w:r w:rsidR="00117F34">
        <w:rPr>
          <w:spacing w:val="-1"/>
        </w:rPr>
        <w:t>every</w:t>
      </w:r>
      <w:r w:rsidR="00117F34">
        <w:rPr>
          <w:spacing w:val="-3"/>
        </w:rPr>
        <w:t xml:space="preserve"> </w:t>
      </w:r>
      <w:r w:rsidR="00117F34">
        <w:rPr>
          <w:spacing w:val="-1"/>
        </w:rPr>
        <w:t>28-day</w:t>
      </w:r>
      <w:r w:rsidR="00117F34">
        <w:rPr>
          <w:spacing w:val="-3"/>
        </w:rPr>
        <w:t xml:space="preserve"> </w:t>
      </w:r>
      <w:r w:rsidR="00117F34">
        <w:rPr>
          <w:spacing w:val="-1"/>
        </w:rPr>
        <w:t>cycle</w:t>
      </w:r>
      <w:r w:rsidR="00117F34">
        <w:t xml:space="preserve"> for</w:t>
      </w:r>
      <w:r w:rsidR="00117F34">
        <w:rPr>
          <w:spacing w:val="1"/>
        </w:rPr>
        <w:t xml:space="preserve"> </w:t>
      </w:r>
      <w:r w:rsidR="00117F34">
        <w:rPr>
          <w:spacing w:val="-1"/>
        </w:rPr>
        <w:t>cycles</w:t>
      </w:r>
      <w:r w:rsidR="00117F34">
        <w:rPr>
          <w:spacing w:val="1"/>
        </w:rPr>
        <w:t xml:space="preserve"> </w:t>
      </w:r>
      <w:r w:rsidR="00117F34">
        <w:t>2</w:t>
      </w:r>
      <w:r w:rsidR="00E07715">
        <w:rPr>
          <w:spacing w:val="-1"/>
        </w:rPr>
        <w:t xml:space="preserve"> </w:t>
      </w:r>
      <w:r w:rsidR="00117F34">
        <w:rPr>
          <w:spacing w:val="-1"/>
        </w:rPr>
        <w:t>through</w:t>
      </w:r>
      <w:r w:rsidR="00117F34">
        <w:t xml:space="preserve"> 5.</w:t>
      </w:r>
    </w:p>
    <w:p w:rsidR="00117F34" w:rsidRDefault="00117F34" w:rsidP="00117F34">
      <w:pPr>
        <w:spacing w:before="2"/>
        <w:rPr>
          <w:rFonts w:eastAsia="Times New Roman"/>
        </w:rPr>
      </w:pPr>
    </w:p>
    <w:p w:rsidR="00117F34" w:rsidRDefault="00117F34" w:rsidP="00117F34">
      <w:pPr>
        <w:widowControl w:val="0"/>
        <w:numPr>
          <w:ilvl w:val="2"/>
          <w:numId w:val="102"/>
        </w:numPr>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9972" w:type="dxa"/>
        <w:tblInd w:w="6" w:type="dxa"/>
        <w:tblLayout w:type="fixed"/>
        <w:tblCellMar>
          <w:left w:w="0" w:type="dxa"/>
          <w:right w:w="0" w:type="dxa"/>
        </w:tblCellMar>
        <w:tblLook w:val="01E0" w:firstRow="1" w:lastRow="1" w:firstColumn="1" w:lastColumn="1" w:noHBand="0" w:noVBand="0"/>
      </w:tblPr>
      <w:tblGrid>
        <w:gridCol w:w="5045"/>
        <w:gridCol w:w="4927"/>
      </w:tblGrid>
      <w:tr w:rsidR="00117F34" w:rsidTr="004273C8">
        <w:trPr>
          <w:trHeight w:hRule="exact" w:val="262"/>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rPr>
              <w:t xml:space="preserve">20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2"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2" w:lineRule="exact"/>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2"/>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117F34">
      <w:pPr>
        <w:spacing w:before="7"/>
        <w:rPr>
          <w:rFonts w:eastAsia="Times New Roman"/>
          <w:i/>
          <w:sz w:val="15"/>
          <w:szCs w:val="15"/>
        </w:rPr>
      </w:pPr>
    </w:p>
    <w:p w:rsidR="00117F34" w:rsidRDefault="00117F34" w:rsidP="00117F34">
      <w:pPr>
        <w:pStyle w:val="BodyText"/>
        <w:spacing w:before="72"/>
        <w:ind w:right="602"/>
      </w:pPr>
      <w:r>
        <w:rPr>
          <w:spacing w:val="-1"/>
        </w:rPr>
        <w:t>For</w:t>
      </w:r>
      <w:r>
        <w:rPr>
          <w:spacing w:val="1"/>
        </w:rPr>
        <w:t xml:space="preserve"> </w:t>
      </w:r>
      <w:r>
        <w:rPr>
          <w:spacing w:val="-1"/>
        </w:rPr>
        <w:t>dose</w:t>
      </w:r>
      <w:r>
        <w:t xml:space="preserve"> </w:t>
      </w:r>
      <w:r>
        <w:rPr>
          <w:spacing w:val="-1"/>
        </w:rPr>
        <w:t>adjustments</w:t>
      </w:r>
      <w:r>
        <w:rPr>
          <w:spacing w:val="1"/>
        </w:rPr>
        <w:t xml:space="preserve"> </w:t>
      </w:r>
      <w:r>
        <w:rPr>
          <w:spacing w:val="-1"/>
        </w:rPr>
        <w:t>due</w:t>
      </w:r>
      <w:r>
        <w:t xml:space="preserve"> </w:t>
      </w:r>
      <w:r>
        <w:rPr>
          <w:spacing w:val="-1"/>
        </w:rPr>
        <w:t>to</w:t>
      </w:r>
      <w:r>
        <w:t xml:space="preserve"> </w:t>
      </w:r>
      <w:r>
        <w:rPr>
          <w:spacing w:val="-1"/>
        </w:rPr>
        <w:t>toxicity</w:t>
      </w:r>
      <w:r>
        <w:rPr>
          <w:spacing w:val="-2"/>
        </w:rPr>
        <w:t xml:space="preserve"> </w:t>
      </w:r>
      <w:r>
        <w:t>with</w:t>
      </w:r>
      <w:r>
        <w:rPr>
          <w:spacing w:val="-2"/>
        </w:rPr>
        <w:t xml:space="preserve"> </w:t>
      </w:r>
      <w:r>
        <w:rPr>
          <w:spacing w:val="-1"/>
        </w:rPr>
        <w:t>rituximab,</w:t>
      </w:r>
      <w:r>
        <w:t xml:space="preserve"> </w:t>
      </w:r>
      <w:r>
        <w:rPr>
          <w:spacing w:val="-1"/>
        </w:rPr>
        <w:t>refer</w:t>
      </w:r>
      <w:r>
        <w:rPr>
          <w:spacing w:val="1"/>
        </w:rPr>
        <w:t xml:space="preserve"> </w:t>
      </w:r>
      <w:r>
        <w:t>to</w:t>
      </w:r>
      <w:r>
        <w:rPr>
          <w:spacing w:val="-2"/>
        </w:rPr>
        <w:t xml:space="preserve"> </w:t>
      </w:r>
      <w:r>
        <w:t>the</w:t>
      </w:r>
      <w:r>
        <w:rPr>
          <w:spacing w:val="-2"/>
        </w:rPr>
        <w:t xml:space="preserve"> </w:t>
      </w:r>
      <w:r>
        <w:rPr>
          <w:spacing w:val="-1"/>
        </w:rPr>
        <w:t>corresponding</w:t>
      </w:r>
      <w:r>
        <w:rPr>
          <w:spacing w:val="-2"/>
        </w:rPr>
        <w:t xml:space="preserve"> </w:t>
      </w:r>
      <w:r>
        <w:rPr>
          <w:spacing w:val="-1"/>
        </w:rPr>
        <w:t>summary</w:t>
      </w:r>
      <w:r>
        <w:rPr>
          <w:spacing w:val="-3"/>
        </w:rPr>
        <w:t xml:space="preserve"> </w:t>
      </w:r>
      <w:r>
        <w:t>of</w:t>
      </w:r>
      <w:r>
        <w:rPr>
          <w:spacing w:val="1"/>
        </w:rPr>
        <w:t xml:space="preserve"> </w:t>
      </w:r>
      <w:r>
        <w:rPr>
          <w:spacing w:val="-1"/>
        </w:rPr>
        <w:t>product</w:t>
      </w:r>
      <w:r>
        <w:rPr>
          <w:spacing w:val="63"/>
        </w:rPr>
        <w:t xml:space="preserve"> </w:t>
      </w:r>
      <w:r>
        <w:rPr>
          <w:spacing w:val="-1"/>
        </w:rPr>
        <w:t>characteristics.</w:t>
      </w:r>
    </w:p>
    <w:p w:rsidR="00117F34" w:rsidRDefault="00117F34" w:rsidP="00117F34">
      <w:pPr>
        <w:spacing w:before="1"/>
        <w:rPr>
          <w:rFonts w:eastAsia="Times New Roman"/>
        </w:rPr>
      </w:pPr>
    </w:p>
    <w:p w:rsidR="00117F34" w:rsidRPr="004273C8" w:rsidRDefault="00117F34" w:rsidP="00117F34">
      <w:pPr>
        <w:widowControl w:val="0"/>
        <w:numPr>
          <w:ilvl w:val="2"/>
          <w:numId w:val="102"/>
        </w:numPr>
        <w:tabs>
          <w:tab w:val="left" w:pos="666"/>
        </w:tabs>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963"/>
      </w:tblGrid>
      <w:tr w:rsidR="00490884" w:rsidRPr="00F30CC0" w:rsidTr="004273C8">
        <w:tc>
          <w:tcPr>
            <w:tcW w:w="4854" w:type="dxa"/>
            <w:tcBorders>
              <w:bottom w:val="single" w:sz="4" w:space="0" w:color="auto"/>
            </w:tcBorders>
          </w:tcPr>
          <w:p w:rsidR="00490884" w:rsidRPr="00F30CC0" w:rsidRDefault="00490884" w:rsidP="00B85F0C">
            <w:r w:rsidRPr="00F30CC0">
              <w:t>When platelets</w:t>
            </w:r>
          </w:p>
        </w:tc>
        <w:tc>
          <w:tcPr>
            <w:tcW w:w="4963" w:type="dxa"/>
            <w:tcBorders>
              <w:bottom w:val="single" w:sz="4" w:space="0" w:color="auto"/>
            </w:tcBorders>
          </w:tcPr>
          <w:p w:rsidR="00490884" w:rsidRPr="00F30CC0" w:rsidRDefault="00490884" w:rsidP="00B85F0C">
            <w:r w:rsidRPr="00F30CC0">
              <w:t>Recommended course</w:t>
            </w:r>
          </w:p>
        </w:tc>
      </w:tr>
      <w:tr w:rsidR="00490884" w:rsidRPr="00F30CC0" w:rsidTr="004273C8">
        <w:tc>
          <w:tcPr>
            <w:tcW w:w="4854" w:type="dxa"/>
            <w:tcBorders>
              <w:top w:val="single" w:sz="4" w:space="0" w:color="auto"/>
              <w:bottom w:val="single" w:sz="4" w:space="0" w:color="auto"/>
            </w:tcBorders>
          </w:tcPr>
          <w:p w:rsidR="00490884" w:rsidRPr="00F30CC0" w:rsidRDefault="00490884" w:rsidP="00B85F0C">
            <w:r>
              <w:t>Falls to &lt; 50</w:t>
            </w:r>
            <w:r w:rsidRPr="00F30CC0">
              <w:t xml:space="preserve"> x 10</w:t>
            </w:r>
            <w:r w:rsidRPr="00F30CC0">
              <w:rPr>
                <w:vertAlign w:val="superscript"/>
              </w:rPr>
              <w:t>9</w:t>
            </w:r>
            <w:r w:rsidRPr="00F30CC0">
              <w:t>/L</w:t>
            </w:r>
          </w:p>
          <w:p w:rsidR="00490884" w:rsidRDefault="00490884" w:rsidP="00B85F0C"/>
          <w:p w:rsidR="00490884" w:rsidRPr="00F30CC0" w:rsidRDefault="00490884" w:rsidP="00B85F0C">
            <w:r w:rsidRPr="00771287">
              <w:t xml:space="preserve">Returns to ≥ </w:t>
            </w:r>
            <w:r>
              <w:t>50</w:t>
            </w:r>
            <w:r w:rsidRPr="00771287">
              <w:t xml:space="preserve"> x 1</w:t>
            </w:r>
            <w:r>
              <w:t>0</w:t>
            </w:r>
            <w:r w:rsidRPr="00771287">
              <w:rPr>
                <w:vertAlign w:val="superscript"/>
              </w:rPr>
              <w:t>9</w:t>
            </w:r>
            <w:r>
              <w:t xml:space="preserve">/L </w:t>
            </w:r>
          </w:p>
        </w:tc>
        <w:tc>
          <w:tcPr>
            <w:tcW w:w="4963" w:type="dxa"/>
            <w:tcBorders>
              <w:top w:val="single" w:sz="4" w:space="0" w:color="auto"/>
              <w:bottom w:val="single" w:sz="4" w:space="0" w:color="auto"/>
            </w:tcBorders>
          </w:tcPr>
          <w:p w:rsidR="00490884" w:rsidRDefault="00490884" w:rsidP="00B85F0C">
            <w:r>
              <w:t>Interrupt lenalidomide treatment and conduct CBC at least every 7 days</w:t>
            </w:r>
          </w:p>
          <w:p w:rsidR="00490884" w:rsidRPr="00F30CC0" w:rsidRDefault="00490884" w:rsidP="00B85F0C">
            <w:r>
              <w:t>Resume at next lower dose (dose level -1)</w:t>
            </w:r>
          </w:p>
        </w:tc>
      </w:tr>
      <w:tr w:rsidR="00490884" w:rsidRPr="00F30CC0" w:rsidTr="004273C8">
        <w:tc>
          <w:tcPr>
            <w:tcW w:w="4854" w:type="dxa"/>
            <w:tcBorders>
              <w:top w:val="single" w:sz="4" w:space="0" w:color="auto"/>
            </w:tcBorders>
          </w:tcPr>
          <w:p w:rsidR="00490884" w:rsidRDefault="00490884" w:rsidP="00B85F0C">
            <w:r>
              <w:t>For each subsequent drop below 5</w:t>
            </w:r>
            <w:r w:rsidRPr="00F30CC0">
              <w:t>0 x 10</w:t>
            </w:r>
            <w:r w:rsidRPr="00F30CC0">
              <w:rPr>
                <w:vertAlign w:val="superscript"/>
              </w:rPr>
              <w:t>9</w:t>
            </w:r>
            <w:r w:rsidRPr="00F30CC0">
              <w:t xml:space="preserve">/L </w:t>
            </w:r>
          </w:p>
          <w:p w:rsidR="00490884" w:rsidRDefault="00490884" w:rsidP="00B85F0C"/>
          <w:p w:rsidR="00490884" w:rsidRPr="00F30CC0" w:rsidRDefault="00490884" w:rsidP="00B85F0C">
            <w:r w:rsidRPr="00F30CC0">
              <w:t>Return</w:t>
            </w:r>
            <w:r>
              <w:t>s to ≥ 5</w:t>
            </w:r>
            <w:r w:rsidRPr="00F30CC0">
              <w:t>0 x 10</w:t>
            </w:r>
            <w:r w:rsidRPr="00F30CC0">
              <w:rPr>
                <w:vertAlign w:val="superscript"/>
              </w:rPr>
              <w:t>9</w:t>
            </w:r>
            <w:r w:rsidRPr="00F30CC0">
              <w:t>/L</w:t>
            </w:r>
          </w:p>
        </w:tc>
        <w:tc>
          <w:tcPr>
            <w:tcW w:w="4963" w:type="dxa"/>
            <w:tcBorders>
              <w:top w:val="single" w:sz="4" w:space="0" w:color="auto"/>
            </w:tcBorders>
          </w:tcPr>
          <w:p w:rsidR="00490884" w:rsidRDefault="00490884" w:rsidP="00B85F0C">
            <w:r w:rsidRPr="00F30CC0">
              <w:t xml:space="preserve">Interrupt lenalidomide treatment </w:t>
            </w:r>
            <w:r>
              <w:t>and conduct CBC at least every 7 days</w:t>
            </w:r>
          </w:p>
          <w:p w:rsidR="00490884" w:rsidRPr="00F30CC0" w:rsidRDefault="00490884" w:rsidP="00B85F0C">
            <w:r w:rsidRPr="00F30CC0">
              <w:t xml:space="preserve">Resume lenalidomide </w:t>
            </w:r>
            <w:r>
              <w:t xml:space="preserve">at next lower </w:t>
            </w:r>
            <w:r w:rsidR="005B0414">
              <w:t xml:space="preserve">dose </w:t>
            </w:r>
            <w:r>
              <w:t>level (dose level -2, -3). Do not dose below dose level -3</w:t>
            </w:r>
          </w:p>
        </w:tc>
      </w:tr>
    </w:tbl>
    <w:p w:rsidR="00080085" w:rsidRPr="00B85F0C" w:rsidRDefault="00080085" w:rsidP="004560FA">
      <w:pPr>
        <w:rPr>
          <w:rFonts w:eastAsia="Times New Roman"/>
        </w:rPr>
      </w:pPr>
    </w:p>
    <w:p w:rsidR="00117F34" w:rsidRPr="004273C8" w:rsidRDefault="00117F34" w:rsidP="004273C8">
      <w:pPr>
        <w:pStyle w:val="ListParagraph"/>
        <w:numPr>
          <w:ilvl w:val="0"/>
          <w:numId w:val="57"/>
        </w:numPr>
        <w:tabs>
          <w:tab w:val="left" w:pos="709"/>
        </w:tabs>
        <w:ind w:left="0" w:firstLine="0"/>
        <w:rPr>
          <w:rFonts w:eastAsia="Times New Roman"/>
        </w:rPr>
      </w:pPr>
      <w:r w:rsidRPr="00B85F0C">
        <w:rPr>
          <w:i/>
          <w:spacing w:val="-1"/>
        </w:rPr>
        <w:t>Absolute</w:t>
      </w:r>
      <w:r w:rsidRPr="00B85F0C">
        <w:rPr>
          <w:i/>
        </w:rPr>
        <w:t xml:space="preserve"> </w:t>
      </w:r>
      <w:r w:rsidRPr="00514498">
        <w:rPr>
          <w:i/>
          <w:spacing w:val="-1"/>
        </w:rPr>
        <w:t>neutrophil count</w:t>
      </w:r>
      <w:r w:rsidRPr="00514498">
        <w:rPr>
          <w:i/>
          <w:spacing w:val="1"/>
        </w:rPr>
        <w:t xml:space="preserve"> </w:t>
      </w:r>
      <w:r w:rsidRPr="000E410D">
        <w:rPr>
          <w:i/>
          <w:spacing w:val="-1"/>
        </w:rPr>
        <w:t>(ANC)</w:t>
      </w:r>
      <w:r w:rsidRPr="000E410D">
        <w:rPr>
          <w:i/>
          <w:spacing w:val="-2"/>
        </w:rPr>
        <w:t xml:space="preserve"> </w:t>
      </w:r>
      <w:r w:rsidR="00490884" w:rsidRPr="001423DC">
        <w:rPr>
          <w:i/>
        </w:rPr>
        <w:t>–</w:t>
      </w:r>
      <w:r w:rsidRPr="001423DC">
        <w:rPr>
          <w:i/>
        </w:rPr>
        <w:t xml:space="preserve"> </w:t>
      </w:r>
      <w:r w:rsidRPr="001423DC">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490884" w:rsidTr="00B85F0C">
        <w:tc>
          <w:tcPr>
            <w:tcW w:w="5069" w:type="dxa"/>
            <w:tcBorders>
              <w:bottom w:val="single" w:sz="4" w:space="0" w:color="auto"/>
            </w:tcBorders>
          </w:tcPr>
          <w:p w:rsidR="00490884" w:rsidRDefault="00490884" w:rsidP="00B85F0C">
            <w:pPr>
              <w:ind w:right="1020"/>
            </w:pPr>
            <w:r>
              <w:rPr>
                <w:rFonts w:eastAsia="Times New Roman"/>
              </w:rPr>
              <w:t>When ANC</w:t>
            </w:r>
          </w:p>
        </w:tc>
        <w:tc>
          <w:tcPr>
            <w:tcW w:w="5069" w:type="dxa"/>
            <w:tcBorders>
              <w:bottom w:val="single" w:sz="4" w:space="0" w:color="auto"/>
            </w:tcBorders>
          </w:tcPr>
          <w:p w:rsidR="00490884" w:rsidRDefault="00490884" w:rsidP="005B0414">
            <w:pPr>
              <w:ind w:right="1020"/>
            </w:pPr>
            <w:r>
              <w:rPr>
                <w:rFonts w:eastAsia="Times New Roman"/>
              </w:rPr>
              <w:t>Recommended course</w:t>
            </w:r>
            <w:r w:rsidR="005B0414">
              <w:t>ª</w:t>
            </w:r>
          </w:p>
        </w:tc>
      </w:tr>
      <w:tr w:rsidR="00490884" w:rsidTr="00B85F0C">
        <w:tc>
          <w:tcPr>
            <w:tcW w:w="5069" w:type="dxa"/>
            <w:tcBorders>
              <w:top w:val="single" w:sz="4" w:space="0" w:color="auto"/>
              <w:bottom w:val="single" w:sz="4" w:space="0" w:color="auto"/>
            </w:tcBorders>
          </w:tcPr>
          <w:p w:rsidR="00490884" w:rsidRPr="00052277" w:rsidRDefault="00490884" w:rsidP="00B85F0C">
            <w:pPr>
              <w:rPr>
                <w:rFonts w:eastAsia="Times New Roman"/>
              </w:rPr>
            </w:pPr>
            <w:r>
              <w:t>F</w:t>
            </w:r>
            <w:r w:rsidRPr="00052277">
              <w:rPr>
                <w:rFonts w:eastAsia="Times New Roman"/>
              </w:rPr>
              <w:t>all</w:t>
            </w:r>
            <w:r>
              <w:rPr>
                <w:rFonts w:eastAsia="Times New Roman"/>
              </w:rPr>
              <w:t>s</w:t>
            </w:r>
            <w:r>
              <w:t xml:space="preserve"> &lt; 1.0</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for at least 7 days or</w:t>
            </w:r>
          </w:p>
          <w:p w:rsidR="00490884" w:rsidRDefault="00490884" w:rsidP="00B85F0C">
            <w:r>
              <w:t>Falls</w:t>
            </w:r>
            <w:r w:rsidRPr="00052277">
              <w:t xml:space="preserve"> to </w:t>
            </w:r>
            <w:r>
              <w:t>&lt;</w:t>
            </w:r>
            <w:r w:rsidRPr="00052277">
              <w:t xml:space="preserve"> </w:t>
            </w:r>
            <w:r>
              <w:t>1.0</w:t>
            </w:r>
            <w:r w:rsidRPr="00052277">
              <w:t xml:space="preserve"> x 10</w:t>
            </w:r>
            <w:r w:rsidRPr="00052277">
              <w:rPr>
                <w:vertAlign w:val="superscript"/>
              </w:rPr>
              <w:t>9</w:t>
            </w:r>
            <w:r w:rsidRPr="00052277">
              <w:t xml:space="preserve">/L </w:t>
            </w:r>
            <w:r>
              <w:t xml:space="preserve">with associated fever (body temperature </w:t>
            </w:r>
            <w:r w:rsidRPr="00B84E25">
              <w:t>≥ 38.5°C</w:t>
            </w:r>
            <w:r>
              <w:t>) or</w:t>
            </w:r>
          </w:p>
          <w:p w:rsidR="00490884" w:rsidRDefault="00490884" w:rsidP="00B85F0C">
            <w:pPr>
              <w:rPr>
                <w:sz w:val="20"/>
                <w:szCs w:val="20"/>
              </w:rPr>
            </w:pPr>
            <w:r>
              <w:t xml:space="preserve">Falls to &lt;0.5 </w:t>
            </w:r>
            <w:r w:rsidRPr="00B84E25">
              <w:t>x 10</w:t>
            </w:r>
            <w:r w:rsidRPr="00B84E25">
              <w:rPr>
                <w:vertAlign w:val="superscript"/>
              </w:rPr>
              <w:t>9</w:t>
            </w:r>
            <w:r w:rsidRPr="00B84E25">
              <w:t>/L</w:t>
            </w:r>
          </w:p>
        </w:tc>
        <w:tc>
          <w:tcPr>
            <w:tcW w:w="5069" w:type="dxa"/>
            <w:tcBorders>
              <w:top w:val="single" w:sz="4" w:space="0" w:color="auto"/>
              <w:bottom w:val="single" w:sz="4" w:space="0" w:color="auto"/>
            </w:tcBorders>
          </w:tcPr>
          <w:p w:rsidR="00490884" w:rsidRDefault="00490884" w:rsidP="00B85F0C">
            <w:pPr>
              <w:ind w:right="424"/>
            </w:pPr>
            <w:r>
              <w:t>Interrupt lenalidomide treatment and conduct the CBC at least every 7 days</w:t>
            </w:r>
          </w:p>
        </w:tc>
      </w:tr>
      <w:tr w:rsidR="00490884" w:rsidTr="00B85F0C">
        <w:tc>
          <w:tcPr>
            <w:tcW w:w="5069" w:type="dxa"/>
            <w:tcBorders>
              <w:top w:val="single" w:sz="4" w:space="0" w:color="auto"/>
              <w:bottom w:val="single" w:sz="4" w:space="0" w:color="auto"/>
            </w:tcBorders>
          </w:tcPr>
          <w:p w:rsidR="00490884" w:rsidRPr="000971AE" w:rsidRDefault="00490884" w:rsidP="00B85F0C">
            <w:pPr>
              <w:rPr>
                <w:sz w:val="20"/>
                <w:szCs w:val="20"/>
              </w:rPr>
            </w:pPr>
            <w:r w:rsidRPr="000971AE">
              <w:rPr>
                <w:rFonts w:eastAsia="Times New Roman"/>
                <w:sz w:val="20"/>
                <w:szCs w:val="20"/>
              </w:rPr>
              <w:t xml:space="preserve">Returns to ≥ </w:t>
            </w:r>
            <w:r>
              <w:t>1.0</w:t>
            </w:r>
            <w:r w:rsidRPr="000971AE">
              <w:rPr>
                <w:rFonts w:eastAsia="Times New Roman"/>
                <w:sz w:val="20"/>
                <w:szCs w:val="20"/>
              </w:rPr>
              <w:t xml:space="preserve"> x 10</w:t>
            </w:r>
            <w:r w:rsidRPr="000971AE">
              <w:rPr>
                <w:rFonts w:eastAsia="Times New Roman"/>
                <w:sz w:val="20"/>
                <w:szCs w:val="20"/>
                <w:vertAlign w:val="superscript"/>
              </w:rPr>
              <w:t>9</w:t>
            </w:r>
            <w:r w:rsidRPr="000971AE">
              <w:rPr>
                <w:rFonts w:eastAsia="Times New Roman"/>
                <w:sz w:val="20"/>
                <w:szCs w:val="20"/>
              </w:rPr>
              <w:t xml:space="preserve">/L </w:t>
            </w:r>
          </w:p>
        </w:tc>
        <w:tc>
          <w:tcPr>
            <w:tcW w:w="5069" w:type="dxa"/>
            <w:tcBorders>
              <w:top w:val="single" w:sz="4" w:space="0" w:color="auto"/>
              <w:bottom w:val="single" w:sz="4" w:space="0" w:color="auto"/>
            </w:tcBorders>
          </w:tcPr>
          <w:p w:rsidR="00490884" w:rsidRDefault="00490884" w:rsidP="00B85F0C">
            <w:pPr>
              <w:ind w:right="1020"/>
            </w:pPr>
            <w:r>
              <w:rPr>
                <w:rFonts w:eastAsia="Times New Roman"/>
              </w:rPr>
              <w:t>Resume lenalidomide at</w:t>
            </w:r>
            <w:r>
              <w:t xml:space="preserve"> next lower</w:t>
            </w:r>
            <w:r>
              <w:rPr>
                <w:rFonts w:eastAsia="Times New Roman"/>
              </w:rPr>
              <w:t xml:space="preserve"> d</w:t>
            </w:r>
            <w:r>
              <w:t xml:space="preserve">ose level (dose level -1) </w:t>
            </w:r>
          </w:p>
        </w:tc>
      </w:tr>
      <w:tr w:rsidR="00490884" w:rsidTr="00B85F0C">
        <w:trPr>
          <w:trHeight w:val="662"/>
        </w:trPr>
        <w:tc>
          <w:tcPr>
            <w:tcW w:w="5069" w:type="dxa"/>
            <w:tcBorders>
              <w:top w:val="single" w:sz="4" w:space="0" w:color="auto"/>
              <w:bottom w:val="single" w:sz="4" w:space="0" w:color="auto"/>
            </w:tcBorders>
          </w:tcPr>
          <w:p w:rsidR="00490884" w:rsidRDefault="00490884" w:rsidP="00B85F0C">
            <w:r>
              <w:rPr>
                <w:rFonts w:eastAsia="Times New Roman"/>
              </w:rPr>
              <w:t xml:space="preserve">For each subsequent drop below &lt; </w:t>
            </w:r>
            <w:r>
              <w:t>1.0</w:t>
            </w:r>
            <w:r>
              <w:rPr>
                <w:rFonts w:eastAsia="Times New Roman"/>
              </w:rPr>
              <w:t xml:space="preserve"> x 10</w:t>
            </w:r>
            <w:r w:rsidR="005B0414" w:rsidRPr="00052277">
              <w:rPr>
                <w:rFonts w:eastAsia="Times New Roman"/>
                <w:vertAlign w:val="superscript"/>
              </w:rPr>
              <w:t>9</w:t>
            </w:r>
            <w:r>
              <w:rPr>
                <w:rFonts w:eastAsia="Times New Roman"/>
              </w:rPr>
              <w:t xml:space="preserve">/L </w:t>
            </w:r>
            <w:r>
              <w:t>for at least 7 days or drop to &lt; 1.0</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with associated fever (body temperature </w:t>
            </w:r>
            <w:r w:rsidRPr="00B84E25">
              <w:t>≥ 38.5°C</w:t>
            </w:r>
            <w:r>
              <w:t>) or  drop to &lt; 0.5</w:t>
            </w:r>
            <w:r w:rsidRPr="00052277">
              <w:rPr>
                <w:rFonts w:eastAsia="Times New Roman"/>
              </w:rPr>
              <w:t xml:space="preserve"> x 10</w:t>
            </w:r>
            <w:r w:rsidRPr="00052277">
              <w:rPr>
                <w:rFonts w:eastAsia="Times New Roman"/>
                <w:vertAlign w:val="superscript"/>
              </w:rPr>
              <w:t>9</w:t>
            </w:r>
            <w:r w:rsidRPr="00052277">
              <w:rPr>
                <w:rFonts w:eastAsia="Times New Roman"/>
              </w:rPr>
              <w:t>/L</w:t>
            </w:r>
          </w:p>
          <w:p w:rsidR="00490884" w:rsidRDefault="00490884" w:rsidP="005B0414">
            <w:pPr>
              <w:rPr>
                <w:sz w:val="20"/>
                <w:szCs w:val="20"/>
              </w:rPr>
            </w:pPr>
            <w:r>
              <w:rPr>
                <w:rFonts w:eastAsia="Times New Roman"/>
              </w:rPr>
              <w:t>Returns</w:t>
            </w:r>
            <w:r>
              <w:t xml:space="preserve"> to ≥ 1.0</w:t>
            </w:r>
            <w:r>
              <w:rPr>
                <w:rFonts w:eastAsia="Times New Roman"/>
              </w:rPr>
              <w:t xml:space="preserve"> x 10</w:t>
            </w:r>
            <w:r w:rsidR="005B0414" w:rsidRPr="00052277">
              <w:rPr>
                <w:rFonts w:eastAsia="Times New Roman"/>
                <w:vertAlign w:val="superscript"/>
              </w:rPr>
              <w:t>9</w:t>
            </w:r>
            <w:r>
              <w:rPr>
                <w:rFonts w:eastAsia="Times New Roman"/>
              </w:rPr>
              <w:t>/L</w:t>
            </w:r>
          </w:p>
        </w:tc>
        <w:tc>
          <w:tcPr>
            <w:tcW w:w="5069" w:type="dxa"/>
            <w:tcBorders>
              <w:top w:val="single" w:sz="4" w:space="0" w:color="auto"/>
              <w:bottom w:val="single" w:sz="4" w:space="0" w:color="auto"/>
            </w:tcBorders>
          </w:tcPr>
          <w:p w:rsidR="00490884" w:rsidRDefault="00490884" w:rsidP="005B0414">
            <w:pPr>
              <w:ind w:right="1020"/>
            </w:pPr>
            <w:r>
              <w:rPr>
                <w:rFonts w:eastAsia="Times New Roman"/>
              </w:rPr>
              <w:t xml:space="preserve">Interrupt lenalidomide treatment </w:t>
            </w:r>
            <w:r w:rsidR="005B0414" w:rsidRPr="005B0414">
              <w:rPr>
                <w:rFonts w:eastAsia="Times New Roman"/>
              </w:rPr>
              <w:t>and conduct CBC at least every 7 days</w:t>
            </w:r>
          </w:p>
          <w:p w:rsidR="00490884" w:rsidRDefault="00490884" w:rsidP="00B85F0C">
            <w:pPr>
              <w:ind w:right="566"/>
            </w:pPr>
          </w:p>
          <w:p w:rsidR="00490884" w:rsidRDefault="00490884" w:rsidP="00B85F0C">
            <w:pPr>
              <w:ind w:right="566"/>
            </w:pPr>
          </w:p>
          <w:p w:rsidR="00490884" w:rsidRPr="003B2466" w:rsidRDefault="00490884" w:rsidP="00B85F0C">
            <w:pPr>
              <w:ind w:right="566"/>
              <w:rPr>
                <w:sz w:val="20"/>
                <w:szCs w:val="20"/>
              </w:rPr>
            </w:pPr>
            <w:r w:rsidRPr="00F30CC0">
              <w:t xml:space="preserve">Resume lenalidomide </w:t>
            </w:r>
            <w:r>
              <w:t>at next lower dose level (dose level -2, -3). Do not dose below level</w:t>
            </w:r>
            <w:r w:rsidR="005B0414">
              <w:t xml:space="preserve"> </w:t>
            </w:r>
            <w:r>
              <w:t>-3</w:t>
            </w:r>
          </w:p>
        </w:tc>
      </w:tr>
    </w:tbl>
    <w:p w:rsidR="00117F34" w:rsidRDefault="00490884" w:rsidP="00117F34">
      <w:pPr>
        <w:rPr>
          <w:rFonts w:eastAsia="Times New Roman"/>
          <w:sz w:val="16"/>
          <w:szCs w:val="16"/>
        </w:rPr>
      </w:pPr>
      <w:r>
        <w:t xml:space="preserve">ª </w:t>
      </w:r>
      <w:proofErr w:type="gramStart"/>
      <w:r w:rsidR="00117F34">
        <w:rPr>
          <w:rFonts w:eastAsia="Times New Roman"/>
          <w:spacing w:val="-2"/>
          <w:sz w:val="16"/>
          <w:szCs w:val="16"/>
        </w:rPr>
        <w:t>At</w:t>
      </w:r>
      <w:proofErr w:type="gramEnd"/>
      <w:r w:rsidR="00117F34">
        <w:rPr>
          <w:rFonts w:eastAsia="Times New Roman"/>
          <w:spacing w:val="1"/>
          <w:sz w:val="16"/>
          <w:szCs w:val="16"/>
        </w:rPr>
        <w:t xml:space="preserve"> </w:t>
      </w:r>
      <w:r w:rsidR="00117F34">
        <w:rPr>
          <w:rFonts w:eastAsia="Times New Roman"/>
          <w:sz w:val="16"/>
          <w:szCs w:val="16"/>
        </w:rPr>
        <w:t>the</w:t>
      </w:r>
      <w:r w:rsidR="00117F34">
        <w:rPr>
          <w:rFonts w:eastAsia="Times New Roman"/>
          <w:spacing w:val="-1"/>
          <w:sz w:val="16"/>
          <w:szCs w:val="16"/>
        </w:rPr>
        <w:t xml:space="preserve"> physician’s</w:t>
      </w:r>
      <w:r w:rsidR="00117F34">
        <w:rPr>
          <w:rFonts w:eastAsia="Times New Roman"/>
          <w:spacing w:val="-2"/>
          <w:sz w:val="16"/>
          <w:szCs w:val="16"/>
        </w:rPr>
        <w:t xml:space="preserve"> </w:t>
      </w:r>
      <w:r w:rsidR="00117F34">
        <w:rPr>
          <w:rFonts w:eastAsia="Times New Roman"/>
          <w:spacing w:val="-1"/>
          <w:sz w:val="16"/>
          <w:szCs w:val="16"/>
        </w:rPr>
        <w:t>discretion,</w:t>
      </w:r>
      <w:r w:rsidR="00117F34">
        <w:rPr>
          <w:rFonts w:eastAsia="Times New Roman"/>
          <w:spacing w:val="1"/>
          <w:sz w:val="16"/>
          <w:szCs w:val="16"/>
        </w:rPr>
        <w:t xml:space="preserve"> </w:t>
      </w:r>
      <w:r w:rsidR="00117F34">
        <w:rPr>
          <w:rFonts w:eastAsia="Times New Roman"/>
          <w:sz w:val="16"/>
          <w:szCs w:val="16"/>
        </w:rPr>
        <w:t>if</w:t>
      </w:r>
      <w:r w:rsidR="00117F34">
        <w:rPr>
          <w:rFonts w:eastAsia="Times New Roman"/>
          <w:spacing w:val="-3"/>
          <w:sz w:val="16"/>
          <w:szCs w:val="16"/>
        </w:rPr>
        <w:t xml:space="preserve"> </w:t>
      </w:r>
      <w:r w:rsidR="00117F34">
        <w:rPr>
          <w:rFonts w:eastAsia="Times New Roman"/>
          <w:spacing w:val="-1"/>
          <w:sz w:val="16"/>
          <w:szCs w:val="16"/>
        </w:rPr>
        <w:t xml:space="preserve">neutropenia </w:t>
      </w:r>
      <w:r w:rsidR="00117F34">
        <w:rPr>
          <w:rFonts w:eastAsia="Times New Roman"/>
          <w:sz w:val="16"/>
          <w:szCs w:val="16"/>
        </w:rPr>
        <w:t>is</w:t>
      </w:r>
      <w:r w:rsidR="00117F34">
        <w:rPr>
          <w:rFonts w:eastAsia="Times New Roman"/>
          <w:spacing w:val="-2"/>
          <w:sz w:val="16"/>
          <w:szCs w:val="16"/>
        </w:rPr>
        <w:t xml:space="preserve"> </w:t>
      </w:r>
      <w:r w:rsidR="00117F34">
        <w:rPr>
          <w:rFonts w:eastAsia="Times New Roman"/>
          <w:sz w:val="16"/>
          <w:szCs w:val="16"/>
        </w:rPr>
        <w:t>the</w:t>
      </w:r>
      <w:r w:rsidR="00117F34">
        <w:rPr>
          <w:rFonts w:eastAsia="Times New Roman"/>
          <w:spacing w:val="-1"/>
          <w:sz w:val="16"/>
          <w:szCs w:val="16"/>
        </w:rPr>
        <w:t xml:space="preserve"> only</w:t>
      </w:r>
      <w:r w:rsidR="00117F34">
        <w:rPr>
          <w:rFonts w:eastAsia="Times New Roman"/>
          <w:spacing w:val="-3"/>
          <w:sz w:val="16"/>
          <w:szCs w:val="16"/>
        </w:rPr>
        <w:t xml:space="preserve"> </w:t>
      </w:r>
      <w:r w:rsidR="00117F34">
        <w:rPr>
          <w:rFonts w:eastAsia="Times New Roman"/>
          <w:spacing w:val="-1"/>
          <w:sz w:val="16"/>
          <w:szCs w:val="16"/>
        </w:rPr>
        <w:t>toxicity</w:t>
      </w:r>
      <w:r w:rsidR="00117F34">
        <w:rPr>
          <w:rFonts w:eastAsia="Times New Roman"/>
          <w:spacing w:val="-3"/>
          <w:sz w:val="16"/>
          <w:szCs w:val="16"/>
        </w:rPr>
        <w:t xml:space="preserve"> </w:t>
      </w:r>
      <w:r w:rsidR="00117F34">
        <w:rPr>
          <w:rFonts w:eastAsia="Times New Roman"/>
          <w:sz w:val="16"/>
          <w:szCs w:val="16"/>
        </w:rPr>
        <w:t>at</w:t>
      </w:r>
      <w:r w:rsidR="00117F34">
        <w:rPr>
          <w:rFonts w:eastAsia="Times New Roman"/>
          <w:spacing w:val="1"/>
          <w:sz w:val="16"/>
          <w:szCs w:val="16"/>
        </w:rPr>
        <w:t xml:space="preserve"> </w:t>
      </w:r>
      <w:r w:rsidR="00117F34">
        <w:rPr>
          <w:rFonts w:eastAsia="Times New Roman"/>
          <w:spacing w:val="-1"/>
          <w:sz w:val="16"/>
          <w:szCs w:val="16"/>
        </w:rPr>
        <w:t>any</w:t>
      </w:r>
      <w:r w:rsidR="00117F34">
        <w:rPr>
          <w:rFonts w:eastAsia="Times New Roman"/>
          <w:spacing w:val="-3"/>
          <w:sz w:val="16"/>
          <w:szCs w:val="16"/>
        </w:rPr>
        <w:t xml:space="preserve"> </w:t>
      </w:r>
      <w:r w:rsidR="00117F34">
        <w:rPr>
          <w:rFonts w:eastAsia="Times New Roman"/>
          <w:sz w:val="16"/>
          <w:szCs w:val="16"/>
        </w:rPr>
        <w:t>dose</w:t>
      </w:r>
      <w:r w:rsidR="00117F34">
        <w:rPr>
          <w:rFonts w:eastAsia="Times New Roman"/>
          <w:spacing w:val="-2"/>
          <w:sz w:val="16"/>
          <w:szCs w:val="16"/>
        </w:rPr>
        <w:t xml:space="preserve"> </w:t>
      </w:r>
      <w:r w:rsidR="00117F34">
        <w:rPr>
          <w:rFonts w:eastAsia="Times New Roman"/>
          <w:spacing w:val="-1"/>
          <w:sz w:val="16"/>
          <w:szCs w:val="16"/>
        </w:rPr>
        <w:t>level,</w:t>
      </w:r>
      <w:r w:rsidR="00117F34">
        <w:rPr>
          <w:rFonts w:eastAsia="Times New Roman"/>
          <w:spacing w:val="1"/>
          <w:sz w:val="16"/>
          <w:szCs w:val="16"/>
        </w:rPr>
        <w:t xml:space="preserve"> </w:t>
      </w:r>
      <w:r w:rsidR="00117F34">
        <w:rPr>
          <w:rFonts w:eastAsia="Times New Roman"/>
          <w:spacing w:val="-1"/>
          <w:sz w:val="16"/>
          <w:szCs w:val="16"/>
        </w:rPr>
        <w:t>add</w:t>
      </w:r>
      <w:r w:rsidR="00117F34">
        <w:rPr>
          <w:rFonts w:eastAsia="Times New Roman"/>
          <w:spacing w:val="2"/>
          <w:sz w:val="16"/>
          <w:szCs w:val="16"/>
        </w:rPr>
        <w:t xml:space="preserve"> </w:t>
      </w:r>
      <w:r w:rsidR="00117F34">
        <w:rPr>
          <w:rFonts w:eastAsia="Times New Roman"/>
          <w:spacing w:val="-1"/>
          <w:sz w:val="16"/>
          <w:szCs w:val="16"/>
        </w:rPr>
        <w:t>G-CSF</w:t>
      </w:r>
    </w:p>
    <w:p w:rsidR="00117F34" w:rsidRDefault="00117F34" w:rsidP="00117F34">
      <w:pPr>
        <w:spacing w:before="8"/>
        <w:rPr>
          <w:rFonts w:eastAsia="Times New Roman"/>
          <w:sz w:val="21"/>
          <w:szCs w:val="21"/>
        </w:rPr>
      </w:pPr>
    </w:p>
    <w:p w:rsidR="00117F34" w:rsidRDefault="00117F34" w:rsidP="00117F34">
      <w:pPr>
        <w:ind w:right="4075"/>
        <w:rPr>
          <w:rFonts w:eastAsia="Times New Roman"/>
        </w:rPr>
      </w:pPr>
      <w:r w:rsidRPr="00B2301B">
        <w:rPr>
          <w:i/>
          <w:u w:val="single" w:color="000000"/>
          <w:shd w:val="clear" w:color="auto" w:fill="DBE5F1" w:themeFill="accent1" w:themeFillTint="33"/>
        </w:rPr>
        <w:t>Mantle</w:t>
      </w:r>
      <w:r w:rsidRPr="00B2301B">
        <w:rPr>
          <w:i/>
          <w:spacing w:val="-3"/>
          <w:u w:val="single" w:color="000000"/>
          <w:shd w:val="clear" w:color="auto" w:fill="DBE5F1" w:themeFill="accent1" w:themeFillTint="33"/>
        </w:rPr>
        <w:t xml:space="preserve"> </w:t>
      </w:r>
      <w:r w:rsidRPr="00B2301B">
        <w:rPr>
          <w:i/>
          <w:spacing w:val="-1"/>
          <w:u w:val="single" w:color="000000"/>
          <w:shd w:val="clear" w:color="auto" w:fill="DBE5F1" w:themeFill="accent1" w:themeFillTint="33"/>
        </w:rPr>
        <w:t>cell</w:t>
      </w:r>
      <w:r w:rsidRPr="00B2301B">
        <w:rPr>
          <w:i/>
          <w:spacing w:val="-2"/>
          <w:u w:val="single" w:color="000000"/>
          <w:shd w:val="clear" w:color="auto" w:fill="DBE5F1" w:themeFill="accent1" w:themeFillTint="33"/>
        </w:rPr>
        <w:t xml:space="preserve"> </w:t>
      </w:r>
      <w:r w:rsidRPr="00B2301B">
        <w:rPr>
          <w:i/>
          <w:spacing w:val="-1"/>
          <w:u w:val="single" w:color="000000"/>
          <w:shd w:val="clear" w:color="auto" w:fill="DBE5F1" w:themeFill="accent1" w:themeFillTint="33"/>
        </w:rPr>
        <w:t>lymphoma</w:t>
      </w:r>
      <w:r w:rsidRPr="00B2301B">
        <w:rPr>
          <w:i/>
          <w:u w:val="single" w:color="000000"/>
          <w:shd w:val="clear" w:color="auto" w:fill="DBE5F1" w:themeFill="accent1" w:themeFillTint="33"/>
        </w:rPr>
        <w:t xml:space="preserve"> </w:t>
      </w:r>
      <w:r w:rsidRPr="00B2301B">
        <w:rPr>
          <w:i/>
          <w:spacing w:val="-2"/>
          <w:u w:val="single" w:color="000000"/>
          <w:shd w:val="clear" w:color="auto" w:fill="DBE5F1" w:themeFill="accent1" w:themeFillTint="33"/>
        </w:rPr>
        <w:t xml:space="preserve">(MCL) </w:t>
      </w:r>
      <w:r w:rsidRPr="00B2301B">
        <w:rPr>
          <w:i/>
          <w:u w:val="single" w:color="000000"/>
          <w:shd w:val="clear" w:color="auto" w:fill="DBE5F1" w:themeFill="accent1" w:themeFillTint="33"/>
        </w:rPr>
        <w:t>or</w:t>
      </w:r>
      <w:r>
        <w:rPr>
          <w:i/>
          <w:u w:val="single" w:color="000000"/>
        </w:rPr>
        <w:t xml:space="preserve"> </w:t>
      </w:r>
      <w:r>
        <w:rPr>
          <w:i/>
          <w:spacing w:val="-1"/>
          <w:u w:val="single" w:color="000000"/>
        </w:rPr>
        <w:t>follicular</w:t>
      </w:r>
      <w:r>
        <w:rPr>
          <w:i/>
          <w:spacing w:val="-2"/>
          <w:u w:val="single" w:color="000000"/>
        </w:rPr>
        <w:t xml:space="preserve"> </w:t>
      </w:r>
      <w:r>
        <w:rPr>
          <w:i/>
          <w:spacing w:val="-1"/>
          <w:u w:val="single" w:color="000000"/>
        </w:rPr>
        <w:t>lymphoma</w:t>
      </w:r>
      <w:r>
        <w:rPr>
          <w:i/>
          <w:u w:val="single" w:color="000000"/>
        </w:rPr>
        <w:t xml:space="preserve"> </w:t>
      </w:r>
      <w:r>
        <w:rPr>
          <w:i/>
          <w:spacing w:val="-2"/>
          <w:u w:val="single" w:color="000000"/>
        </w:rPr>
        <w:t>(FL)</w:t>
      </w:r>
      <w:r>
        <w:rPr>
          <w:i/>
          <w:spacing w:val="55"/>
        </w:rPr>
        <w:t xml:space="preserve"> </w:t>
      </w:r>
      <w:r>
        <w:rPr>
          <w:i/>
          <w:spacing w:val="-1"/>
        </w:rPr>
        <w:t>Tumour</w:t>
      </w:r>
      <w:r>
        <w:rPr>
          <w:i/>
          <w:spacing w:val="1"/>
        </w:rPr>
        <w:t xml:space="preserve"> </w:t>
      </w:r>
      <w:r>
        <w:rPr>
          <w:i/>
          <w:spacing w:val="-1"/>
        </w:rPr>
        <w:t>lysis</w:t>
      </w:r>
      <w:r>
        <w:rPr>
          <w:i/>
        </w:rPr>
        <w:t xml:space="preserve"> </w:t>
      </w:r>
      <w:r>
        <w:rPr>
          <w:i/>
          <w:spacing w:val="-1"/>
        </w:rPr>
        <w:t>syndrome</w:t>
      </w:r>
      <w:r>
        <w:rPr>
          <w:i/>
        </w:rPr>
        <w:t xml:space="preserve"> </w:t>
      </w:r>
      <w:r>
        <w:rPr>
          <w:i/>
          <w:spacing w:val="-2"/>
        </w:rPr>
        <w:t>(TLS)</w:t>
      </w:r>
    </w:p>
    <w:p w:rsidR="00080085" w:rsidRDefault="00117F34" w:rsidP="004560FA">
      <w:pPr>
        <w:pStyle w:val="BodyText"/>
        <w:ind w:right="296"/>
      </w:pPr>
      <w:r>
        <w:rPr>
          <w:spacing w:val="-1"/>
        </w:rPr>
        <w:t>All</w:t>
      </w:r>
      <w:r>
        <w:rPr>
          <w:spacing w:val="1"/>
        </w:rPr>
        <w:t xml:space="preserve"> </w:t>
      </w:r>
      <w:r>
        <w:rPr>
          <w:spacing w:val="-1"/>
        </w:rPr>
        <w:t>patients</w:t>
      </w:r>
      <w:r>
        <w:t xml:space="preserve"> </w:t>
      </w:r>
      <w:r>
        <w:rPr>
          <w:spacing w:val="-1"/>
        </w:rPr>
        <w:t>should</w:t>
      </w:r>
      <w:r>
        <w:rPr>
          <w:spacing w:val="-2"/>
        </w:rPr>
        <w:t xml:space="preserve"> </w:t>
      </w:r>
      <w:r>
        <w:rPr>
          <w:spacing w:val="-1"/>
        </w:rPr>
        <w:t>receive</w:t>
      </w:r>
      <w:r>
        <w:rPr>
          <w:spacing w:val="-2"/>
        </w:rPr>
        <w:t xml:space="preserve"> </w:t>
      </w:r>
      <w:r>
        <w:t>TLS</w:t>
      </w:r>
      <w:r>
        <w:rPr>
          <w:spacing w:val="-1"/>
        </w:rPr>
        <w:t xml:space="preserve"> prophylaxis</w:t>
      </w:r>
      <w:r>
        <w:rPr>
          <w:spacing w:val="-2"/>
        </w:rPr>
        <w:t xml:space="preserve"> </w:t>
      </w:r>
      <w:r>
        <w:rPr>
          <w:spacing w:val="-1"/>
        </w:rPr>
        <w:t>(allopurinol,</w:t>
      </w:r>
      <w:r>
        <w:t xml:space="preserve"> </w:t>
      </w:r>
      <w:r>
        <w:rPr>
          <w:spacing w:val="-1"/>
        </w:rPr>
        <w:t>rasburicase</w:t>
      </w:r>
      <w:r>
        <w:t xml:space="preserve"> or</w:t>
      </w:r>
      <w:r>
        <w:rPr>
          <w:spacing w:val="-2"/>
        </w:rPr>
        <w:t xml:space="preserve"> </w:t>
      </w:r>
      <w:r>
        <w:rPr>
          <w:spacing w:val="-1"/>
        </w:rPr>
        <w:t>equivalent</w:t>
      </w:r>
      <w:r>
        <w:rPr>
          <w:spacing w:val="1"/>
        </w:rPr>
        <w:t xml:space="preserve"> </w:t>
      </w:r>
      <w:r>
        <w:t>as</w:t>
      </w:r>
      <w:r>
        <w:rPr>
          <w:spacing w:val="1"/>
        </w:rPr>
        <w:t xml:space="preserve"> </w:t>
      </w:r>
      <w:r>
        <w:rPr>
          <w:spacing w:val="-1"/>
        </w:rPr>
        <w:t>per</w:t>
      </w:r>
      <w:r>
        <w:rPr>
          <w:spacing w:val="-2"/>
        </w:rPr>
        <w:t xml:space="preserve"> </w:t>
      </w:r>
      <w:r>
        <w:rPr>
          <w:spacing w:val="-1"/>
        </w:rPr>
        <w:t>institutional</w:t>
      </w:r>
      <w:r>
        <w:rPr>
          <w:spacing w:val="69"/>
        </w:rPr>
        <w:t xml:space="preserve"> </w:t>
      </w:r>
      <w:r>
        <w:rPr>
          <w:spacing w:val="-1"/>
        </w:rPr>
        <w:t>guidelines)</w:t>
      </w:r>
      <w:r>
        <w:rPr>
          <w:spacing w:val="1"/>
        </w:rPr>
        <w:t xml:space="preserve"> </w:t>
      </w:r>
      <w:r>
        <w:t>and</w:t>
      </w:r>
      <w:r>
        <w:rPr>
          <w:spacing w:val="-2"/>
        </w:rPr>
        <w:t xml:space="preserve"> </w:t>
      </w:r>
      <w:r>
        <w:t xml:space="preserve">be </w:t>
      </w:r>
      <w:r>
        <w:rPr>
          <w:spacing w:val="-1"/>
        </w:rPr>
        <w:t>well</w:t>
      </w:r>
      <w:r>
        <w:rPr>
          <w:spacing w:val="1"/>
        </w:rPr>
        <w:t xml:space="preserve"> </w:t>
      </w:r>
      <w:r>
        <w:rPr>
          <w:spacing w:val="-1"/>
        </w:rPr>
        <w:t>hydrated</w:t>
      </w:r>
      <w:r>
        <w:t xml:space="preserve"> </w:t>
      </w:r>
      <w:r>
        <w:rPr>
          <w:spacing w:val="-1"/>
        </w:rPr>
        <w:t>(orally)</w:t>
      </w:r>
      <w:r>
        <w:rPr>
          <w:spacing w:val="1"/>
        </w:rPr>
        <w:t xml:space="preserve"> </w:t>
      </w:r>
      <w:r>
        <w:rPr>
          <w:spacing w:val="-1"/>
        </w:rPr>
        <w:t>during</w:t>
      </w:r>
      <w:r>
        <w:rPr>
          <w:spacing w:val="-2"/>
        </w:rPr>
        <w:t xml:space="preserve"> </w:t>
      </w:r>
      <w:r>
        <w:t>the</w:t>
      </w:r>
      <w:r>
        <w:rPr>
          <w:spacing w:val="1"/>
        </w:rPr>
        <w:t xml:space="preserve"> </w:t>
      </w:r>
      <w:r>
        <w:rPr>
          <w:spacing w:val="-1"/>
        </w:rPr>
        <w:t>first</w:t>
      </w:r>
      <w:r>
        <w:rPr>
          <w:spacing w:val="1"/>
        </w:rPr>
        <w:t xml:space="preserve"> </w:t>
      </w:r>
      <w:r>
        <w:rPr>
          <w:spacing w:val="-1"/>
        </w:rPr>
        <w:t>week</w:t>
      </w:r>
      <w:r>
        <w:rPr>
          <w:spacing w:val="-2"/>
        </w:rPr>
        <w:t xml:space="preserve"> </w:t>
      </w:r>
      <w:r>
        <w:t>of</w:t>
      </w:r>
      <w:r>
        <w:rPr>
          <w:spacing w:val="-2"/>
        </w:rPr>
        <w:t xml:space="preserve"> </w:t>
      </w:r>
      <w:r>
        <w:t>the</w:t>
      </w:r>
      <w:r>
        <w:rPr>
          <w:spacing w:val="-2"/>
        </w:rPr>
        <w:t xml:space="preserve"> </w:t>
      </w:r>
      <w:r>
        <w:rPr>
          <w:spacing w:val="-1"/>
        </w:rPr>
        <w:t>first cycle</w:t>
      </w:r>
      <w:r>
        <w:t xml:space="preserve"> </w:t>
      </w:r>
      <w:r>
        <w:rPr>
          <w:spacing w:val="-2"/>
        </w:rPr>
        <w:t>or</w:t>
      </w:r>
      <w:r>
        <w:rPr>
          <w:spacing w:val="1"/>
        </w:rPr>
        <w:t xml:space="preserve"> </w:t>
      </w:r>
      <w:r>
        <w:rPr>
          <w:spacing w:val="-1"/>
        </w:rPr>
        <w:t>for</w:t>
      </w:r>
      <w:r>
        <w:rPr>
          <w:spacing w:val="1"/>
        </w:rPr>
        <w:t xml:space="preserve"> </w:t>
      </w:r>
      <w:r>
        <w:t>a</w:t>
      </w:r>
      <w:r>
        <w:rPr>
          <w:spacing w:val="-2"/>
        </w:rPr>
        <w:t xml:space="preserve"> </w:t>
      </w:r>
      <w:r>
        <w:rPr>
          <w:spacing w:val="-1"/>
        </w:rPr>
        <w:t>longer</w:t>
      </w:r>
      <w:r>
        <w:rPr>
          <w:spacing w:val="1"/>
        </w:rPr>
        <w:t xml:space="preserve"> </w:t>
      </w:r>
      <w:r>
        <w:rPr>
          <w:spacing w:val="-1"/>
        </w:rPr>
        <w:t>period</w:t>
      </w:r>
      <w:r>
        <w:t xml:space="preserve"> </w:t>
      </w:r>
      <w:r>
        <w:rPr>
          <w:spacing w:val="-1"/>
        </w:rPr>
        <w:t>if</w:t>
      </w:r>
      <w:r>
        <w:rPr>
          <w:spacing w:val="59"/>
        </w:rPr>
        <w:t xml:space="preserve"> </w:t>
      </w:r>
      <w:r>
        <w:rPr>
          <w:spacing w:val="-1"/>
        </w:rPr>
        <w:t>clinically</w:t>
      </w:r>
      <w:r>
        <w:rPr>
          <w:spacing w:val="-3"/>
        </w:rPr>
        <w:t xml:space="preserve"> </w:t>
      </w:r>
      <w:r>
        <w:rPr>
          <w:spacing w:val="-1"/>
        </w:rPr>
        <w:t>indicated.</w:t>
      </w:r>
      <w:r>
        <w:rPr>
          <w:spacing w:val="53"/>
        </w:rPr>
        <w:t xml:space="preserve"> </w:t>
      </w:r>
      <w:r>
        <w:rPr>
          <w:spacing w:val="1"/>
        </w:rPr>
        <w:t>To</w:t>
      </w:r>
      <w:r>
        <w:t xml:space="preserve"> </w:t>
      </w:r>
      <w:r>
        <w:rPr>
          <w:spacing w:val="-1"/>
        </w:rPr>
        <w:t>monitor</w:t>
      </w:r>
      <w:r>
        <w:rPr>
          <w:spacing w:val="1"/>
        </w:rPr>
        <w:t xml:space="preserve"> </w:t>
      </w:r>
      <w:r>
        <w:rPr>
          <w:spacing w:val="-1"/>
        </w:rPr>
        <w:t>for</w:t>
      </w:r>
      <w:r>
        <w:rPr>
          <w:spacing w:val="-2"/>
        </w:rPr>
        <w:t xml:space="preserve"> </w:t>
      </w:r>
      <w:r>
        <w:t xml:space="preserve">TLS, </w:t>
      </w:r>
      <w:r>
        <w:rPr>
          <w:spacing w:val="-1"/>
        </w:rPr>
        <w:t>patients</w:t>
      </w:r>
      <w:r>
        <w:rPr>
          <w:spacing w:val="-2"/>
        </w:rPr>
        <w:t xml:space="preserve"> </w:t>
      </w:r>
      <w:r>
        <w:rPr>
          <w:spacing w:val="-1"/>
        </w:rPr>
        <w:t>should</w:t>
      </w:r>
      <w:r>
        <w:t xml:space="preserve"> </w:t>
      </w:r>
      <w:r>
        <w:rPr>
          <w:spacing w:val="-1"/>
        </w:rPr>
        <w:t>have</w:t>
      </w:r>
      <w:r>
        <w:t xml:space="preserve"> a</w:t>
      </w:r>
      <w:r>
        <w:rPr>
          <w:spacing w:val="-2"/>
        </w:rPr>
        <w:t xml:space="preserve"> </w:t>
      </w:r>
      <w:r>
        <w:rPr>
          <w:spacing w:val="-1"/>
        </w:rPr>
        <w:t>chemistry</w:t>
      </w:r>
      <w:r>
        <w:rPr>
          <w:spacing w:val="-2"/>
        </w:rPr>
        <w:t xml:space="preserve"> </w:t>
      </w:r>
      <w:r>
        <w:t>panel</w:t>
      </w:r>
      <w:r>
        <w:rPr>
          <w:spacing w:val="1"/>
        </w:rPr>
        <w:t xml:space="preserve"> </w:t>
      </w:r>
      <w:r>
        <w:rPr>
          <w:spacing w:val="-1"/>
        </w:rPr>
        <w:t>drawn</w:t>
      </w:r>
      <w:r>
        <w:t xml:space="preserve"> </w:t>
      </w:r>
      <w:r>
        <w:rPr>
          <w:spacing w:val="-1"/>
        </w:rPr>
        <w:t>weekly</w:t>
      </w:r>
      <w:r>
        <w:rPr>
          <w:spacing w:val="-3"/>
        </w:rPr>
        <w:t xml:space="preserve"> </w:t>
      </w:r>
      <w:r>
        <w:rPr>
          <w:spacing w:val="-1"/>
        </w:rPr>
        <w:t>during</w:t>
      </w:r>
      <w:r>
        <w:rPr>
          <w:spacing w:val="-2"/>
        </w:rPr>
        <w:t xml:space="preserve"> </w:t>
      </w:r>
      <w:r>
        <w:t>the</w:t>
      </w:r>
      <w:r>
        <w:rPr>
          <w:spacing w:val="79"/>
        </w:rPr>
        <w:t xml:space="preserve"> </w:t>
      </w:r>
      <w:r>
        <w:rPr>
          <w:spacing w:val="-1"/>
        </w:rPr>
        <w:t>first cycle</w:t>
      </w:r>
      <w:r>
        <w:t xml:space="preserve"> </w:t>
      </w:r>
      <w:r>
        <w:rPr>
          <w:spacing w:val="-1"/>
        </w:rPr>
        <w:t>and</w:t>
      </w:r>
      <w:r>
        <w:t xml:space="preserve"> as</w:t>
      </w:r>
      <w:r>
        <w:rPr>
          <w:spacing w:val="-2"/>
        </w:rPr>
        <w:t xml:space="preserve"> </w:t>
      </w:r>
      <w:r>
        <w:rPr>
          <w:spacing w:val="-1"/>
        </w:rPr>
        <w:t>clinically</w:t>
      </w:r>
      <w:r>
        <w:rPr>
          <w:spacing w:val="-5"/>
        </w:rPr>
        <w:t xml:space="preserve"> </w:t>
      </w:r>
      <w:r>
        <w:rPr>
          <w:spacing w:val="-1"/>
        </w:rPr>
        <w:t>indicated.</w:t>
      </w:r>
      <w:r w:rsidR="00080085">
        <w:br/>
      </w:r>
      <w:r>
        <w:rPr>
          <w:spacing w:val="-1"/>
        </w:rPr>
        <w:t>Lenalidomide</w:t>
      </w:r>
      <w:r>
        <w:rPr>
          <w:spacing w:val="1"/>
        </w:rPr>
        <w:t xml:space="preserve"> </w:t>
      </w:r>
      <w:r>
        <w:rPr>
          <w:spacing w:val="-2"/>
        </w:rPr>
        <w:t xml:space="preserve">may </w:t>
      </w:r>
      <w:r>
        <w:t xml:space="preserve">be </w:t>
      </w:r>
      <w:r>
        <w:rPr>
          <w:spacing w:val="-1"/>
        </w:rPr>
        <w:t>continued</w:t>
      </w:r>
      <w:r>
        <w:t xml:space="preserve"> </w:t>
      </w:r>
      <w:r>
        <w:rPr>
          <w:spacing w:val="-1"/>
        </w:rPr>
        <w:t>(maintain</w:t>
      </w:r>
      <w:r>
        <w:t xml:space="preserve"> </w:t>
      </w:r>
      <w:r>
        <w:rPr>
          <w:spacing w:val="-1"/>
        </w:rPr>
        <w:t>dose)</w:t>
      </w:r>
      <w:r>
        <w:rPr>
          <w:spacing w:val="-2"/>
        </w:rPr>
        <w:t xml:space="preserve"> </w:t>
      </w:r>
      <w:r>
        <w:t xml:space="preserve">in </w:t>
      </w:r>
      <w:r>
        <w:rPr>
          <w:spacing w:val="-1"/>
        </w:rPr>
        <w:t>patients</w:t>
      </w:r>
      <w:r>
        <w:rPr>
          <w:spacing w:val="1"/>
        </w:rPr>
        <w:t xml:space="preserve"> </w:t>
      </w:r>
      <w:r>
        <w:rPr>
          <w:spacing w:val="-1"/>
        </w:rPr>
        <w:t>with</w:t>
      </w:r>
      <w:r>
        <w:rPr>
          <w:spacing w:val="-2"/>
        </w:rPr>
        <w:t xml:space="preserve"> </w:t>
      </w:r>
      <w:r>
        <w:rPr>
          <w:spacing w:val="-1"/>
        </w:rPr>
        <w:t>laboratory</w:t>
      </w:r>
      <w:r>
        <w:rPr>
          <w:spacing w:val="-3"/>
        </w:rPr>
        <w:t xml:space="preserve"> </w:t>
      </w:r>
      <w:r>
        <w:t>TLS</w:t>
      </w:r>
      <w:r>
        <w:rPr>
          <w:spacing w:val="-3"/>
        </w:rPr>
        <w:t xml:space="preserve"> </w:t>
      </w:r>
      <w:r>
        <w:rPr>
          <w:spacing w:val="-2"/>
        </w:rPr>
        <w:t>or</w:t>
      </w:r>
      <w:r>
        <w:rPr>
          <w:spacing w:val="1"/>
        </w:rPr>
        <w:t xml:space="preserve"> </w:t>
      </w:r>
      <w:r>
        <w:rPr>
          <w:spacing w:val="-1"/>
        </w:rPr>
        <w:t>Grade</w:t>
      </w:r>
      <w:r>
        <w:t xml:space="preserve"> 1 </w:t>
      </w:r>
      <w:r>
        <w:rPr>
          <w:spacing w:val="-1"/>
        </w:rPr>
        <w:t>clinical TLS,</w:t>
      </w:r>
      <w:r>
        <w:rPr>
          <w:spacing w:val="-2"/>
        </w:rPr>
        <w:t xml:space="preserve"> </w:t>
      </w:r>
      <w:r>
        <w:t>or</w:t>
      </w:r>
      <w:r>
        <w:rPr>
          <w:spacing w:val="83"/>
        </w:rPr>
        <w:t xml:space="preserve"> </w:t>
      </w:r>
      <w:r>
        <w:t>at</w:t>
      </w:r>
      <w:r>
        <w:rPr>
          <w:spacing w:val="1"/>
        </w:rPr>
        <w:t xml:space="preserve"> </w:t>
      </w:r>
      <w:r>
        <w:rPr>
          <w:spacing w:val="-1"/>
        </w:rPr>
        <w:t>the</w:t>
      </w:r>
      <w:r>
        <w:t xml:space="preserve"> </w:t>
      </w:r>
      <w:r>
        <w:rPr>
          <w:spacing w:val="-1"/>
        </w:rPr>
        <w:t>physician’s</w:t>
      </w:r>
      <w:r>
        <w:rPr>
          <w:spacing w:val="-2"/>
        </w:rPr>
        <w:t xml:space="preserve"> </w:t>
      </w:r>
      <w:r>
        <w:rPr>
          <w:spacing w:val="-1"/>
        </w:rPr>
        <w:t>discretion,</w:t>
      </w:r>
      <w:r>
        <w:t xml:space="preserve"> </w:t>
      </w:r>
      <w:r>
        <w:rPr>
          <w:spacing w:val="-1"/>
        </w:rPr>
        <w:t>reduce</w:t>
      </w:r>
      <w:r>
        <w:t xml:space="preserve"> </w:t>
      </w:r>
      <w:r>
        <w:rPr>
          <w:spacing w:val="-1"/>
        </w:rPr>
        <w:t>dose</w:t>
      </w:r>
      <w:r>
        <w:t xml:space="preserve"> by</w:t>
      </w:r>
      <w:r>
        <w:rPr>
          <w:spacing w:val="-3"/>
        </w:rPr>
        <w:t xml:space="preserve"> </w:t>
      </w:r>
      <w:r>
        <w:t>one</w:t>
      </w:r>
      <w:r>
        <w:rPr>
          <w:spacing w:val="-2"/>
        </w:rPr>
        <w:t xml:space="preserve"> </w:t>
      </w:r>
      <w:r>
        <w:rPr>
          <w:spacing w:val="-1"/>
        </w:rPr>
        <w:t>level</w:t>
      </w:r>
      <w:r>
        <w:rPr>
          <w:spacing w:val="-2"/>
        </w:rPr>
        <w:t xml:space="preserve"> </w:t>
      </w:r>
      <w:r>
        <w:t xml:space="preserve">and </w:t>
      </w:r>
      <w:r>
        <w:rPr>
          <w:spacing w:val="-1"/>
        </w:rPr>
        <w:t>continue</w:t>
      </w:r>
      <w:r>
        <w:rPr>
          <w:spacing w:val="-2"/>
        </w:rPr>
        <w:t xml:space="preserve"> </w:t>
      </w:r>
      <w:r>
        <w:rPr>
          <w:spacing w:val="-1"/>
        </w:rPr>
        <w:t>lenalidomide.</w:t>
      </w:r>
      <w:r>
        <w:rPr>
          <w:spacing w:val="-3"/>
        </w:rPr>
        <w:t xml:space="preserve"> </w:t>
      </w:r>
      <w:r>
        <w:rPr>
          <w:spacing w:val="-1"/>
        </w:rPr>
        <w:t>Vigorous</w:t>
      </w:r>
      <w:r>
        <w:t xml:space="preserve"> </w:t>
      </w:r>
      <w:r>
        <w:rPr>
          <w:spacing w:val="-1"/>
        </w:rPr>
        <w:t>intravenous</w:t>
      </w:r>
      <w:r>
        <w:rPr>
          <w:spacing w:val="75"/>
        </w:rPr>
        <w:t xml:space="preserve"> </w:t>
      </w:r>
      <w:r>
        <w:rPr>
          <w:spacing w:val="-1"/>
        </w:rPr>
        <w:t>hydration</w:t>
      </w:r>
      <w:r>
        <w:t xml:space="preserve"> </w:t>
      </w:r>
      <w:r>
        <w:rPr>
          <w:spacing w:val="-1"/>
        </w:rPr>
        <w:t>should</w:t>
      </w:r>
      <w:r>
        <w:t xml:space="preserve"> </w:t>
      </w:r>
      <w:r>
        <w:rPr>
          <w:spacing w:val="-2"/>
        </w:rPr>
        <w:t>be</w:t>
      </w:r>
      <w:r>
        <w:t xml:space="preserve"> </w:t>
      </w:r>
      <w:r>
        <w:rPr>
          <w:spacing w:val="-1"/>
        </w:rPr>
        <w:t>provided</w:t>
      </w:r>
      <w:r>
        <w:t xml:space="preserve"> and</w:t>
      </w:r>
      <w:r>
        <w:rPr>
          <w:spacing w:val="-2"/>
        </w:rPr>
        <w:t xml:space="preserve"> </w:t>
      </w:r>
      <w:r>
        <w:rPr>
          <w:spacing w:val="-1"/>
        </w:rPr>
        <w:t>appropriate</w:t>
      </w:r>
      <w:r>
        <w:t xml:space="preserve"> </w:t>
      </w:r>
      <w:r>
        <w:rPr>
          <w:spacing w:val="-1"/>
        </w:rPr>
        <w:t>medical</w:t>
      </w:r>
      <w:r>
        <w:rPr>
          <w:spacing w:val="-2"/>
        </w:rPr>
        <w:t xml:space="preserve"> </w:t>
      </w:r>
      <w:r>
        <w:rPr>
          <w:spacing w:val="-1"/>
        </w:rPr>
        <w:t>management</w:t>
      </w:r>
      <w:r>
        <w:rPr>
          <w:spacing w:val="1"/>
        </w:rPr>
        <w:t xml:space="preserve"> </w:t>
      </w:r>
      <w:r>
        <w:rPr>
          <w:spacing w:val="-1"/>
        </w:rPr>
        <w:t>according</w:t>
      </w:r>
      <w:r>
        <w:rPr>
          <w:spacing w:val="-3"/>
        </w:rPr>
        <w:t xml:space="preserve"> </w:t>
      </w:r>
      <w:r>
        <w:t>to</w:t>
      </w:r>
      <w:r>
        <w:rPr>
          <w:spacing w:val="-2"/>
        </w:rPr>
        <w:t xml:space="preserve"> </w:t>
      </w:r>
      <w:r>
        <w:rPr>
          <w:spacing w:val="-1"/>
        </w:rPr>
        <w:t>the</w:t>
      </w:r>
      <w:r>
        <w:t xml:space="preserve"> </w:t>
      </w:r>
      <w:r>
        <w:rPr>
          <w:spacing w:val="-1"/>
        </w:rPr>
        <w:t>local standard</w:t>
      </w:r>
      <w:r>
        <w:t xml:space="preserve"> </w:t>
      </w:r>
      <w:r>
        <w:rPr>
          <w:spacing w:val="-2"/>
        </w:rPr>
        <w:t>of</w:t>
      </w:r>
      <w:r>
        <w:rPr>
          <w:spacing w:val="1"/>
        </w:rPr>
        <w:t xml:space="preserve"> </w:t>
      </w:r>
      <w:r>
        <w:rPr>
          <w:spacing w:val="-1"/>
        </w:rPr>
        <w:t>care,</w:t>
      </w:r>
      <w:r>
        <w:rPr>
          <w:spacing w:val="85"/>
        </w:rPr>
        <w:t xml:space="preserve"> </w:t>
      </w:r>
      <w:r>
        <w:rPr>
          <w:spacing w:val="-1"/>
        </w:rPr>
        <w:t>until</w:t>
      </w:r>
      <w:r>
        <w:rPr>
          <w:spacing w:val="1"/>
        </w:rPr>
        <w:t xml:space="preserve"> </w:t>
      </w:r>
      <w:r>
        <w:rPr>
          <w:spacing w:val="-1"/>
        </w:rPr>
        <w:t>correction</w:t>
      </w:r>
      <w:r>
        <w:rPr>
          <w:spacing w:val="-2"/>
        </w:rPr>
        <w:t xml:space="preserve"> </w:t>
      </w:r>
      <w:r>
        <w:t>of</w:t>
      </w:r>
      <w:r>
        <w:rPr>
          <w:spacing w:val="-2"/>
        </w:rPr>
        <w:t xml:space="preserve"> </w:t>
      </w:r>
      <w:r>
        <w:rPr>
          <w:spacing w:val="-1"/>
        </w:rPr>
        <w:t>electrolyte</w:t>
      </w:r>
      <w:r>
        <w:t xml:space="preserve"> </w:t>
      </w:r>
      <w:r>
        <w:rPr>
          <w:spacing w:val="-1"/>
        </w:rPr>
        <w:t>abnormalities.</w:t>
      </w:r>
      <w:r>
        <w:t xml:space="preserve"> </w:t>
      </w:r>
      <w:r>
        <w:rPr>
          <w:spacing w:val="-1"/>
        </w:rPr>
        <w:t>Rasburicase</w:t>
      </w:r>
      <w:r>
        <w:t xml:space="preserve"> </w:t>
      </w:r>
      <w:r>
        <w:rPr>
          <w:spacing w:val="-1"/>
        </w:rPr>
        <w:t>therapy</w:t>
      </w:r>
      <w:r>
        <w:rPr>
          <w:spacing w:val="-3"/>
        </w:rPr>
        <w:t xml:space="preserve"> </w:t>
      </w:r>
      <w:r>
        <w:rPr>
          <w:spacing w:val="-1"/>
        </w:rPr>
        <w:t>may</w:t>
      </w:r>
      <w:r>
        <w:rPr>
          <w:spacing w:val="-3"/>
        </w:rPr>
        <w:t xml:space="preserve"> </w:t>
      </w:r>
      <w:r>
        <w:t>be needed</w:t>
      </w:r>
      <w:r>
        <w:rPr>
          <w:spacing w:val="-2"/>
        </w:rPr>
        <w:t xml:space="preserve"> </w:t>
      </w:r>
      <w:r>
        <w:rPr>
          <w:spacing w:val="-1"/>
        </w:rPr>
        <w:t>to</w:t>
      </w:r>
      <w:r>
        <w:t xml:space="preserve"> </w:t>
      </w:r>
      <w:r>
        <w:rPr>
          <w:spacing w:val="-1"/>
        </w:rPr>
        <w:t>reduce</w:t>
      </w:r>
      <w:r>
        <w:t xml:space="preserve"> </w:t>
      </w:r>
      <w:r>
        <w:rPr>
          <w:spacing w:val="-1"/>
        </w:rPr>
        <w:t>hyperuricaemia.</w:t>
      </w:r>
      <w:r>
        <w:rPr>
          <w:spacing w:val="77"/>
        </w:rPr>
        <w:t xml:space="preserve"> </w:t>
      </w:r>
      <w:r>
        <w:rPr>
          <w:spacing w:val="-1"/>
        </w:rPr>
        <w:t>Hospitalisation</w:t>
      </w:r>
      <w:r>
        <w:t xml:space="preserve"> </w:t>
      </w:r>
      <w:r>
        <w:rPr>
          <w:spacing w:val="-1"/>
        </w:rPr>
        <w:t>of</w:t>
      </w:r>
      <w:r>
        <w:rPr>
          <w:spacing w:val="1"/>
        </w:rPr>
        <w:t xml:space="preserve"> </w:t>
      </w:r>
      <w:r>
        <w:rPr>
          <w:spacing w:val="-1"/>
        </w:rPr>
        <w:t>the</w:t>
      </w:r>
      <w:r>
        <w:t xml:space="preserve"> </w:t>
      </w:r>
      <w:r>
        <w:rPr>
          <w:spacing w:val="-1"/>
        </w:rPr>
        <w:t>patient</w:t>
      </w:r>
      <w:r>
        <w:rPr>
          <w:spacing w:val="1"/>
        </w:rPr>
        <w:t xml:space="preserve"> </w:t>
      </w:r>
      <w:r>
        <w:rPr>
          <w:spacing w:val="-1"/>
        </w:rPr>
        <w:t>will</w:t>
      </w:r>
      <w:r>
        <w:rPr>
          <w:spacing w:val="1"/>
        </w:rPr>
        <w:t xml:space="preserve"> </w:t>
      </w:r>
      <w:r>
        <w:rPr>
          <w:spacing w:val="-2"/>
        </w:rPr>
        <w:t>be</w:t>
      </w:r>
      <w:r>
        <w:t xml:space="preserve"> </w:t>
      </w:r>
      <w:r>
        <w:rPr>
          <w:spacing w:val="-1"/>
        </w:rPr>
        <w:t>at</w:t>
      </w:r>
      <w:r>
        <w:rPr>
          <w:spacing w:val="1"/>
        </w:rPr>
        <w:t xml:space="preserve"> </w:t>
      </w:r>
      <w:r>
        <w:rPr>
          <w:spacing w:val="-1"/>
        </w:rPr>
        <w:t>physician’s</w:t>
      </w:r>
      <w:r>
        <w:t xml:space="preserve"> </w:t>
      </w:r>
      <w:r>
        <w:rPr>
          <w:spacing w:val="-1"/>
        </w:rPr>
        <w:t>discretion.</w:t>
      </w:r>
      <w:r w:rsidR="00080085">
        <w:br/>
      </w:r>
      <w:r>
        <w:rPr>
          <w:spacing w:val="-3"/>
        </w:rPr>
        <w:t>In</w:t>
      </w:r>
      <w:r>
        <w:t xml:space="preserve"> </w:t>
      </w:r>
      <w:r>
        <w:rPr>
          <w:spacing w:val="-1"/>
        </w:rPr>
        <w:t>patients</w:t>
      </w:r>
      <w:r>
        <w:t xml:space="preserve"> </w:t>
      </w:r>
      <w:r>
        <w:rPr>
          <w:spacing w:val="-1"/>
        </w:rPr>
        <w:t>with</w:t>
      </w:r>
      <w:r>
        <w:t xml:space="preserve"> </w:t>
      </w:r>
      <w:r>
        <w:rPr>
          <w:spacing w:val="-1"/>
        </w:rPr>
        <w:t>Grade</w:t>
      </w:r>
      <w:r>
        <w:t xml:space="preserve"> 2</w:t>
      </w:r>
      <w:r>
        <w:rPr>
          <w:spacing w:val="-2"/>
        </w:rPr>
        <w:t xml:space="preserve"> </w:t>
      </w:r>
      <w:r>
        <w:t>to</w:t>
      </w:r>
      <w:r>
        <w:rPr>
          <w:spacing w:val="-2"/>
        </w:rPr>
        <w:t xml:space="preserve"> </w:t>
      </w:r>
      <w:r>
        <w:t xml:space="preserve">4 </w:t>
      </w:r>
      <w:r>
        <w:rPr>
          <w:spacing w:val="-1"/>
        </w:rPr>
        <w:t>clinical</w:t>
      </w:r>
      <w:r>
        <w:rPr>
          <w:spacing w:val="-4"/>
        </w:rPr>
        <w:t xml:space="preserve"> </w:t>
      </w:r>
      <w:r>
        <w:t xml:space="preserve">TLS, </w:t>
      </w:r>
      <w:r>
        <w:rPr>
          <w:spacing w:val="-1"/>
        </w:rPr>
        <w:t>interrupt</w:t>
      </w:r>
      <w:r>
        <w:rPr>
          <w:spacing w:val="-2"/>
        </w:rPr>
        <w:t xml:space="preserve"> </w:t>
      </w:r>
      <w:r>
        <w:rPr>
          <w:spacing w:val="-1"/>
        </w:rPr>
        <w:t>lenalidomide</w:t>
      </w:r>
      <w:r>
        <w:t xml:space="preserve"> and </w:t>
      </w:r>
      <w:r>
        <w:rPr>
          <w:spacing w:val="-1"/>
        </w:rPr>
        <w:t>obtain</w:t>
      </w:r>
      <w:r>
        <w:t xml:space="preserve"> a</w:t>
      </w:r>
      <w:r>
        <w:rPr>
          <w:spacing w:val="-2"/>
        </w:rPr>
        <w:t xml:space="preserve"> </w:t>
      </w:r>
      <w:r>
        <w:rPr>
          <w:spacing w:val="-1"/>
        </w:rPr>
        <w:t>chemistry</w:t>
      </w:r>
      <w:r>
        <w:rPr>
          <w:spacing w:val="-2"/>
        </w:rPr>
        <w:t xml:space="preserve"> </w:t>
      </w:r>
      <w:r>
        <w:t>panel</w:t>
      </w:r>
      <w:r>
        <w:rPr>
          <w:spacing w:val="1"/>
        </w:rPr>
        <w:t xml:space="preserve"> </w:t>
      </w:r>
      <w:r>
        <w:rPr>
          <w:spacing w:val="-1"/>
        </w:rPr>
        <w:t>weekly</w:t>
      </w:r>
      <w:r>
        <w:rPr>
          <w:spacing w:val="-3"/>
        </w:rPr>
        <w:t xml:space="preserve"> </w:t>
      </w:r>
      <w:r>
        <w:t>or</w:t>
      </w:r>
      <w:r>
        <w:rPr>
          <w:spacing w:val="1"/>
        </w:rPr>
        <w:t xml:space="preserve"> </w:t>
      </w:r>
      <w:r>
        <w:t>as</w:t>
      </w:r>
      <w:r>
        <w:rPr>
          <w:spacing w:val="67"/>
        </w:rPr>
        <w:t xml:space="preserve"> </w:t>
      </w:r>
      <w:r>
        <w:rPr>
          <w:spacing w:val="-1"/>
        </w:rPr>
        <w:t>clinically</w:t>
      </w:r>
      <w:r>
        <w:rPr>
          <w:spacing w:val="-3"/>
        </w:rPr>
        <w:t xml:space="preserve"> </w:t>
      </w:r>
      <w:r>
        <w:rPr>
          <w:spacing w:val="-1"/>
        </w:rPr>
        <w:t>indicated.</w:t>
      </w:r>
      <w:r>
        <w:rPr>
          <w:spacing w:val="-2"/>
        </w:rPr>
        <w:t xml:space="preserve"> </w:t>
      </w:r>
      <w:r>
        <w:rPr>
          <w:spacing w:val="-1"/>
        </w:rPr>
        <w:t>Vigorous</w:t>
      </w:r>
      <w:r>
        <w:t xml:space="preserve"> </w:t>
      </w:r>
      <w:r>
        <w:rPr>
          <w:spacing w:val="-1"/>
        </w:rPr>
        <w:t>intravenous</w:t>
      </w:r>
      <w:r>
        <w:t xml:space="preserve"> </w:t>
      </w:r>
      <w:r>
        <w:rPr>
          <w:spacing w:val="-1"/>
        </w:rPr>
        <w:t>hydration</w:t>
      </w:r>
      <w:r>
        <w:t xml:space="preserve"> </w:t>
      </w:r>
      <w:r>
        <w:rPr>
          <w:spacing w:val="-1"/>
        </w:rPr>
        <w:t>should</w:t>
      </w:r>
      <w:r>
        <w:t xml:space="preserve"> </w:t>
      </w:r>
      <w:r>
        <w:rPr>
          <w:spacing w:val="-2"/>
        </w:rPr>
        <w:t>be</w:t>
      </w:r>
      <w:r>
        <w:t xml:space="preserve"> </w:t>
      </w:r>
      <w:r>
        <w:rPr>
          <w:spacing w:val="-1"/>
        </w:rPr>
        <w:t>provided</w:t>
      </w:r>
      <w:r>
        <w:t xml:space="preserve"> </w:t>
      </w:r>
      <w:r>
        <w:rPr>
          <w:spacing w:val="-1"/>
        </w:rPr>
        <w:t>and</w:t>
      </w:r>
      <w:r>
        <w:t xml:space="preserve"> </w:t>
      </w:r>
      <w:r>
        <w:rPr>
          <w:spacing w:val="-1"/>
        </w:rPr>
        <w:t>appropriate</w:t>
      </w:r>
      <w:r>
        <w:t xml:space="preserve"> </w:t>
      </w:r>
      <w:r>
        <w:rPr>
          <w:spacing w:val="-1"/>
        </w:rPr>
        <w:t>medical</w:t>
      </w:r>
      <w:r>
        <w:rPr>
          <w:spacing w:val="81"/>
        </w:rPr>
        <w:t xml:space="preserve"> </w:t>
      </w:r>
      <w:r>
        <w:rPr>
          <w:spacing w:val="-1"/>
        </w:rPr>
        <w:t>management</w:t>
      </w:r>
      <w:r>
        <w:rPr>
          <w:spacing w:val="1"/>
        </w:rPr>
        <w:t xml:space="preserve"> </w:t>
      </w:r>
      <w:r>
        <w:rPr>
          <w:spacing w:val="-1"/>
        </w:rPr>
        <w:t>according</w:t>
      </w:r>
      <w:r>
        <w:rPr>
          <w:spacing w:val="-2"/>
        </w:rPr>
        <w:t xml:space="preserve"> </w:t>
      </w:r>
      <w:r>
        <w:t>to</w:t>
      </w:r>
      <w:r>
        <w:rPr>
          <w:spacing w:val="-3"/>
        </w:rPr>
        <w:t xml:space="preserve"> </w:t>
      </w:r>
      <w:r>
        <w:rPr>
          <w:spacing w:val="-1"/>
        </w:rPr>
        <w:t>the</w:t>
      </w:r>
      <w:r>
        <w:t xml:space="preserve"> </w:t>
      </w:r>
      <w:r>
        <w:rPr>
          <w:spacing w:val="-1"/>
        </w:rPr>
        <w:t>local standard</w:t>
      </w:r>
      <w:r>
        <w:t xml:space="preserve"> </w:t>
      </w:r>
      <w:r>
        <w:rPr>
          <w:spacing w:val="-2"/>
        </w:rPr>
        <w:t>of</w:t>
      </w:r>
      <w:r>
        <w:rPr>
          <w:spacing w:val="1"/>
        </w:rPr>
        <w:t xml:space="preserve"> </w:t>
      </w:r>
      <w:r>
        <w:rPr>
          <w:spacing w:val="-1"/>
        </w:rPr>
        <w:t>care,</w:t>
      </w:r>
      <w:r>
        <w:t xml:space="preserve"> </w:t>
      </w:r>
      <w:r>
        <w:rPr>
          <w:spacing w:val="-1"/>
        </w:rPr>
        <w:t>until</w:t>
      </w:r>
      <w:r>
        <w:rPr>
          <w:spacing w:val="1"/>
        </w:rPr>
        <w:t xml:space="preserve"> </w:t>
      </w:r>
      <w:r>
        <w:rPr>
          <w:spacing w:val="-1"/>
        </w:rPr>
        <w:t>correction</w:t>
      </w:r>
      <w:r>
        <w:rPr>
          <w:spacing w:val="-3"/>
        </w:rPr>
        <w:t xml:space="preserve"> </w:t>
      </w:r>
      <w:r>
        <w:t>of</w:t>
      </w:r>
      <w:r>
        <w:rPr>
          <w:spacing w:val="1"/>
        </w:rPr>
        <w:t xml:space="preserve"> </w:t>
      </w:r>
      <w:r>
        <w:rPr>
          <w:spacing w:val="-1"/>
        </w:rPr>
        <w:t>electrolyte</w:t>
      </w:r>
      <w:r>
        <w:t xml:space="preserve"> </w:t>
      </w:r>
      <w:r>
        <w:rPr>
          <w:spacing w:val="-1"/>
        </w:rPr>
        <w:t>abnormalities.</w:t>
      </w:r>
      <w:r w:rsidR="00080085">
        <w:br/>
      </w:r>
      <w:r>
        <w:rPr>
          <w:spacing w:val="-1"/>
        </w:rPr>
        <w:t>Rasburicase</w:t>
      </w:r>
      <w:r>
        <w:rPr>
          <w:spacing w:val="-2"/>
        </w:rPr>
        <w:t xml:space="preserve"> </w:t>
      </w:r>
      <w:r>
        <w:rPr>
          <w:spacing w:val="-1"/>
        </w:rPr>
        <w:t>therapy</w:t>
      </w:r>
      <w:r>
        <w:rPr>
          <w:spacing w:val="-3"/>
        </w:rPr>
        <w:t xml:space="preserve"> </w:t>
      </w:r>
      <w:r>
        <w:t xml:space="preserve">and </w:t>
      </w:r>
      <w:r>
        <w:rPr>
          <w:spacing w:val="-1"/>
        </w:rPr>
        <w:t>hospitalisation</w:t>
      </w:r>
      <w:r>
        <w:t xml:space="preserve"> </w:t>
      </w:r>
      <w:r>
        <w:rPr>
          <w:spacing w:val="-1"/>
        </w:rPr>
        <w:t>will</w:t>
      </w:r>
      <w:r>
        <w:rPr>
          <w:spacing w:val="-2"/>
        </w:rPr>
        <w:t xml:space="preserve"> </w:t>
      </w:r>
      <w:r>
        <w:t xml:space="preserve">be </w:t>
      </w:r>
      <w:r>
        <w:rPr>
          <w:spacing w:val="-2"/>
        </w:rPr>
        <w:t>at</w:t>
      </w:r>
      <w:r>
        <w:rPr>
          <w:spacing w:val="1"/>
        </w:rPr>
        <w:t xml:space="preserve"> </w:t>
      </w:r>
      <w:r>
        <w:rPr>
          <w:spacing w:val="-1"/>
        </w:rPr>
        <w:t>physician’s</w:t>
      </w:r>
      <w:r>
        <w:t xml:space="preserve"> </w:t>
      </w:r>
      <w:r>
        <w:rPr>
          <w:spacing w:val="-1"/>
        </w:rPr>
        <w:t>discretion.</w:t>
      </w:r>
      <w:r>
        <w:rPr>
          <w:spacing w:val="-2"/>
        </w:rPr>
        <w:t xml:space="preserve"> </w:t>
      </w:r>
      <w:r>
        <w:t>When</w:t>
      </w:r>
      <w:r>
        <w:rPr>
          <w:spacing w:val="-3"/>
        </w:rPr>
        <w:t xml:space="preserve"> </w:t>
      </w:r>
      <w:r>
        <w:rPr>
          <w:spacing w:val="-1"/>
        </w:rPr>
        <w:t>the</w:t>
      </w:r>
      <w:r>
        <w:t xml:space="preserve"> TLS</w:t>
      </w:r>
      <w:r>
        <w:rPr>
          <w:spacing w:val="-3"/>
        </w:rPr>
        <w:t xml:space="preserve"> </w:t>
      </w:r>
      <w:r>
        <w:rPr>
          <w:spacing w:val="-1"/>
        </w:rPr>
        <w:t>resolves</w:t>
      </w:r>
      <w:r>
        <w:rPr>
          <w:spacing w:val="-2"/>
        </w:rPr>
        <w:t xml:space="preserve"> </w:t>
      </w:r>
      <w:r>
        <w:t xml:space="preserve">to </w:t>
      </w:r>
      <w:r>
        <w:rPr>
          <w:spacing w:val="-1"/>
        </w:rPr>
        <w:t>Grade</w:t>
      </w:r>
      <w:r>
        <w:t xml:space="preserve"> 0,</w:t>
      </w:r>
      <w:r>
        <w:rPr>
          <w:spacing w:val="75"/>
        </w:rPr>
        <w:t xml:space="preserve"> </w:t>
      </w:r>
      <w:r>
        <w:rPr>
          <w:spacing w:val="-1"/>
        </w:rPr>
        <w:t>restart lenalidomide</w:t>
      </w:r>
      <w:r>
        <w:rPr>
          <w:spacing w:val="1"/>
        </w:rPr>
        <w:t xml:space="preserve"> </w:t>
      </w:r>
      <w:r>
        <w:t>at</w:t>
      </w:r>
      <w:r>
        <w:rPr>
          <w:spacing w:val="-2"/>
        </w:rPr>
        <w:t xml:space="preserve"> </w:t>
      </w:r>
      <w:r>
        <w:rPr>
          <w:spacing w:val="-1"/>
        </w:rPr>
        <w:t>next</w:t>
      </w:r>
      <w:r>
        <w:rPr>
          <w:spacing w:val="-2"/>
        </w:rPr>
        <w:t xml:space="preserve"> </w:t>
      </w:r>
      <w:r>
        <w:t>lower</w:t>
      </w:r>
      <w:r>
        <w:rPr>
          <w:spacing w:val="-2"/>
        </w:rPr>
        <w:t xml:space="preserve"> </w:t>
      </w:r>
      <w:r>
        <w:t>dose</w:t>
      </w:r>
      <w:r>
        <w:rPr>
          <w:spacing w:val="-2"/>
        </w:rPr>
        <w:t xml:space="preserve"> </w:t>
      </w:r>
      <w:r>
        <w:t>per</w:t>
      </w:r>
      <w:r>
        <w:rPr>
          <w:spacing w:val="-2"/>
        </w:rPr>
        <w:t xml:space="preserve"> </w:t>
      </w:r>
      <w:r>
        <w:rPr>
          <w:spacing w:val="-1"/>
        </w:rPr>
        <w:t>physician’s</w:t>
      </w:r>
      <w:r>
        <w:rPr>
          <w:spacing w:val="-2"/>
        </w:rPr>
        <w:t xml:space="preserve"> </w:t>
      </w:r>
      <w:r>
        <w:rPr>
          <w:spacing w:val="-1"/>
        </w:rPr>
        <w:t>discretion</w:t>
      </w:r>
      <w:r>
        <w:rPr>
          <w:spacing w:val="-2"/>
        </w:rPr>
        <w:t xml:space="preserve"> </w:t>
      </w:r>
      <w:r>
        <w:rPr>
          <w:spacing w:val="-1"/>
        </w:rPr>
        <w:t>(see</w:t>
      </w:r>
      <w:r>
        <w:rPr>
          <w:spacing w:val="1"/>
        </w:rPr>
        <w:t xml:space="preserve"> </w:t>
      </w:r>
      <w:r>
        <w:rPr>
          <w:spacing w:val="-1"/>
        </w:rPr>
        <w:t>section</w:t>
      </w:r>
      <w:r>
        <w:rPr>
          <w:spacing w:val="-2"/>
        </w:rPr>
        <w:t xml:space="preserve"> </w:t>
      </w:r>
      <w:r>
        <w:t>4.4).</w:t>
      </w:r>
      <w:r w:rsidR="00080085">
        <w:br/>
      </w:r>
      <w:r w:rsidR="00080085">
        <w:br/>
      </w:r>
      <w:r w:rsidR="00080085" w:rsidRPr="004273C8">
        <w:rPr>
          <w:i/>
        </w:rPr>
        <w:t>Tumour flare reaction</w:t>
      </w:r>
      <w:r w:rsidR="00080085">
        <w:br/>
        <w:t>At the physician’s discretion, lenalidomide may be continued in patients with Grade 1 or 2 tumour flare reaction (TFR) without interruption or modification. At the physician’s discretion, therapy with non-steroidal anti-inflammatory drugs (NSAIDs), limited duration corticosteroids, and/or narcotic analgesics may be administered. In patients with Grade 3 or 4 TFR, withhold treatment with lenalidomide and initiate therapy with NSAIDs, corticosteroids and/or narcotic analgesics. When TFR resolves to ≤ Grade 1, restart lenalidomide treatment at the same dose level for the rest of the cycle. Patients may be treated for management of symptoms per the guidance for treatment of Grade 1 and 2 TFR (see section 4.4).</w:t>
      </w:r>
    </w:p>
    <w:p w:rsidR="00117F34" w:rsidRPr="00335062" w:rsidRDefault="00117F34" w:rsidP="00AB7A9E"/>
    <w:p w:rsidR="00506994" w:rsidRPr="004273C8" w:rsidRDefault="00506994" w:rsidP="00AB7A9E">
      <w:pPr>
        <w:rPr>
          <w:i/>
          <w:u w:val="single"/>
        </w:rPr>
      </w:pPr>
      <w:r w:rsidRPr="004273C8">
        <w:rPr>
          <w:rFonts w:eastAsia="Times New Roman"/>
          <w:i/>
          <w:iCs/>
          <w:u w:val="single"/>
        </w:rPr>
        <w:t xml:space="preserve">All </w:t>
      </w:r>
      <w:r w:rsidR="000317D3" w:rsidRPr="004273C8">
        <w:rPr>
          <w:rFonts w:eastAsia="Times New Roman"/>
          <w:i/>
          <w:iCs/>
          <w:u w:val="single"/>
        </w:rPr>
        <w:t>indications</w:t>
      </w:r>
    </w:p>
    <w:p w:rsidR="00506994" w:rsidRPr="00335062" w:rsidRDefault="00506994" w:rsidP="00AB7A9E">
      <w:pPr>
        <w:ind w:right="220"/>
      </w:pPr>
      <w:r w:rsidRPr="00335062">
        <w:rPr>
          <w:rFonts w:eastAsia="Times New Roman"/>
        </w:rPr>
        <w:t xml:space="preserve">For other </w:t>
      </w:r>
      <w:r w:rsidR="00117F34">
        <w:rPr>
          <w:rFonts w:eastAsia="Times New Roman"/>
        </w:rPr>
        <w:t>G</w:t>
      </w:r>
      <w:r w:rsidRPr="00335062">
        <w:rPr>
          <w:rFonts w:eastAsia="Times New Roman"/>
        </w:rPr>
        <w:t xml:space="preserve">rade 3 or 4 toxicities judged to be related to lenalidomide, treatment should be stopped and only restarted at next lower dose level when toxicity has resolved to ≤ </w:t>
      </w:r>
      <w:r w:rsidR="00117F34">
        <w:rPr>
          <w:rFonts w:eastAsia="Times New Roman"/>
        </w:rPr>
        <w:t>G</w:t>
      </w:r>
      <w:r w:rsidRPr="00335062">
        <w:rPr>
          <w:rFonts w:eastAsia="Times New Roman"/>
        </w:rPr>
        <w:t>rade 2 depending on the physician’s discretion.</w:t>
      </w:r>
    </w:p>
    <w:p w:rsidR="00506994" w:rsidRPr="00335062" w:rsidRDefault="00506994" w:rsidP="00AB7A9E"/>
    <w:p w:rsidR="00506994" w:rsidRPr="00335062" w:rsidRDefault="00506994" w:rsidP="00AB7A9E">
      <w:pPr>
        <w:ind w:right="160"/>
      </w:pPr>
      <w:r w:rsidRPr="00335062">
        <w:rPr>
          <w:rFonts w:eastAsia="Times New Roman"/>
        </w:rPr>
        <w:t xml:space="preserve">Lenalidomide interruption or discontinuation should be considered for </w:t>
      </w:r>
      <w:r w:rsidR="00117F34">
        <w:rPr>
          <w:rFonts w:eastAsia="Times New Roman"/>
        </w:rPr>
        <w:t>G</w:t>
      </w:r>
      <w:r w:rsidRPr="00335062">
        <w:rPr>
          <w:rFonts w:eastAsia="Times New Roman"/>
        </w:rPr>
        <w:t xml:space="preserve">rade 2 or 3 skin rash. Lenalidomide must be discontinued for angioedema, </w:t>
      </w:r>
      <w:r w:rsidR="008820D9">
        <w:rPr>
          <w:rFonts w:eastAsia="Times New Roman"/>
        </w:rPr>
        <w:t xml:space="preserve">anaphylactic reaction, </w:t>
      </w:r>
      <w:r w:rsidR="00DC3D17">
        <w:rPr>
          <w:rFonts w:eastAsia="Times New Roman"/>
        </w:rPr>
        <w:t>G</w:t>
      </w:r>
      <w:r w:rsidRPr="00335062">
        <w:rPr>
          <w:rFonts w:eastAsia="Times New Roman"/>
        </w:rPr>
        <w:t>rade 4 rash, exfoliative or bullous rash, or if Stevens-Johnson syndrome (SJS)</w:t>
      </w:r>
      <w:r w:rsidR="002115F3">
        <w:rPr>
          <w:rFonts w:eastAsia="Times New Roman"/>
        </w:rPr>
        <w:t>,</w:t>
      </w:r>
      <w:r w:rsidRPr="00335062">
        <w:rPr>
          <w:rFonts w:eastAsia="Times New Roman"/>
        </w:rPr>
        <w:t xml:space="preserve"> toxic epidermal necrolysis (TEN)</w:t>
      </w:r>
      <w:r w:rsidR="002115F3">
        <w:rPr>
          <w:rFonts w:eastAsia="Times New Roman"/>
        </w:rPr>
        <w:t xml:space="preserve"> or Drug Reaction with Eosinophilia and Systemic Symptoms (DRESS)</w:t>
      </w:r>
      <w:r w:rsidRPr="00335062">
        <w:rPr>
          <w:rFonts w:eastAsia="Times New Roman"/>
        </w:rPr>
        <w:t xml:space="preserve"> is suspected, and should not be resumed following discontinuation from these reactions.</w:t>
      </w:r>
    </w:p>
    <w:p w:rsidR="00506994" w:rsidRPr="00335062" w:rsidRDefault="00506994" w:rsidP="00AB7A9E"/>
    <w:p w:rsidR="00506994" w:rsidRPr="00335062" w:rsidRDefault="00506994" w:rsidP="00AB7A9E">
      <w:r w:rsidRPr="00335062">
        <w:rPr>
          <w:rFonts w:eastAsia="Times New Roman"/>
          <w:u w:val="single"/>
        </w:rPr>
        <w:t>Special populations</w:t>
      </w:r>
    </w:p>
    <w:p w:rsidR="00506994" w:rsidRPr="004273C8" w:rsidRDefault="00506994" w:rsidP="004560FA">
      <w:pPr>
        <w:pStyle w:val="ListParagraph"/>
        <w:numPr>
          <w:ilvl w:val="0"/>
          <w:numId w:val="57"/>
        </w:numPr>
        <w:rPr>
          <w:u w:val="single"/>
        </w:rPr>
      </w:pPr>
      <w:r w:rsidRPr="004273C8">
        <w:rPr>
          <w:rFonts w:eastAsia="Times New Roman"/>
          <w:iCs/>
          <w:u w:val="single"/>
        </w:rPr>
        <w:t>Paediatric population</w:t>
      </w:r>
    </w:p>
    <w:p w:rsidR="00080085" w:rsidRDefault="00506994" w:rsidP="004273C8">
      <w:pPr>
        <w:ind w:right="320"/>
        <w:rPr>
          <w:rFonts w:eastAsia="Times New Roman"/>
          <w:i/>
          <w:iCs/>
        </w:rPr>
      </w:pPr>
      <w:r w:rsidRPr="00D77DFF">
        <w:rPr>
          <w:rFonts w:eastAsia="Times New Roman"/>
        </w:rPr>
        <w:t xml:space="preserve">[Product name] should not be used in children and adolescents from birth to less than 18 years because of safety concerns (see section </w:t>
      </w:r>
      <w:r w:rsidR="00A10569">
        <w:rPr>
          <w:rFonts w:eastAsia="Times New Roman"/>
        </w:rPr>
        <w:t>5.1</w:t>
      </w:r>
      <w:r w:rsidRPr="00D77DFF">
        <w:rPr>
          <w:rFonts w:eastAsia="Times New Roman"/>
        </w:rPr>
        <w:t>).</w:t>
      </w:r>
    </w:p>
    <w:p w:rsidR="00080085" w:rsidRDefault="00080085" w:rsidP="00AB7A9E">
      <w:pPr>
        <w:rPr>
          <w:rFonts w:eastAsia="Times New Roman"/>
          <w:i/>
          <w:iCs/>
        </w:rPr>
      </w:pPr>
    </w:p>
    <w:p w:rsidR="00506994" w:rsidRPr="004273C8" w:rsidRDefault="00506994" w:rsidP="004273C8">
      <w:pPr>
        <w:pStyle w:val="ListParagraph"/>
        <w:numPr>
          <w:ilvl w:val="0"/>
          <w:numId w:val="57"/>
        </w:numPr>
        <w:rPr>
          <w:u w:val="single"/>
        </w:rPr>
      </w:pPr>
      <w:r w:rsidRPr="004273C8">
        <w:rPr>
          <w:rFonts w:eastAsia="Times New Roman"/>
          <w:iCs/>
          <w:u w:val="single"/>
        </w:rPr>
        <w:t>Elderly</w:t>
      </w:r>
    </w:p>
    <w:p w:rsidR="00506994" w:rsidRPr="00335062" w:rsidRDefault="00506994" w:rsidP="00AB7A9E">
      <w:r w:rsidRPr="00335062">
        <w:rPr>
          <w:rFonts w:eastAsia="Times New Roman"/>
        </w:rPr>
        <w:t>Currently available pharmacokinetic data are described in section 5.2. Lenalidomide has been used in clinical trials in multiple myeloma patients up to 91 years of age</w:t>
      </w:r>
      <w:r w:rsidR="00C13AFC">
        <w:rPr>
          <w:rFonts w:eastAsia="Times New Roman"/>
        </w:rPr>
        <w:t xml:space="preserve">, </w:t>
      </w:r>
      <w:r w:rsidR="00C13AFC" w:rsidRPr="00B2301B">
        <w:rPr>
          <w:rFonts w:eastAsia="Times New Roman"/>
          <w:shd w:val="clear" w:color="auto" w:fill="FDE9D9" w:themeFill="accent6" w:themeFillTint="33"/>
        </w:rPr>
        <w:t>in myelodyspla</w:t>
      </w:r>
      <w:r w:rsidR="00745A94" w:rsidRPr="00B2301B">
        <w:rPr>
          <w:rFonts w:eastAsia="Times New Roman"/>
          <w:shd w:val="clear" w:color="auto" w:fill="FDE9D9" w:themeFill="accent6" w:themeFillTint="33"/>
        </w:rPr>
        <w:t>s</w:t>
      </w:r>
      <w:r w:rsidR="00C13AFC" w:rsidRPr="00B2301B">
        <w:rPr>
          <w:rFonts w:eastAsia="Times New Roman"/>
          <w:shd w:val="clear" w:color="auto" w:fill="FDE9D9" w:themeFill="accent6" w:themeFillTint="33"/>
        </w:rPr>
        <w:t>tic syndromes patients up to 95 years of</w:t>
      </w:r>
      <w:r w:rsidR="00C13AFC">
        <w:rPr>
          <w:rFonts w:eastAsia="Times New Roman"/>
        </w:rPr>
        <w:t xml:space="preserve"> </w:t>
      </w:r>
      <w:r w:rsidR="00C13AFC" w:rsidRPr="00B2301B">
        <w:rPr>
          <w:rFonts w:eastAsia="Times New Roman"/>
          <w:shd w:val="clear" w:color="auto" w:fill="DBE5F1" w:themeFill="accent1" w:themeFillTint="33"/>
        </w:rPr>
        <w:t>age and in mantle cell lymphoma patients up to 88 years of age</w:t>
      </w:r>
      <w:r w:rsidRPr="00335062">
        <w:rPr>
          <w:rFonts w:eastAsia="Times New Roman"/>
        </w:rPr>
        <w:t xml:space="preserve"> (see section 5.1).</w:t>
      </w:r>
    </w:p>
    <w:p w:rsidR="00506994" w:rsidRPr="00335062" w:rsidRDefault="00506994" w:rsidP="00AB7A9E"/>
    <w:p w:rsidR="00052277" w:rsidRDefault="00052277" w:rsidP="00AB7A9E">
      <w:pPr>
        <w:autoSpaceDE w:val="0"/>
        <w:autoSpaceDN w:val="0"/>
        <w:adjustRightInd w:val="0"/>
        <w:rPr>
          <w:rFonts w:eastAsia="Times New Roman"/>
        </w:rPr>
      </w:pPr>
      <w:r>
        <w:rPr>
          <w:rFonts w:eastAsia="Times New Roman"/>
        </w:rPr>
        <w:t>Because elderly patients are more likely to have decreased renal function, care should be taken in dose</w:t>
      </w:r>
    </w:p>
    <w:p w:rsidR="002A4B38" w:rsidRDefault="00052277" w:rsidP="00AB7A9E">
      <w:pPr>
        <w:pStyle w:val="ListParagraph"/>
        <w:tabs>
          <w:tab w:val="left" w:pos="721"/>
        </w:tabs>
        <w:ind w:left="0"/>
        <w:rPr>
          <w:rFonts w:eastAsia="Times New Roman"/>
        </w:rPr>
      </w:pPr>
      <w:r>
        <w:rPr>
          <w:rFonts w:eastAsia="Times New Roman"/>
        </w:rPr>
        <w:t>selection and it would be prudent to monitor renal function.</w:t>
      </w:r>
    </w:p>
    <w:p w:rsidR="00052277" w:rsidRDefault="00052277" w:rsidP="00AB7A9E">
      <w:pPr>
        <w:pStyle w:val="ListParagraph"/>
        <w:tabs>
          <w:tab w:val="left" w:pos="721"/>
        </w:tabs>
        <w:ind w:left="0"/>
      </w:pPr>
    </w:p>
    <w:p w:rsidR="00506994" w:rsidRPr="004273C8" w:rsidRDefault="00506994" w:rsidP="004273C8">
      <w:pPr>
        <w:tabs>
          <w:tab w:val="left" w:pos="721"/>
        </w:tabs>
        <w:rPr>
          <w:rFonts w:eastAsia="Symbol"/>
          <w:i/>
        </w:rPr>
      </w:pPr>
      <w:r w:rsidRPr="004273C8">
        <w:rPr>
          <w:rFonts w:eastAsia="Times New Roman"/>
          <w:i/>
        </w:rPr>
        <w:t>Newly diagnosed multiple myeloma</w:t>
      </w:r>
      <w:r w:rsidR="000151CA" w:rsidRPr="004273C8">
        <w:rPr>
          <w:rFonts w:eastAsia="Times New Roman"/>
          <w:i/>
        </w:rPr>
        <w:t>: patients who are not eligible for transplant</w:t>
      </w:r>
    </w:p>
    <w:p w:rsidR="00052277" w:rsidRDefault="00052277" w:rsidP="00AB7A9E">
      <w:pPr>
        <w:autoSpaceDE w:val="0"/>
        <w:autoSpaceDN w:val="0"/>
        <w:adjustRightInd w:val="0"/>
        <w:rPr>
          <w:rFonts w:eastAsia="Times New Roman"/>
        </w:rPr>
      </w:pPr>
      <w:r>
        <w:rPr>
          <w:rFonts w:eastAsia="Times New Roman"/>
        </w:rPr>
        <w:t>Patients with newly diagnosed multiple myeloma aged 75 years and older should be carefully assessed</w:t>
      </w:r>
    </w:p>
    <w:p w:rsidR="00052277" w:rsidRDefault="00052277" w:rsidP="00AB7A9E">
      <w:pPr>
        <w:autoSpaceDE w:val="0"/>
        <w:autoSpaceDN w:val="0"/>
        <w:adjustRightInd w:val="0"/>
        <w:rPr>
          <w:rFonts w:eastAsia="Times New Roman"/>
        </w:rPr>
      </w:pPr>
      <w:r>
        <w:rPr>
          <w:rFonts w:eastAsia="Times New Roman"/>
        </w:rPr>
        <w:t>before treatment is considered (see section 4.4).</w:t>
      </w:r>
    </w:p>
    <w:p w:rsidR="00052277" w:rsidRDefault="00052277" w:rsidP="00AB7A9E">
      <w:pPr>
        <w:autoSpaceDE w:val="0"/>
        <w:autoSpaceDN w:val="0"/>
        <w:adjustRightInd w:val="0"/>
        <w:rPr>
          <w:rFonts w:eastAsia="Times New Roman"/>
        </w:rPr>
      </w:pPr>
    </w:p>
    <w:p w:rsidR="00052277" w:rsidRDefault="00052277" w:rsidP="00AB7A9E">
      <w:pPr>
        <w:autoSpaceDE w:val="0"/>
        <w:autoSpaceDN w:val="0"/>
        <w:adjustRightInd w:val="0"/>
        <w:rPr>
          <w:rFonts w:eastAsia="Times New Roman"/>
        </w:rPr>
      </w:pPr>
      <w:r>
        <w:rPr>
          <w:rFonts w:eastAsia="Times New Roman"/>
        </w:rPr>
        <w:t>For patients older than 75 years of age treated with lenalidomide in combination with dexamethasone, the</w:t>
      </w:r>
    </w:p>
    <w:p w:rsidR="00052277" w:rsidRDefault="00052277" w:rsidP="00AB7A9E">
      <w:pPr>
        <w:rPr>
          <w:rFonts w:eastAsia="Times New Roman"/>
        </w:rPr>
      </w:pPr>
      <w:r>
        <w:rPr>
          <w:rFonts w:eastAsia="Times New Roman"/>
        </w:rPr>
        <w:t>starting dose of dexamethasone is 20 mg once daily on days 1, 8, 15 and 22 of each 28-day treatment cycle.</w:t>
      </w:r>
    </w:p>
    <w:p w:rsidR="00052277" w:rsidRPr="00335062" w:rsidRDefault="00052277" w:rsidP="00AB7A9E"/>
    <w:p w:rsidR="00506994" w:rsidRPr="00335062" w:rsidRDefault="00506994" w:rsidP="00AB7A9E">
      <w:pPr>
        <w:ind w:right="760"/>
      </w:pPr>
      <w:r w:rsidRPr="00335062">
        <w:rPr>
          <w:rFonts w:eastAsia="Times New Roman"/>
        </w:rPr>
        <w:t>No dose adjustment is proposed for patients older than 75 years who are treated with lenalidomide in combination with melphalan and prednisone.</w:t>
      </w:r>
    </w:p>
    <w:p w:rsidR="00506994" w:rsidRPr="00335062" w:rsidRDefault="00506994" w:rsidP="00AB7A9E"/>
    <w:p w:rsidR="00052277" w:rsidRDefault="00052277" w:rsidP="00AB7A9E">
      <w:pPr>
        <w:autoSpaceDE w:val="0"/>
        <w:autoSpaceDN w:val="0"/>
        <w:adjustRightInd w:val="0"/>
        <w:rPr>
          <w:rFonts w:eastAsia="Times New Roman"/>
        </w:rPr>
      </w:pPr>
      <w:r>
        <w:rPr>
          <w:rFonts w:eastAsia="Times New Roman"/>
        </w:rPr>
        <w:t>In patients with newly diagnosed multiple myeloma aged 75 years and older who received lenalidomide,</w:t>
      </w:r>
    </w:p>
    <w:p w:rsidR="00052277" w:rsidRDefault="00052277" w:rsidP="00AB7A9E">
      <w:pPr>
        <w:autoSpaceDE w:val="0"/>
        <w:autoSpaceDN w:val="0"/>
        <w:adjustRightInd w:val="0"/>
        <w:rPr>
          <w:rFonts w:eastAsia="Times New Roman"/>
        </w:rPr>
      </w:pPr>
      <w:r>
        <w:rPr>
          <w:rFonts w:eastAsia="Times New Roman"/>
        </w:rPr>
        <w:t>there was a higher incidence of serious adverse reactions and adverse reactions that led to treatment</w:t>
      </w:r>
    </w:p>
    <w:p w:rsidR="00052277" w:rsidRDefault="00052277" w:rsidP="00AB7A9E">
      <w:pPr>
        <w:autoSpaceDE w:val="0"/>
        <w:autoSpaceDN w:val="0"/>
        <w:adjustRightInd w:val="0"/>
        <w:rPr>
          <w:rFonts w:eastAsia="Times New Roman"/>
        </w:rPr>
      </w:pPr>
      <w:r>
        <w:rPr>
          <w:rFonts w:eastAsia="Times New Roman"/>
        </w:rPr>
        <w:t>discontinuation.</w:t>
      </w:r>
    </w:p>
    <w:p w:rsidR="00052277" w:rsidRDefault="00052277" w:rsidP="00AB7A9E">
      <w:pPr>
        <w:autoSpaceDE w:val="0"/>
        <w:autoSpaceDN w:val="0"/>
        <w:adjustRightInd w:val="0"/>
        <w:rPr>
          <w:rFonts w:eastAsia="Times New Roman"/>
        </w:rPr>
      </w:pPr>
    </w:p>
    <w:p w:rsidR="00052277" w:rsidRDefault="00052277" w:rsidP="00AB7A9E">
      <w:pPr>
        <w:autoSpaceDE w:val="0"/>
        <w:autoSpaceDN w:val="0"/>
        <w:adjustRightInd w:val="0"/>
        <w:rPr>
          <w:rFonts w:eastAsia="Times New Roman"/>
        </w:rPr>
      </w:pPr>
      <w:r>
        <w:rPr>
          <w:rFonts w:eastAsia="Times New Roman"/>
        </w:rPr>
        <w:t>Lenalidomide combined therapy was less tolerated in newly diagnosed multiple myeloma patients older than</w:t>
      </w:r>
    </w:p>
    <w:p w:rsidR="00052277" w:rsidRDefault="00052277" w:rsidP="00AB7A9E">
      <w:pPr>
        <w:autoSpaceDE w:val="0"/>
        <w:autoSpaceDN w:val="0"/>
        <w:adjustRightInd w:val="0"/>
        <w:rPr>
          <w:rFonts w:eastAsia="Times New Roman"/>
        </w:rPr>
      </w:pPr>
      <w:r>
        <w:rPr>
          <w:rFonts w:eastAsia="Times New Roman"/>
        </w:rPr>
        <w:t>75 years of age compared to the younger population. These patients discontinued at a higher rate due to</w:t>
      </w:r>
    </w:p>
    <w:p w:rsidR="00506994" w:rsidRDefault="00052277" w:rsidP="00AB7A9E">
      <w:pPr>
        <w:rPr>
          <w:rFonts w:eastAsia="Times New Roman"/>
        </w:rPr>
      </w:pPr>
      <w:r>
        <w:rPr>
          <w:rFonts w:eastAsia="Times New Roman"/>
        </w:rPr>
        <w:t>intolerance (Grade 3 or 4 adverse events and serious adverse events), when compared to patients &lt; 75 years.</w:t>
      </w:r>
    </w:p>
    <w:p w:rsidR="00052277" w:rsidRPr="00335062" w:rsidRDefault="00052277" w:rsidP="00AB7A9E"/>
    <w:p w:rsidR="00506994" w:rsidRPr="004273C8" w:rsidRDefault="00506994" w:rsidP="004273C8">
      <w:pPr>
        <w:tabs>
          <w:tab w:val="left" w:pos="721"/>
        </w:tabs>
        <w:rPr>
          <w:rFonts w:eastAsia="Symbol"/>
          <w:i/>
        </w:rPr>
      </w:pPr>
      <w:r w:rsidRPr="004273C8">
        <w:rPr>
          <w:rFonts w:eastAsia="Times New Roman"/>
          <w:i/>
        </w:rPr>
        <w:t>Multiple myeloma</w:t>
      </w:r>
      <w:r w:rsidR="000151CA" w:rsidRPr="004273C8">
        <w:rPr>
          <w:rFonts w:eastAsia="Times New Roman"/>
          <w:i/>
        </w:rPr>
        <w:t xml:space="preserve">: patients </w:t>
      </w:r>
      <w:r w:rsidRPr="004273C8">
        <w:rPr>
          <w:rFonts w:eastAsia="Times New Roman"/>
          <w:i/>
        </w:rPr>
        <w:t>with at least one prior therapy</w:t>
      </w:r>
    </w:p>
    <w:p w:rsidR="00506994" w:rsidRDefault="00506994" w:rsidP="00AB7A9E">
      <w:pPr>
        <w:ind w:right="100"/>
        <w:rPr>
          <w:rFonts w:eastAsia="Times New Roman"/>
        </w:rPr>
      </w:pPr>
      <w:r w:rsidRPr="00335062">
        <w:rPr>
          <w:rFonts w:eastAsia="Times New Roman"/>
        </w:rPr>
        <w:t>The percentage of multiple myeloma patients aged 65 or over was not significantly different between the lenalidomide/dexamethasone and placebo/dexamethasone groups. No overall difference in safety or efficacy was observed between these patients and younger patients, but greater pre-disposition of older individuals cannot be ruled out.</w:t>
      </w:r>
    </w:p>
    <w:p w:rsidR="00C13AFC" w:rsidRDefault="00C13AFC" w:rsidP="00AB7A9E">
      <w:pPr>
        <w:ind w:right="100"/>
        <w:rPr>
          <w:rFonts w:eastAsia="Times New Roman"/>
        </w:rPr>
      </w:pPr>
    </w:p>
    <w:p w:rsidR="00C13AFC" w:rsidRPr="004273C8" w:rsidRDefault="00C13AFC" w:rsidP="00B2301B">
      <w:pPr>
        <w:shd w:val="clear" w:color="auto" w:fill="FDE9D9" w:themeFill="accent6" w:themeFillTint="33"/>
        <w:rPr>
          <w:rFonts w:eastAsia="Times New Roman"/>
          <w:i/>
        </w:rPr>
      </w:pPr>
      <w:r w:rsidRPr="004273C8">
        <w:rPr>
          <w:i/>
        </w:rPr>
        <w:t>Myelodysplastic</w:t>
      </w:r>
      <w:r w:rsidRPr="004273C8">
        <w:rPr>
          <w:i/>
          <w:spacing w:val="-2"/>
        </w:rPr>
        <w:t xml:space="preserve"> </w:t>
      </w:r>
      <w:r w:rsidRPr="004273C8">
        <w:rPr>
          <w:i/>
        </w:rPr>
        <w:t>syndromes</w:t>
      </w:r>
    </w:p>
    <w:p w:rsidR="00C13AFC" w:rsidRDefault="00C13AFC" w:rsidP="00B2301B">
      <w:pPr>
        <w:shd w:val="clear" w:color="auto" w:fill="FDE9D9" w:themeFill="accent6" w:themeFillTint="33"/>
      </w:pPr>
      <w:r>
        <w:t>For</w:t>
      </w:r>
      <w:r>
        <w:rPr>
          <w:spacing w:val="1"/>
        </w:rPr>
        <w:t xml:space="preserve"> </w:t>
      </w:r>
      <w:r>
        <w:t>myelodysplastic syndromes</w:t>
      </w:r>
      <w:r>
        <w:rPr>
          <w:spacing w:val="1"/>
        </w:rPr>
        <w:t xml:space="preserve"> </w:t>
      </w:r>
      <w:r>
        <w:t>patients</w:t>
      </w:r>
      <w:r>
        <w:rPr>
          <w:spacing w:val="-2"/>
        </w:rPr>
        <w:t xml:space="preserve"> </w:t>
      </w:r>
      <w:r>
        <w:t>treated with</w:t>
      </w:r>
      <w:r>
        <w:rPr>
          <w:spacing w:val="-2"/>
        </w:rPr>
        <w:t xml:space="preserve"> </w:t>
      </w:r>
      <w:r>
        <w:t>lenalidomide, no overall</w:t>
      </w:r>
      <w:r>
        <w:rPr>
          <w:spacing w:val="1"/>
        </w:rPr>
        <w:t xml:space="preserve"> </w:t>
      </w:r>
      <w:r>
        <w:t>difference in</w:t>
      </w:r>
      <w:r>
        <w:rPr>
          <w:spacing w:val="-3"/>
        </w:rPr>
        <w:t xml:space="preserve"> </w:t>
      </w:r>
      <w:r>
        <w:t>safety</w:t>
      </w:r>
      <w:r>
        <w:rPr>
          <w:spacing w:val="-3"/>
        </w:rPr>
        <w:t xml:space="preserve"> </w:t>
      </w:r>
      <w:r>
        <w:t>and</w:t>
      </w:r>
      <w:r>
        <w:rPr>
          <w:spacing w:val="71"/>
        </w:rPr>
        <w:t xml:space="preserve"> </w:t>
      </w:r>
      <w:r>
        <w:t>efficacy</w:t>
      </w:r>
      <w:r>
        <w:rPr>
          <w:spacing w:val="-3"/>
        </w:rPr>
        <w:t xml:space="preserve"> </w:t>
      </w:r>
      <w:r>
        <w:t>was observed between patients aged over</w:t>
      </w:r>
      <w:r>
        <w:rPr>
          <w:spacing w:val="1"/>
        </w:rPr>
        <w:t xml:space="preserve"> </w:t>
      </w:r>
      <w:r>
        <w:t>65</w:t>
      </w:r>
      <w:r>
        <w:rPr>
          <w:spacing w:val="-2"/>
        </w:rPr>
        <w:t xml:space="preserve"> </w:t>
      </w:r>
      <w:r>
        <w:t>and younger</w:t>
      </w:r>
      <w:r>
        <w:rPr>
          <w:spacing w:val="1"/>
        </w:rPr>
        <w:t xml:space="preserve"> </w:t>
      </w:r>
      <w:r>
        <w:t>patients.</w:t>
      </w:r>
    </w:p>
    <w:p w:rsidR="00C13AFC" w:rsidRDefault="00C13AFC" w:rsidP="00C13AFC">
      <w:pPr>
        <w:rPr>
          <w:rFonts w:eastAsia="Times New Roman"/>
        </w:rPr>
      </w:pPr>
    </w:p>
    <w:p w:rsidR="00C13AFC" w:rsidRPr="004273C8" w:rsidRDefault="00C13AFC" w:rsidP="00B2301B">
      <w:pPr>
        <w:shd w:val="clear" w:color="auto" w:fill="DBE5F1" w:themeFill="accent1" w:themeFillTint="33"/>
        <w:rPr>
          <w:i/>
        </w:rPr>
      </w:pPr>
      <w:r w:rsidRPr="004273C8">
        <w:rPr>
          <w:i/>
        </w:rPr>
        <w:t>Mantle cell lymphoma</w:t>
      </w:r>
    </w:p>
    <w:p w:rsidR="00C13AFC" w:rsidRDefault="00C13AFC" w:rsidP="00B2301B">
      <w:pPr>
        <w:shd w:val="clear" w:color="auto" w:fill="DBE5F1" w:themeFill="accent1" w:themeFillTint="33"/>
      </w:pPr>
      <w:r>
        <w:t>For</w:t>
      </w:r>
      <w:r>
        <w:rPr>
          <w:spacing w:val="1"/>
        </w:rPr>
        <w:t xml:space="preserve"> </w:t>
      </w:r>
      <w:r>
        <w:t>mantle</w:t>
      </w:r>
      <w:r>
        <w:rPr>
          <w:spacing w:val="-2"/>
        </w:rPr>
        <w:t xml:space="preserve"> </w:t>
      </w:r>
      <w:r>
        <w:t xml:space="preserve">cell </w:t>
      </w:r>
      <w:r>
        <w:rPr>
          <w:spacing w:val="-2"/>
        </w:rPr>
        <w:t>lymphoma</w:t>
      </w:r>
      <w:r>
        <w:rPr>
          <w:spacing w:val="3"/>
        </w:rPr>
        <w:t xml:space="preserve"> </w:t>
      </w:r>
      <w:r>
        <w:t>patients</w:t>
      </w:r>
      <w:r>
        <w:rPr>
          <w:spacing w:val="1"/>
        </w:rPr>
        <w:t xml:space="preserve"> </w:t>
      </w:r>
      <w:r>
        <w:t>treated with lenalidomide, no overall</w:t>
      </w:r>
      <w:r>
        <w:rPr>
          <w:spacing w:val="1"/>
        </w:rPr>
        <w:t xml:space="preserve"> </w:t>
      </w:r>
      <w:r>
        <w:t>difference in safety</w:t>
      </w:r>
      <w:r>
        <w:rPr>
          <w:spacing w:val="-3"/>
        </w:rPr>
        <w:t xml:space="preserve"> </w:t>
      </w:r>
      <w:r>
        <w:t>and efficacy</w:t>
      </w:r>
      <w:r>
        <w:rPr>
          <w:spacing w:val="69"/>
        </w:rPr>
        <w:t xml:space="preserve"> </w:t>
      </w:r>
      <w:r>
        <w:t>was observed between patients</w:t>
      </w:r>
      <w:r>
        <w:rPr>
          <w:spacing w:val="-2"/>
        </w:rPr>
        <w:t xml:space="preserve"> </w:t>
      </w:r>
      <w:r>
        <w:t>aged 65 years</w:t>
      </w:r>
      <w:r>
        <w:rPr>
          <w:spacing w:val="-2"/>
        </w:rPr>
        <w:t xml:space="preserve"> </w:t>
      </w:r>
      <w:r>
        <w:t>or</w:t>
      </w:r>
      <w:r>
        <w:rPr>
          <w:spacing w:val="1"/>
        </w:rPr>
        <w:t xml:space="preserve"> </w:t>
      </w:r>
      <w:r>
        <w:t>over compared with</w:t>
      </w:r>
      <w:r>
        <w:rPr>
          <w:spacing w:val="-3"/>
        </w:rPr>
        <w:t xml:space="preserve"> </w:t>
      </w:r>
      <w:r>
        <w:t>patients</w:t>
      </w:r>
      <w:r>
        <w:rPr>
          <w:spacing w:val="-2"/>
        </w:rPr>
        <w:t xml:space="preserve"> </w:t>
      </w:r>
      <w:r>
        <w:t>aged under</w:t>
      </w:r>
      <w:r>
        <w:rPr>
          <w:spacing w:val="-2"/>
        </w:rPr>
        <w:t xml:space="preserve"> </w:t>
      </w:r>
      <w:r>
        <w:t>65 years</w:t>
      </w:r>
      <w:r>
        <w:rPr>
          <w:spacing w:val="-2"/>
        </w:rPr>
        <w:t xml:space="preserve"> </w:t>
      </w:r>
      <w:r>
        <w:t>of</w:t>
      </w:r>
      <w:r>
        <w:rPr>
          <w:spacing w:val="-2"/>
        </w:rPr>
        <w:t xml:space="preserve"> </w:t>
      </w:r>
      <w:r>
        <w:t>age.</w:t>
      </w:r>
    </w:p>
    <w:p w:rsidR="00C13AFC" w:rsidRDefault="00C13AFC" w:rsidP="00C13AFC">
      <w:pPr>
        <w:rPr>
          <w:rFonts w:eastAsia="Times New Roman"/>
          <w:sz w:val="21"/>
          <w:szCs w:val="21"/>
        </w:rPr>
      </w:pPr>
    </w:p>
    <w:p w:rsidR="00C13AFC" w:rsidRPr="004273C8" w:rsidRDefault="00C13AFC" w:rsidP="00C13AFC">
      <w:pPr>
        <w:rPr>
          <w:rFonts w:eastAsia="Times New Roman"/>
          <w:i/>
        </w:rPr>
      </w:pPr>
      <w:r w:rsidRPr="004273C8">
        <w:rPr>
          <w:i/>
        </w:rPr>
        <w:t>Follicular</w:t>
      </w:r>
      <w:r w:rsidRPr="004273C8">
        <w:rPr>
          <w:i/>
          <w:spacing w:val="-2"/>
        </w:rPr>
        <w:t xml:space="preserve"> </w:t>
      </w:r>
      <w:r w:rsidRPr="004273C8">
        <w:rPr>
          <w:i/>
        </w:rPr>
        <w:t>lymphoma</w:t>
      </w:r>
    </w:p>
    <w:p w:rsidR="00C13AFC" w:rsidRPr="00C13AFC" w:rsidRDefault="00C13AFC" w:rsidP="00C13AFC">
      <w:r>
        <w:t>For</w:t>
      </w:r>
      <w:r>
        <w:rPr>
          <w:spacing w:val="1"/>
        </w:rPr>
        <w:t xml:space="preserve"> </w:t>
      </w:r>
      <w:r>
        <w:t>follicular</w:t>
      </w:r>
      <w:r>
        <w:rPr>
          <w:spacing w:val="1"/>
        </w:rPr>
        <w:t xml:space="preserve"> </w:t>
      </w:r>
      <w:r>
        <w:rPr>
          <w:spacing w:val="-2"/>
        </w:rPr>
        <w:t>lymphoma</w:t>
      </w:r>
      <w:r>
        <w:t xml:space="preserve"> patients</w:t>
      </w:r>
      <w:r>
        <w:rPr>
          <w:spacing w:val="-2"/>
        </w:rPr>
        <w:t xml:space="preserve"> </w:t>
      </w:r>
      <w:r>
        <w:t>treated with</w:t>
      </w:r>
      <w:r>
        <w:rPr>
          <w:spacing w:val="-2"/>
        </w:rPr>
        <w:t xml:space="preserve"> </w:t>
      </w:r>
      <w:r>
        <w:t>lenalidomide in combination with</w:t>
      </w:r>
      <w:r>
        <w:rPr>
          <w:spacing w:val="-3"/>
        </w:rPr>
        <w:t xml:space="preserve"> </w:t>
      </w:r>
      <w:r>
        <w:t>rituximab, the overall</w:t>
      </w:r>
      <w:r>
        <w:rPr>
          <w:spacing w:val="1"/>
        </w:rPr>
        <w:t xml:space="preserve"> </w:t>
      </w:r>
      <w:r>
        <w:t>rate of</w:t>
      </w:r>
      <w:r>
        <w:rPr>
          <w:spacing w:val="67"/>
        </w:rPr>
        <w:t xml:space="preserve"> </w:t>
      </w:r>
      <w:r>
        <w:t>adverse events</w:t>
      </w:r>
      <w:r>
        <w:rPr>
          <w:spacing w:val="-2"/>
        </w:rPr>
        <w:t xml:space="preserve"> </w:t>
      </w:r>
      <w:r>
        <w:t>is</w:t>
      </w:r>
      <w:r>
        <w:rPr>
          <w:spacing w:val="1"/>
        </w:rPr>
        <w:t xml:space="preserve"> </w:t>
      </w:r>
      <w:r>
        <w:t>similar</w:t>
      </w:r>
      <w:r>
        <w:rPr>
          <w:spacing w:val="-2"/>
        </w:rPr>
        <w:t xml:space="preserve"> </w:t>
      </w:r>
      <w:r>
        <w:t>for</w:t>
      </w:r>
      <w:r>
        <w:rPr>
          <w:spacing w:val="1"/>
        </w:rPr>
        <w:t xml:space="preserve"> </w:t>
      </w:r>
      <w:r>
        <w:t>patients</w:t>
      </w:r>
      <w:r>
        <w:rPr>
          <w:spacing w:val="-2"/>
        </w:rPr>
        <w:t xml:space="preserve"> </w:t>
      </w:r>
      <w:r>
        <w:t>aged 65 years or</w:t>
      </w:r>
      <w:r>
        <w:rPr>
          <w:spacing w:val="-2"/>
        </w:rPr>
        <w:t xml:space="preserve"> </w:t>
      </w:r>
      <w:r>
        <w:t>over</w:t>
      </w:r>
      <w:r>
        <w:rPr>
          <w:spacing w:val="1"/>
        </w:rPr>
        <w:t xml:space="preserve"> </w:t>
      </w:r>
      <w:r>
        <w:t>compared with patients under</w:t>
      </w:r>
      <w:r>
        <w:rPr>
          <w:spacing w:val="1"/>
        </w:rPr>
        <w:t xml:space="preserve"> </w:t>
      </w:r>
      <w:r>
        <w:t>65 years of</w:t>
      </w:r>
      <w:r>
        <w:rPr>
          <w:spacing w:val="-2"/>
        </w:rPr>
        <w:t xml:space="preserve"> </w:t>
      </w:r>
      <w:r>
        <w:t>age. No</w:t>
      </w:r>
      <w:r>
        <w:rPr>
          <w:spacing w:val="65"/>
        </w:rPr>
        <w:t xml:space="preserve"> </w:t>
      </w:r>
      <w:r>
        <w:t>overall</w:t>
      </w:r>
      <w:r>
        <w:rPr>
          <w:spacing w:val="-2"/>
        </w:rPr>
        <w:t xml:space="preserve"> </w:t>
      </w:r>
      <w:r>
        <w:t>difference</w:t>
      </w:r>
      <w:r>
        <w:rPr>
          <w:spacing w:val="-2"/>
        </w:rPr>
        <w:t xml:space="preserve"> </w:t>
      </w:r>
      <w:r>
        <w:t>in efficacy</w:t>
      </w:r>
      <w:r>
        <w:rPr>
          <w:spacing w:val="-2"/>
        </w:rPr>
        <w:t xml:space="preserve"> </w:t>
      </w:r>
      <w:r>
        <w:t>was observed between</w:t>
      </w:r>
      <w:r>
        <w:rPr>
          <w:spacing w:val="-3"/>
        </w:rPr>
        <w:t xml:space="preserve"> </w:t>
      </w:r>
      <w:r>
        <w:t>the two age groups.</w:t>
      </w:r>
    </w:p>
    <w:p w:rsidR="008668D8" w:rsidRPr="00335062" w:rsidRDefault="008668D8" w:rsidP="00AB7A9E">
      <w:pPr>
        <w:ind w:right="100"/>
      </w:pPr>
    </w:p>
    <w:p w:rsidR="00E75300" w:rsidRPr="004273C8" w:rsidRDefault="00E75300" w:rsidP="004560FA">
      <w:pPr>
        <w:pStyle w:val="ListParagraph"/>
        <w:numPr>
          <w:ilvl w:val="0"/>
          <w:numId w:val="57"/>
        </w:numPr>
        <w:rPr>
          <w:u w:val="single"/>
        </w:rPr>
      </w:pPr>
      <w:r w:rsidRPr="004273C8">
        <w:rPr>
          <w:rFonts w:eastAsia="Times New Roman"/>
          <w:iCs/>
          <w:u w:val="single"/>
        </w:rPr>
        <w:t>Patients with renal impairment</w:t>
      </w:r>
    </w:p>
    <w:p w:rsidR="00052277" w:rsidRDefault="00052277" w:rsidP="00AB7A9E">
      <w:pPr>
        <w:autoSpaceDE w:val="0"/>
        <w:autoSpaceDN w:val="0"/>
        <w:adjustRightInd w:val="0"/>
        <w:rPr>
          <w:rFonts w:eastAsia="Times New Roman"/>
        </w:rPr>
      </w:pPr>
      <w:r>
        <w:rPr>
          <w:rFonts w:eastAsia="Times New Roman"/>
        </w:rPr>
        <w:t>Lenalidomide is primarily excreted by the kidney; patients with greater degrees of renal impairment can have</w:t>
      </w:r>
    </w:p>
    <w:p w:rsidR="00052277" w:rsidRDefault="00052277" w:rsidP="00AB7A9E">
      <w:pPr>
        <w:autoSpaceDE w:val="0"/>
        <w:autoSpaceDN w:val="0"/>
        <w:adjustRightInd w:val="0"/>
        <w:rPr>
          <w:rFonts w:eastAsia="Times New Roman"/>
        </w:rPr>
      </w:pPr>
      <w:r>
        <w:rPr>
          <w:rFonts w:eastAsia="Times New Roman"/>
        </w:rPr>
        <w:t>impaired treatment tolerance (see section 4.4). Care should be taken in dose selection and monitoring of</w:t>
      </w:r>
    </w:p>
    <w:p w:rsidR="00052277" w:rsidRPr="00335062" w:rsidRDefault="00052277" w:rsidP="00AB7A9E">
      <w:r>
        <w:rPr>
          <w:rFonts w:eastAsia="Times New Roman"/>
        </w:rPr>
        <w:t>renal function is advised.</w:t>
      </w:r>
    </w:p>
    <w:p w:rsidR="00052277" w:rsidRDefault="00E75300" w:rsidP="00AB7A9E">
      <w:pPr>
        <w:ind w:right="240"/>
        <w:rPr>
          <w:rFonts w:eastAsia="Times New Roman"/>
        </w:rPr>
      </w:pPr>
      <w:r w:rsidRPr="00335062">
        <w:rPr>
          <w:rFonts w:eastAsia="Times New Roman"/>
        </w:rPr>
        <w:t>No dose adjustments are required for patients with mild renal impairment and multiple myeloma</w:t>
      </w:r>
      <w:r w:rsidR="00C13AFC">
        <w:rPr>
          <w:rFonts w:eastAsia="Times New Roman"/>
        </w:rPr>
        <w:t xml:space="preserve">, </w:t>
      </w:r>
      <w:r w:rsidR="00C13AFC" w:rsidRPr="00B2301B">
        <w:rPr>
          <w:rFonts w:eastAsia="Times New Roman"/>
          <w:shd w:val="clear" w:color="auto" w:fill="FDE9D9" w:themeFill="accent6" w:themeFillTint="33"/>
        </w:rPr>
        <w:t>myelodysplastic syndromes</w:t>
      </w:r>
      <w:r w:rsidR="00C13AFC" w:rsidRPr="00B2301B">
        <w:rPr>
          <w:rFonts w:eastAsia="Times New Roman"/>
          <w:shd w:val="clear" w:color="auto" w:fill="DBE5F1" w:themeFill="accent1" w:themeFillTint="33"/>
        </w:rPr>
        <w:t>, mantle cell lymphoma</w:t>
      </w:r>
      <w:r w:rsidR="00C13AFC" w:rsidRPr="00C13AFC">
        <w:rPr>
          <w:rFonts w:eastAsia="Times New Roman"/>
        </w:rPr>
        <w:t>, or follicular lymphoma</w:t>
      </w:r>
      <w:r w:rsidR="00052277">
        <w:rPr>
          <w:rFonts w:eastAsia="Times New Roman"/>
        </w:rPr>
        <w:t>.</w:t>
      </w:r>
      <w:r w:rsidRPr="00335062">
        <w:rPr>
          <w:rFonts w:eastAsia="Times New Roman"/>
        </w:rPr>
        <w:t xml:space="preserve"> </w:t>
      </w:r>
    </w:p>
    <w:p w:rsidR="00E75300" w:rsidRPr="00335062" w:rsidRDefault="00E75300" w:rsidP="00AB7A9E">
      <w:pPr>
        <w:ind w:right="240"/>
      </w:pPr>
      <w:r w:rsidRPr="00335062">
        <w:rPr>
          <w:rFonts w:eastAsia="Times New Roman"/>
        </w:rPr>
        <w:t>The following dose adjustments are recommended at the start of therapy and throughout treatment for patients with moderate or severe impaired renal function or end stage renal disease.</w:t>
      </w:r>
    </w:p>
    <w:p w:rsidR="00E75300" w:rsidRPr="00335062" w:rsidRDefault="00E75300" w:rsidP="00AB7A9E">
      <w:pPr>
        <w:ind w:right="980"/>
      </w:pPr>
      <w:r w:rsidRPr="00335062">
        <w:rPr>
          <w:rFonts w:eastAsia="Times New Roman"/>
        </w:rPr>
        <w:t xml:space="preserve">There are no </w:t>
      </w:r>
      <w:r w:rsidR="00C938ED">
        <w:rPr>
          <w:rFonts w:eastAsia="Times New Roman"/>
        </w:rPr>
        <w:t>p</w:t>
      </w:r>
      <w:r w:rsidRPr="00335062">
        <w:rPr>
          <w:rFonts w:eastAsia="Times New Roman"/>
        </w:rPr>
        <w:t>hase</w:t>
      </w:r>
      <w:r w:rsidR="00C13AFC">
        <w:rPr>
          <w:rFonts w:eastAsia="Times New Roman"/>
        </w:rPr>
        <w:t xml:space="preserve"> 3</w:t>
      </w:r>
      <w:r w:rsidRPr="00335062">
        <w:rPr>
          <w:rFonts w:eastAsia="Times New Roman"/>
        </w:rPr>
        <w:t xml:space="preserve"> trial experiences with End Stage Renal Disease (ESRD) (CLcr &lt; 30 mL/min, requiring dialysis).</w:t>
      </w:r>
    </w:p>
    <w:p w:rsidR="00506994" w:rsidRPr="00335062" w:rsidRDefault="00506994" w:rsidP="00AB7A9E"/>
    <w:p w:rsidR="00506994" w:rsidRPr="009D07AE" w:rsidRDefault="00506994" w:rsidP="00AB7A9E">
      <w:pPr>
        <w:pStyle w:val="ListParagraph"/>
        <w:numPr>
          <w:ilvl w:val="0"/>
          <w:numId w:val="57"/>
        </w:numPr>
        <w:tabs>
          <w:tab w:val="left" w:pos="1400"/>
        </w:tabs>
      </w:pPr>
      <w:r w:rsidRPr="000151CA">
        <w:rPr>
          <w:rFonts w:eastAsia="Times New Roman"/>
          <w:i/>
          <w:iCs/>
        </w:rPr>
        <w:t>Multiple myeloma</w:t>
      </w:r>
    </w:p>
    <w:tbl>
      <w:tblPr>
        <w:tblStyle w:val="TableGrid"/>
        <w:tblW w:w="9923" w:type="dxa"/>
        <w:tblInd w:w="108" w:type="dxa"/>
        <w:tblLook w:val="04A0" w:firstRow="1" w:lastRow="0" w:firstColumn="1" w:lastColumn="0" w:noHBand="0" w:noVBand="1"/>
      </w:tblPr>
      <w:tblGrid>
        <w:gridCol w:w="5069"/>
        <w:gridCol w:w="4854"/>
      </w:tblGrid>
      <w:tr w:rsidR="00506994" w:rsidTr="00847F91">
        <w:tc>
          <w:tcPr>
            <w:tcW w:w="5069" w:type="dxa"/>
          </w:tcPr>
          <w:p w:rsidR="00506994" w:rsidRDefault="00506994" w:rsidP="00AB7A9E">
            <w:pPr>
              <w:tabs>
                <w:tab w:val="left" w:pos="1400"/>
              </w:tabs>
            </w:pPr>
            <w:r w:rsidRPr="00335062">
              <w:rPr>
                <w:rFonts w:eastAsia="Times New Roman"/>
                <w:b/>
                <w:bCs/>
              </w:rPr>
              <w:t>Renal function (CLcr)</w:t>
            </w:r>
          </w:p>
        </w:tc>
        <w:tc>
          <w:tcPr>
            <w:tcW w:w="4854" w:type="dxa"/>
          </w:tcPr>
          <w:p w:rsidR="00506994" w:rsidRDefault="00506994" w:rsidP="003D1041">
            <w:pPr>
              <w:tabs>
                <w:tab w:val="left" w:pos="1400"/>
              </w:tabs>
            </w:pPr>
            <w:r w:rsidRPr="00335062">
              <w:rPr>
                <w:rFonts w:eastAsia="Times New Roman"/>
                <w:b/>
                <w:bCs/>
              </w:rPr>
              <w:t>Dose adjustment</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Moderate renal impairment</w:t>
            </w:r>
          </w:p>
          <w:p w:rsidR="00506994" w:rsidRDefault="00506994" w:rsidP="00AB7A9E">
            <w:pPr>
              <w:tabs>
                <w:tab w:val="left" w:pos="1400"/>
              </w:tabs>
            </w:pPr>
            <w:r w:rsidRPr="00335062">
              <w:rPr>
                <w:rFonts w:eastAsia="Times New Roman"/>
              </w:rPr>
              <w:t xml:space="preserve">(30 </w:t>
            </w:r>
            <w:r>
              <w:rPr>
                <w:rFonts w:eastAsia="Symbol"/>
              </w:rPr>
              <w:t>≤</w:t>
            </w:r>
            <w:r w:rsidRPr="00335062">
              <w:rPr>
                <w:rFonts w:eastAsia="Times New Roman"/>
              </w:rPr>
              <w:t xml:space="preserve"> CLcr &lt; 50 mL/min)</w:t>
            </w:r>
          </w:p>
        </w:tc>
        <w:tc>
          <w:tcPr>
            <w:tcW w:w="4854" w:type="dxa"/>
          </w:tcPr>
          <w:p w:rsidR="00506994" w:rsidRDefault="00506994" w:rsidP="00AB7A9E">
            <w:pPr>
              <w:tabs>
                <w:tab w:val="left" w:pos="1400"/>
              </w:tabs>
            </w:pPr>
            <w:r w:rsidRPr="00335062">
              <w:rPr>
                <w:rFonts w:eastAsia="Times New Roman"/>
              </w:rPr>
              <w:t>10 mg once daily</w:t>
            </w:r>
            <w:r w:rsidRPr="00335062">
              <w:rPr>
                <w:rFonts w:eastAsia="Times New Roman"/>
                <w:vertAlign w:val="superscript"/>
              </w:rPr>
              <w:t>1</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Severe renal impairment</w:t>
            </w:r>
          </w:p>
          <w:p w:rsidR="00506994" w:rsidRDefault="00506994" w:rsidP="00AB7A9E">
            <w:pPr>
              <w:tabs>
                <w:tab w:val="left" w:pos="1400"/>
              </w:tabs>
            </w:pPr>
            <w:r w:rsidRPr="00335062">
              <w:rPr>
                <w:rFonts w:eastAsia="Times New Roman"/>
              </w:rPr>
              <w:t>(CLcr &lt; 30 mL/min, not requiring dialysis)</w:t>
            </w:r>
          </w:p>
        </w:tc>
        <w:tc>
          <w:tcPr>
            <w:tcW w:w="4854" w:type="dxa"/>
          </w:tcPr>
          <w:p w:rsidR="00506994" w:rsidRDefault="00506994" w:rsidP="00AB7A9E">
            <w:pPr>
              <w:tabs>
                <w:tab w:val="left" w:pos="1400"/>
              </w:tabs>
              <w:rPr>
                <w:rFonts w:eastAsia="Times New Roman"/>
                <w:vertAlign w:val="superscript"/>
              </w:rPr>
            </w:pPr>
            <w:r w:rsidRPr="00335062">
              <w:rPr>
                <w:rFonts w:eastAsia="Times New Roman"/>
              </w:rPr>
              <w:t>7.5 mg once daily</w:t>
            </w:r>
            <w:r w:rsidRPr="00335062">
              <w:rPr>
                <w:rFonts w:eastAsia="Times New Roman"/>
                <w:vertAlign w:val="superscript"/>
              </w:rPr>
              <w:t>2</w:t>
            </w:r>
          </w:p>
          <w:p w:rsidR="00506994" w:rsidRDefault="00506994" w:rsidP="00AB7A9E">
            <w:pPr>
              <w:tabs>
                <w:tab w:val="left" w:pos="1400"/>
              </w:tabs>
            </w:pPr>
            <w:r w:rsidRPr="00335062">
              <w:rPr>
                <w:rFonts w:eastAsia="Times New Roman"/>
              </w:rPr>
              <w:t>15 mg every other day</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End Stage Renal Disease (ESRD)</w:t>
            </w:r>
          </w:p>
          <w:p w:rsidR="00506994" w:rsidRDefault="00506994" w:rsidP="00AB7A9E">
            <w:pPr>
              <w:tabs>
                <w:tab w:val="left" w:pos="1400"/>
              </w:tabs>
            </w:pPr>
            <w:r w:rsidRPr="00335062">
              <w:rPr>
                <w:rFonts w:eastAsia="Times New Roman"/>
              </w:rPr>
              <w:t>(CLcr &lt; 30 mL/min, requiring dialysis)</w:t>
            </w:r>
          </w:p>
        </w:tc>
        <w:tc>
          <w:tcPr>
            <w:tcW w:w="4854" w:type="dxa"/>
          </w:tcPr>
          <w:p w:rsidR="00506994" w:rsidRDefault="00506994" w:rsidP="00AB7A9E">
            <w:pPr>
              <w:tabs>
                <w:tab w:val="left" w:pos="1400"/>
              </w:tabs>
            </w:pPr>
            <w:r w:rsidRPr="00335062">
              <w:rPr>
                <w:rFonts w:eastAsia="Times New Roman"/>
              </w:rPr>
              <w:t>5 mg once daily. On dialysis</w:t>
            </w:r>
            <w:r>
              <w:rPr>
                <w:rFonts w:eastAsia="Times New Roman"/>
              </w:rPr>
              <w:t xml:space="preserve"> </w:t>
            </w:r>
            <w:r w:rsidRPr="00335062">
              <w:rPr>
                <w:rFonts w:eastAsia="Times New Roman"/>
              </w:rPr>
              <w:t>days, the dose should be</w:t>
            </w:r>
            <w:r>
              <w:rPr>
                <w:rFonts w:eastAsia="Times New Roman"/>
              </w:rPr>
              <w:t xml:space="preserve"> </w:t>
            </w:r>
            <w:r w:rsidRPr="00335062">
              <w:rPr>
                <w:rFonts w:eastAsia="Times New Roman"/>
              </w:rPr>
              <w:t>administered following dialysis.</w:t>
            </w:r>
          </w:p>
        </w:tc>
      </w:tr>
    </w:tbl>
    <w:p w:rsidR="00506994" w:rsidRPr="00F04381" w:rsidRDefault="00506994" w:rsidP="00AB7A9E">
      <w:pPr>
        <w:numPr>
          <w:ilvl w:val="0"/>
          <w:numId w:val="20"/>
        </w:numPr>
        <w:tabs>
          <w:tab w:val="left" w:pos="260"/>
        </w:tabs>
        <w:ind w:right="700"/>
        <w:rPr>
          <w:rFonts w:eastAsia="Times New Roman"/>
          <w:sz w:val="16"/>
          <w:szCs w:val="16"/>
          <w:vertAlign w:val="superscript"/>
        </w:rPr>
      </w:pPr>
      <w:r w:rsidRPr="00F04381">
        <w:rPr>
          <w:rFonts w:eastAsia="Times New Roman"/>
          <w:sz w:val="16"/>
          <w:szCs w:val="16"/>
        </w:rPr>
        <w:t>The dose may be escalated to 15 mg once daily after 2 cycles if patient is not responding to treatment and is tolerating the treatment.</w:t>
      </w:r>
    </w:p>
    <w:p w:rsidR="00506994" w:rsidRPr="00F04381" w:rsidRDefault="00506994" w:rsidP="00AB7A9E">
      <w:pPr>
        <w:numPr>
          <w:ilvl w:val="0"/>
          <w:numId w:val="20"/>
        </w:numPr>
        <w:tabs>
          <w:tab w:val="left" w:pos="260"/>
        </w:tabs>
        <w:rPr>
          <w:rFonts w:eastAsia="Times New Roman"/>
          <w:sz w:val="16"/>
          <w:szCs w:val="16"/>
          <w:vertAlign w:val="superscript"/>
        </w:rPr>
      </w:pPr>
      <w:r w:rsidRPr="00F04381">
        <w:rPr>
          <w:rFonts w:eastAsia="Times New Roman"/>
          <w:sz w:val="16"/>
          <w:szCs w:val="16"/>
        </w:rPr>
        <w:t>In countries where the 7.5 mg capsule is available.</w:t>
      </w:r>
    </w:p>
    <w:p w:rsidR="00506994" w:rsidRDefault="00506994" w:rsidP="00AB7A9E">
      <w:pPr>
        <w:rPr>
          <w:rFonts w:eastAsia="Times New Roman"/>
          <w:vertAlign w:val="superscript"/>
        </w:rPr>
      </w:pPr>
    </w:p>
    <w:p w:rsidR="00C13AFC" w:rsidRDefault="00C13AFC" w:rsidP="00B2301B">
      <w:pPr>
        <w:shd w:val="clear" w:color="auto" w:fill="FDE9D9" w:themeFill="accent6" w:themeFillTint="33"/>
        <w:ind w:left="218"/>
        <w:rPr>
          <w:rFonts w:eastAsia="Times New Roman"/>
        </w:rPr>
      </w:pPr>
      <w:r>
        <w:rPr>
          <w:i/>
          <w:spacing w:val="-1"/>
        </w:rPr>
        <w:t>Myelodysplastic</w:t>
      </w:r>
      <w:r>
        <w:rPr>
          <w:i/>
          <w:spacing w:val="-2"/>
        </w:rPr>
        <w:t xml:space="preserve"> </w:t>
      </w:r>
      <w:r>
        <w:rPr>
          <w:i/>
          <w:spacing w:val="-1"/>
        </w:rPr>
        <w:t>syndromes</w:t>
      </w:r>
    </w:p>
    <w:tbl>
      <w:tblPr>
        <w:tblW w:w="0" w:type="auto"/>
        <w:tblInd w:w="95" w:type="dxa"/>
        <w:tblLayout w:type="fixed"/>
        <w:tblCellMar>
          <w:left w:w="0" w:type="dxa"/>
          <w:right w:w="0" w:type="dxa"/>
        </w:tblCellMar>
        <w:tblLook w:val="01E0" w:firstRow="1" w:lastRow="1" w:firstColumn="1" w:lastColumn="1" w:noHBand="0" w:noVBand="0"/>
      </w:tblPr>
      <w:tblGrid>
        <w:gridCol w:w="4392"/>
        <w:gridCol w:w="1560"/>
        <w:gridCol w:w="3902"/>
      </w:tblGrid>
      <w:tr w:rsidR="00C13AFC" w:rsidTr="00C13AFC">
        <w:trPr>
          <w:trHeight w:hRule="exact" w:val="283"/>
        </w:trPr>
        <w:tc>
          <w:tcPr>
            <w:tcW w:w="4392" w:type="dxa"/>
            <w:tcBorders>
              <w:top w:val="single" w:sz="13" w:space="0" w:color="000000"/>
              <w:left w:val="single" w:sz="12" w:space="0" w:color="000000"/>
              <w:bottom w:val="single" w:sz="13" w:space="0" w:color="000000"/>
              <w:right w:val="single" w:sz="5" w:space="0" w:color="000000"/>
            </w:tcBorders>
          </w:tcPr>
          <w:p w:rsidR="00C13AFC" w:rsidRDefault="00C13AFC" w:rsidP="00B2301B">
            <w:pPr>
              <w:pStyle w:val="TableParagraph"/>
              <w:shd w:val="clear" w:color="auto" w:fill="FDE9D9" w:themeFill="accent6" w:themeFillTint="33"/>
              <w:spacing w:line="250"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5462" w:type="dxa"/>
            <w:gridSpan w:val="2"/>
            <w:tcBorders>
              <w:top w:val="single" w:sz="13" w:space="0" w:color="000000"/>
              <w:left w:val="single" w:sz="5" w:space="0" w:color="000000"/>
              <w:bottom w:val="single" w:sz="13" w:space="0" w:color="000000"/>
              <w:right w:val="single" w:sz="12" w:space="0" w:color="000000"/>
            </w:tcBorders>
          </w:tcPr>
          <w:p w:rsidR="00C13AFC" w:rsidRDefault="00C13AFC" w:rsidP="00B2301B">
            <w:pPr>
              <w:pStyle w:val="TableParagraph"/>
              <w:shd w:val="clear" w:color="auto" w:fill="FDE9D9" w:themeFill="accent6" w:themeFillTint="33"/>
              <w:spacing w:line="250" w:lineRule="exact"/>
              <w:ind w:left="6"/>
              <w:jc w:val="center"/>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tc>
      </w:tr>
      <w:tr w:rsidR="00C13AFC" w:rsidTr="00C13AFC">
        <w:trPr>
          <w:trHeight w:hRule="exact" w:val="525"/>
        </w:trPr>
        <w:tc>
          <w:tcPr>
            <w:tcW w:w="4392" w:type="dxa"/>
            <w:vMerge w:val="restart"/>
            <w:tcBorders>
              <w:top w:val="single" w:sz="13"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42" w:lineRule="auto"/>
              <w:ind w:left="92" w:right="1867"/>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50 </w:t>
            </w:r>
            <w:r>
              <w:rPr>
                <w:rFonts w:ascii="Times New Roman" w:eastAsia="Times New Roman" w:hAnsi="Times New Roman" w:cs="Times New Roman"/>
                <w:spacing w:val="-2"/>
              </w:rPr>
              <w:t>mL/min)</w:t>
            </w:r>
          </w:p>
        </w:tc>
        <w:tc>
          <w:tcPr>
            <w:tcW w:w="1560" w:type="dxa"/>
            <w:tcBorders>
              <w:top w:val="single" w:sz="13"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48"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13"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48" w:lineRule="exact"/>
              <w:ind w:left="10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bottom w:val="single" w:sz="5"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every</w:t>
            </w:r>
            <w:r>
              <w:rPr>
                <w:rFonts w:ascii="Times New Roman"/>
                <w:spacing w:val="-2"/>
              </w:rPr>
              <w:t xml:space="preserve"> </w:t>
            </w:r>
            <w:r>
              <w:rPr>
                <w:rFonts w:ascii="Times New Roman"/>
                <w:spacing w:val="-1"/>
              </w:rPr>
              <w:t>other</w:t>
            </w:r>
            <w:r>
              <w:rPr>
                <w:rFonts w:ascii="Times New Roman"/>
                <w:spacing w:val="1"/>
              </w:rPr>
              <w:t xml:space="preserve"> </w:t>
            </w:r>
            <w:r>
              <w:rPr>
                <w:rFonts w:ascii="Times New Roman"/>
                <w:spacing w:val="-1"/>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val="restart"/>
            <w:tcBorders>
              <w:top w:val="single" w:sz="5"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B2301B">
            <w:pPr>
              <w:pStyle w:val="TableParagraph"/>
              <w:shd w:val="clear" w:color="auto" w:fill="FDE9D9" w:themeFill="accent6" w:themeFillTint="33"/>
              <w:spacing w:before="1"/>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bottom w:val="single" w:sz="5"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twice a </w:t>
            </w:r>
            <w:r>
              <w:rPr>
                <w:rFonts w:ascii="Times New Roman"/>
                <w:spacing w:val="-1"/>
              </w:rPr>
              <w:t>week</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val="restart"/>
            <w:tcBorders>
              <w:top w:val="single" w:sz="5"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41" w:lineRule="auto"/>
              <w:ind w:left="92" w:right="813"/>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p w:rsidR="00C13AFC" w:rsidRDefault="00C13AFC" w:rsidP="00B2301B">
            <w:pPr>
              <w:pStyle w:val="TableParagraph"/>
              <w:shd w:val="clear" w:color="auto" w:fill="FDE9D9" w:themeFill="accent6" w:themeFillTint="33"/>
              <w:spacing w:before="11"/>
              <w:rPr>
                <w:rFonts w:ascii="Times New Roman" w:eastAsia="Times New Roman" w:hAnsi="Times New Roman" w:cs="Times New Roman"/>
                <w:i/>
                <w:sz w:val="21"/>
                <w:szCs w:val="21"/>
              </w:rPr>
            </w:pPr>
          </w:p>
          <w:p w:rsidR="00C13AFC" w:rsidRDefault="00C13AFC" w:rsidP="00B2301B">
            <w:pPr>
              <w:pStyle w:val="TableParagraph"/>
              <w:shd w:val="clear" w:color="auto" w:fill="FDE9D9" w:themeFill="accent6" w:themeFillTint="33"/>
              <w:ind w:left="92" w:right="1079"/>
              <w:rPr>
                <w:rFonts w:ascii="Times New Roman" w:eastAsia="Times New Roman" w:hAnsi="Times New Roman" w:cs="Times New Roman"/>
              </w:rPr>
            </w:pPr>
            <w:r>
              <w:rPr>
                <w:rFonts w:ascii="Times New Roman"/>
                <w:spacing w:val="-1"/>
              </w:rPr>
              <w:t>On</w:t>
            </w:r>
            <w:r>
              <w:rPr>
                <w:rFonts w:ascii="Times New Roman"/>
              </w:rPr>
              <w:t xml:space="preserve"> </w:t>
            </w:r>
            <w:r>
              <w:rPr>
                <w:rFonts w:ascii="Times New Roman"/>
                <w:spacing w:val="-1"/>
              </w:rPr>
              <w:t>dialysis</w:t>
            </w:r>
            <w:r>
              <w:rPr>
                <w:rFonts w:ascii="Times New Roman"/>
                <w:spacing w:val="1"/>
              </w:rPr>
              <w:t xml:space="preserve"> </w:t>
            </w:r>
            <w:r>
              <w:rPr>
                <w:rFonts w:ascii="Times New Roman"/>
                <w:spacing w:val="-1"/>
              </w:rPr>
              <w:t>days,</w:t>
            </w:r>
            <w:r>
              <w:rPr>
                <w:rFonts w:ascii="Times New Roman"/>
                <w:spacing w:val="-3"/>
              </w:rPr>
              <w:t xml:space="preserve"> </w:t>
            </w:r>
            <w:r>
              <w:rPr>
                <w:rFonts w:ascii="Times New Roman"/>
              </w:rPr>
              <w:t xml:space="preserve">the </w:t>
            </w:r>
            <w:r>
              <w:rPr>
                <w:rFonts w:ascii="Times New Roman"/>
                <w:spacing w:val="-1"/>
              </w:rPr>
              <w:t>dose</w:t>
            </w:r>
            <w:r>
              <w:rPr>
                <w:rFonts w:ascii="Times New Roman"/>
                <w:spacing w:val="-2"/>
              </w:rPr>
              <w:t xml:space="preserve"> </w:t>
            </w:r>
            <w:r>
              <w:rPr>
                <w:rFonts w:ascii="Times New Roman"/>
                <w:spacing w:val="-1"/>
              </w:rPr>
              <w:t>should</w:t>
            </w:r>
            <w:r>
              <w:rPr>
                <w:rFonts w:ascii="Times New Roman"/>
              </w:rPr>
              <w:t xml:space="preserve"> </w:t>
            </w:r>
            <w:r>
              <w:rPr>
                <w:rFonts w:ascii="Times New Roman"/>
                <w:spacing w:val="-2"/>
              </w:rPr>
              <w:t>be</w:t>
            </w:r>
            <w:r>
              <w:rPr>
                <w:rFonts w:ascii="Times New Roman"/>
                <w:spacing w:val="31"/>
              </w:rPr>
              <w:t xml:space="preserve"> </w:t>
            </w:r>
            <w:r>
              <w:rPr>
                <w:rFonts w:ascii="Times New Roman"/>
                <w:spacing w:val="-1"/>
              </w:rPr>
              <w:t>administered</w:t>
            </w:r>
            <w:r>
              <w:rPr>
                <w:rFonts w:ascii="Times New Roman"/>
              </w:rPr>
              <w:t xml:space="preserve"> </w:t>
            </w:r>
            <w:r>
              <w:rPr>
                <w:rFonts w:ascii="Times New Roman"/>
                <w:spacing w:val="-1"/>
              </w:rPr>
              <w:t>following</w:t>
            </w:r>
            <w:r>
              <w:rPr>
                <w:rFonts w:ascii="Times New Roman"/>
                <w:spacing w:val="-2"/>
              </w:rPr>
              <w:t xml:space="preserve"> </w:t>
            </w:r>
            <w:r>
              <w:rPr>
                <w:rFonts w:ascii="Times New Roman"/>
                <w:spacing w:val="-1"/>
              </w:rPr>
              <w:t>dialysis.</w:t>
            </w: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26"/>
        </w:trPr>
        <w:tc>
          <w:tcPr>
            <w:tcW w:w="4392" w:type="dxa"/>
            <w:vMerge/>
            <w:tcBorders>
              <w:left w:val="single" w:sz="12" w:space="0" w:color="000000"/>
              <w:bottom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12"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12"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twice a </w:t>
            </w:r>
            <w:r>
              <w:rPr>
                <w:rFonts w:ascii="Times New Roman"/>
                <w:spacing w:val="-1"/>
              </w:rPr>
              <w:t>week</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bl>
    <w:p w:rsidR="00C13AFC" w:rsidRDefault="00C13AFC" w:rsidP="00B2301B">
      <w:pPr>
        <w:widowControl w:val="0"/>
        <w:numPr>
          <w:ilvl w:val="0"/>
          <w:numId w:val="97"/>
        </w:numPr>
        <w:shd w:val="clear" w:color="auto" w:fill="FDE9D9" w:themeFill="accent6" w:themeFillTint="33"/>
        <w:tabs>
          <w:tab w:val="left" w:pos="339"/>
        </w:tabs>
        <w:spacing w:before="1"/>
        <w:ind w:right="515" w:hanging="144"/>
        <w:rPr>
          <w:rFonts w:eastAsia="Times New Roman"/>
          <w:sz w:val="16"/>
          <w:szCs w:val="16"/>
        </w:rPr>
      </w:pPr>
      <w:r>
        <w:rPr>
          <w:spacing w:val="-1"/>
          <w:sz w:val="16"/>
        </w:rPr>
        <w:t xml:space="preserve">Recommended </w:t>
      </w:r>
      <w:r>
        <w:rPr>
          <w:sz w:val="16"/>
        </w:rPr>
        <w:t>dose</w:t>
      </w:r>
      <w:r>
        <w:rPr>
          <w:spacing w:val="-2"/>
          <w:sz w:val="16"/>
        </w:rPr>
        <w:t xml:space="preserve"> </w:t>
      </w:r>
      <w:r>
        <w:rPr>
          <w:spacing w:val="-1"/>
          <w:sz w:val="16"/>
        </w:rPr>
        <w:t>reduction</w:t>
      </w:r>
      <w:r>
        <w:rPr>
          <w:spacing w:val="2"/>
          <w:sz w:val="16"/>
        </w:rPr>
        <w:t xml:space="preserve"> </w:t>
      </w:r>
      <w:r>
        <w:rPr>
          <w:spacing w:val="-1"/>
          <w:sz w:val="16"/>
        </w:rPr>
        <w:t>steps</w:t>
      </w:r>
      <w:r>
        <w:rPr>
          <w:spacing w:val="-2"/>
          <w:sz w:val="16"/>
        </w:rPr>
        <w:t xml:space="preserve"> </w:t>
      </w:r>
      <w:r>
        <w:rPr>
          <w:spacing w:val="-1"/>
          <w:sz w:val="16"/>
        </w:rPr>
        <w:t>during treatment and</w:t>
      </w:r>
      <w:r>
        <w:rPr>
          <w:spacing w:val="1"/>
          <w:sz w:val="16"/>
        </w:rPr>
        <w:t xml:space="preserve"> </w:t>
      </w:r>
      <w:r>
        <w:rPr>
          <w:spacing w:val="-1"/>
          <w:sz w:val="16"/>
        </w:rPr>
        <w:t>restart</w:t>
      </w:r>
      <w:r>
        <w:rPr>
          <w:spacing w:val="1"/>
          <w:sz w:val="16"/>
        </w:rPr>
        <w:t xml:space="preserve"> </w:t>
      </w:r>
      <w:r>
        <w:rPr>
          <w:spacing w:val="-1"/>
          <w:sz w:val="16"/>
        </w:rPr>
        <w:t>of</w:t>
      </w:r>
      <w:r>
        <w:rPr>
          <w:sz w:val="16"/>
        </w:rPr>
        <w:t xml:space="preserve"> </w:t>
      </w:r>
      <w:r>
        <w:rPr>
          <w:spacing w:val="-1"/>
          <w:sz w:val="16"/>
        </w:rPr>
        <w:t>treatment</w:t>
      </w:r>
      <w:r>
        <w:rPr>
          <w:spacing w:val="1"/>
          <w:sz w:val="16"/>
        </w:rPr>
        <w:t xml:space="preserve"> </w:t>
      </w:r>
      <w:r>
        <w:rPr>
          <w:sz w:val="16"/>
        </w:rPr>
        <w:t>to</w:t>
      </w:r>
      <w:r>
        <w:rPr>
          <w:spacing w:val="-1"/>
          <w:sz w:val="16"/>
        </w:rPr>
        <w:t xml:space="preserve"> manage Grade</w:t>
      </w:r>
      <w:r>
        <w:rPr>
          <w:spacing w:val="-2"/>
          <w:sz w:val="16"/>
        </w:rPr>
        <w:t xml:space="preserve"> </w:t>
      </w:r>
      <w:r>
        <w:rPr>
          <w:sz w:val="16"/>
        </w:rPr>
        <w:t>3</w:t>
      </w:r>
      <w:r>
        <w:rPr>
          <w:spacing w:val="2"/>
          <w:sz w:val="16"/>
        </w:rPr>
        <w:t xml:space="preserve"> </w:t>
      </w:r>
      <w:r>
        <w:rPr>
          <w:spacing w:val="-1"/>
          <w:sz w:val="16"/>
        </w:rPr>
        <w:t>or</w:t>
      </w:r>
      <w:r>
        <w:rPr>
          <w:sz w:val="16"/>
        </w:rPr>
        <w:t xml:space="preserve"> 4</w:t>
      </w:r>
      <w:r>
        <w:rPr>
          <w:spacing w:val="-1"/>
          <w:sz w:val="16"/>
        </w:rPr>
        <w:t xml:space="preserve"> neutropenia</w:t>
      </w:r>
      <w:r>
        <w:rPr>
          <w:spacing w:val="1"/>
          <w:sz w:val="16"/>
        </w:rPr>
        <w:t xml:space="preserve"> </w:t>
      </w:r>
      <w:r>
        <w:rPr>
          <w:spacing w:val="-1"/>
          <w:sz w:val="16"/>
        </w:rPr>
        <w:t>or</w:t>
      </w:r>
      <w:r>
        <w:rPr>
          <w:sz w:val="16"/>
        </w:rPr>
        <w:t xml:space="preserve"> </w:t>
      </w:r>
      <w:r>
        <w:rPr>
          <w:spacing w:val="-1"/>
          <w:sz w:val="16"/>
        </w:rPr>
        <w:t>thrombocytopenia,</w:t>
      </w:r>
      <w:r>
        <w:rPr>
          <w:spacing w:val="-2"/>
          <w:sz w:val="16"/>
        </w:rPr>
        <w:t xml:space="preserve"> </w:t>
      </w:r>
      <w:r>
        <w:rPr>
          <w:spacing w:val="-1"/>
          <w:sz w:val="16"/>
        </w:rPr>
        <w:t>or</w:t>
      </w:r>
      <w:r>
        <w:rPr>
          <w:sz w:val="16"/>
        </w:rPr>
        <w:t xml:space="preserve"> </w:t>
      </w:r>
      <w:r>
        <w:rPr>
          <w:spacing w:val="-1"/>
          <w:sz w:val="16"/>
        </w:rPr>
        <w:t>other</w:t>
      </w:r>
      <w:r>
        <w:rPr>
          <w:spacing w:val="55"/>
          <w:sz w:val="16"/>
        </w:rPr>
        <w:t xml:space="preserve"> </w:t>
      </w:r>
      <w:r>
        <w:rPr>
          <w:spacing w:val="-1"/>
          <w:sz w:val="16"/>
        </w:rPr>
        <w:t xml:space="preserve">Grade </w:t>
      </w:r>
      <w:r>
        <w:rPr>
          <w:sz w:val="16"/>
        </w:rPr>
        <w:t>3</w:t>
      </w:r>
      <w:r>
        <w:rPr>
          <w:spacing w:val="1"/>
          <w:sz w:val="16"/>
        </w:rPr>
        <w:t xml:space="preserve"> </w:t>
      </w:r>
      <w:r>
        <w:rPr>
          <w:spacing w:val="-1"/>
          <w:sz w:val="16"/>
        </w:rPr>
        <w:t>or</w:t>
      </w:r>
      <w:r>
        <w:rPr>
          <w:sz w:val="16"/>
        </w:rPr>
        <w:t xml:space="preserve"> 4</w:t>
      </w:r>
      <w:r>
        <w:rPr>
          <w:spacing w:val="-1"/>
          <w:sz w:val="16"/>
        </w:rPr>
        <w:t xml:space="preserve"> toxicity</w:t>
      </w:r>
      <w:r>
        <w:rPr>
          <w:spacing w:val="-3"/>
          <w:sz w:val="16"/>
        </w:rPr>
        <w:t xml:space="preserve"> </w:t>
      </w:r>
      <w:r>
        <w:rPr>
          <w:spacing w:val="-1"/>
          <w:sz w:val="16"/>
        </w:rPr>
        <w:t>judged</w:t>
      </w:r>
      <w:r>
        <w:rPr>
          <w:spacing w:val="2"/>
          <w:sz w:val="16"/>
        </w:rPr>
        <w:t xml:space="preserve"> </w:t>
      </w:r>
      <w:r>
        <w:rPr>
          <w:sz w:val="16"/>
        </w:rPr>
        <w:t>to</w:t>
      </w:r>
      <w:r>
        <w:rPr>
          <w:spacing w:val="-3"/>
          <w:sz w:val="16"/>
        </w:rPr>
        <w:t xml:space="preserve"> </w:t>
      </w:r>
      <w:r>
        <w:rPr>
          <w:sz w:val="16"/>
        </w:rPr>
        <w:t>be</w:t>
      </w:r>
      <w:r>
        <w:rPr>
          <w:spacing w:val="-1"/>
          <w:sz w:val="16"/>
        </w:rPr>
        <w:t xml:space="preserve"> related</w:t>
      </w:r>
      <w:r>
        <w:rPr>
          <w:spacing w:val="2"/>
          <w:sz w:val="16"/>
        </w:rPr>
        <w:t xml:space="preserve"> </w:t>
      </w:r>
      <w:r>
        <w:rPr>
          <w:sz w:val="16"/>
        </w:rPr>
        <w:t>to</w:t>
      </w:r>
      <w:r>
        <w:rPr>
          <w:spacing w:val="-1"/>
          <w:sz w:val="16"/>
        </w:rPr>
        <w:t xml:space="preserve"> lenalidomide,</w:t>
      </w:r>
      <w:r>
        <w:rPr>
          <w:spacing w:val="1"/>
          <w:sz w:val="16"/>
        </w:rPr>
        <w:t xml:space="preserve"> </w:t>
      </w:r>
      <w:r>
        <w:rPr>
          <w:sz w:val="16"/>
        </w:rPr>
        <w:t>as</w:t>
      </w:r>
      <w:r>
        <w:rPr>
          <w:spacing w:val="-2"/>
          <w:sz w:val="16"/>
        </w:rPr>
        <w:t xml:space="preserve"> </w:t>
      </w:r>
      <w:r>
        <w:rPr>
          <w:spacing w:val="-1"/>
          <w:sz w:val="16"/>
        </w:rPr>
        <w:t xml:space="preserve">described </w:t>
      </w:r>
      <w:r>
        <w:rPr>
          <w:spacing w:val="-2"/>
          <w:sz w:val="16"/>
        </w:rPr>
        <w:t>above.</w:t>
      </w:r>
    </w:p>
    <w:p w:rsidR="00C13AFC" w:rsidRDefault="00C13AFC" w:rsidP="00AB7A9E">
      <w:pPr>
        <w:rPr>
          <w:rFonts w:eastAsia="Times New Roman"/>
          <w:vertAlign w:val="superscript"/>
        </w:rPr>
      </w:pPr>
    </w:p>
    <w:p w:rsidR="00C13AFC" w:rsidRDefault="00C13AFC" w:rsidP="00B2301B">
      <w:pPr>
        <w:shd w:val="clear" w:color="auto" w:fill="DBE5F1" w:themeFill="accent1" w:themeFillTint="33"/>
        <w:ind w:left="218"/>
        <w:rPr>
          <w:rFonts w:eastAsia="Times New Roman"/>
        </w:rPr>
      </w:pPr>
      <w:r>
        <w:rPr>
          <w:i/>
        </w:rPr>
        <w:t>Mantle</w:t>
      </w:r>
      <w:r>
        <w:rPr>
          <w:i/>
          <w:spacing w:val="-2"/>
        </w:rPr>
        <w:t xml:space="preserve"> </w:t>
      </w:r>
      <w:r>
        <w:rPr>
          <w:i/>
          <w:spacing w:val="-1"/>
        </w:rPr>
        <w:t>cell lymphoma</w:t>
      </w:r>
    </w:p>
    <w:tbl>
      <w:tblPr>
        <w:tblW w:w="0" w:type="auto"/>
        <w:tblInd w:w="95" w:type="dxa"/>
        <w:tblLayout w:type="fixed"/>
        <w:tblCellMar>
          <w:left w:w="0" w:type="dxa"/>
          <w:right w:w="0" w:type="dxa"/>
        </w:tblCellMar>
        <w:tblLook w:val="01E0" w:firstRow="1" w:lastRow="1" w:firstColumn="1" w:lastColumn="1" w:noHBand="0" w:noVBand="0"/>
      </w:tblPr>
      <w:tblGrid>
        <w:gridCol w:w="6435"/>
        <w:gridCol w:w="3420"/>
      </w:tblGrid>
      <w:tr w:rsidR="00C13AFC" w:rsidTr="00C13AFC">
        <w:trPr>
          <w:trHeight w:hRule="exact" w:val="787"/>
        </w:trPr>
        <w:tc>
          <w:tcPr>
            <w:tcW w:w="6435" w:type="dxa"/>
            <w:tcBorders>
              <w:top w:val="single" w:sz="13" w:space="0" w:color="000000"/>
              <w:left w:val="single" w:sz="12" w:space="0" w:color="000000"/>
              <w:bottom w:val="single" w:sz="13" w:space="0" w:color="000000"/>
              <w:right w:val="single" w:sz="5" w:space="0" w:color="000000"/>
            </w:tcBorders>
          </w:tcPr>
          <w:p w:rsidR="00C13AFC" w:rsidRDefault="00C13AFC" w:rsidP="00B2301B">
            <w:pPr>
              <w:pStyle w:val="TableParagraph"/>
              <w:shd w:val="clear" w:color="auto" w:fill="DBE5F1" w:themeFill="accent1" w:themeFillTint="33"/>
              <w:spacing w:line="248"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3420" w:type="dxa"/>
            <w:tcBorders>
              <w:top w:val="single" w:sz="13" w:space="0" w:color="000000"/>
              <w:left w:val="single" w:sz="5" w:space="0" w:color="000000"/>
              <w:bottom w:val="single" w:sz="13" w:space="0" w:color="000000"/>
              <w:right w:val="single" w:sz="12" w:space="0" w:color="000000"/>
            </w:tcBorders>
          </w:tcPr>
          <w:p w:rsidR="00C13AFC" w:rsidRDefault="00C13AFC" w:rsidP="00B2301B">
            <w:pPr>
              <w:pStyle w:val="TableParagraph"/>
              <w:shd w:val="clear" w:color="auto" w:fill="DBE5F1" w:themeFill="accent1" w:themeFillTint="33"/>
              <w:spacing w:line="248" w:lineRule="exact"/>
              <w:ind w:left="102"/>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p w:rsidR="00C13AFC" w:rsidRDefault="00C13AFC" w:rsidP="00B2301B">
            <w:pPr>
              <w:pStyle w:val="TableParagraph"/>
              <w:shd w:val="clear" w:color="auto" w:fill="DBE5F1" w:themeFill="accent1" w:themeFillTint="33"/>
              <w:spacing w:before="1"/>
              <w:ind w:left="102" w:right="1110"/>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21</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repeated</w:t>
            </w:r>
            <w:r>
              <w:rPr>
                <w:rFonts w:ascii="Times New Roman"/>
                <w:spacing w:val="29"/>
              </w:rPr>
              <w:t xml:space="preserve"> </w:t>
            </w:r>
            <w:r>
              <w:rPr>
                <w:rFonts w:ascii="Times New Roman"/>
                <w:spacing w:val="-1"/>
              </w:rPr>
              <w:t>28-day</w:t>
            </w:r>
            <w:r>
              <w:rPr>
                <w:rFonts w:ascii="Times New Roman"/>
                <w:spacing w:val="-3"/>
              </w:rPr>
              <w:t xml:space="preserve"> </w:t>
            </w:r>
            <w:r>
              <w:rPr>
                <w:rFonts w:ascii="Times New Roman"/>
                <w:spacing w:val="-1"/>
              </w:rPr>
              <w:t>cycles)</w:t>
            </w:r>
          </w:p>
        </w:tc>
      </w:tr>
      <w:tr w:rsidR="00C13AFC" w:rsidTr="00C13AFC">
        <w:trPr>
          <w:trHeight w:hRule="exact" w:val="544"/>
        </w:trPr>
        <w:tc>
          <w:tcPr>
            <w:tcW w:w="6435" w:type="dxa"/>
            <w:tcBorders>
              <w:top w:val="single" w:sz="13" w:space="0" w:color="000000"/>
              <w:left w:val="single" w:sz="12" w:space="0" w:color="000000"/>
              <w:bottom w:val="single" w:sz="5" w:space="0" w:color="000000"/>
              <w:right w:val="single" w:sz="5" w:space="0" w:color="000000"/>
            </w:tcBorders>
          </w:tcPr>
          <w:p w:rsidR="00C13AFC" w:rsidRDefault="00C13AFC" w:rsidP="00B2301B">
            <w:pPr>
              <w:pStyle w:val="TableParagraph"/>
              <w:shd w:val="clear" w:color="auto" w:fill="DBE5F1" w:themeFill="accent1" w:themeFillTint="33"/>
              <w:ind w:left="92" w:right="3909"/>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50 </w:t>
            </w:r>
            <w:r>
              <w:rPr>
                <w:rFonts w:ascii="Times New Roman" w:eastAsia="Times New Roman" w:hAnsi="Times New Roman" w:cs="Times New Roman"/>
                <w:spacing w:val="-2"/>
              </w:rPr>
              <w:t>mL/min)</w:t>
            </w:r>
          </w:p>
        </w:tc>
        <w:tc>
          <w:tcPr>
            <w:tcW w:w="3420" w:type="dxa"/>
            <w:tcBorders>
              <w:top w:val="single" w:sz="13"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DBE5F1" w:themeFill="accent1" w:themeFillTint="33"/>
              <w:spacing w:line="251" w:lineRule="exact"/>
              <w:ind w:left="102"/>
              <w:rPr>
                <w:rFonts w:ascii="Times New Roman" w:eastAsia="Times New Roman" w:hAnsi="Times New Roman" w:cs="Times New Roman"/>
                <w:sz w:val="14"/>
                <w:szCs w:val="14"/>
              </w:rPr>
            </w:pPr>
            <w:r>
              <w:rPr>
                <w:rFonts w:ascii="Times New Roman"/>
              </w:rPr>
              <w:t>10</w:t>
            </w:r>
            <w:r>
              <w:rPr>
                <w:rFonts w:ascii="Times New Roman"/>
                <w:spacing w:val="-1"/>
              </w:rPr>
              <w:t xml:space="preserve"> 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1"/>
                <w:position w:val="8"/>
                <w:sz w:val="14"/>
              </w:rPr>
              <w:t>1</w:t>
            </w:r>
          </w:p>
        </w:tc>
      </w:tr>
      <w:tr w:rsidR="00C13AFC" w:rsidTr="00C13AFC">
        <w:trPr>
          <w:trHeight w:hRule="exact" w:val="516"/>
        </w:trPr>
        <w:tc>
          <w:tcPr>
            <w:tcW w:w="6435" w:type="dxa"/>
            <w:tcBorders>
              <w:top w:val="single" w:sz="5" w:space="0" w:color="000000"/>
              <w:left w:val="single" w:sz="12" w:space="0" w:color="000000"/>
              <w:bottom w:val="single" w:sz="5" w:space="0" w:color="000000"/>
              <w:right w:val="single" w:sz="5" w:space="0" w:color="000000"/>
            </w:tcBorders>
          </w:tcPr>
          <w:p w:rsidR="00C13AFC" w:rsidRDefault="00C13AFC" w:rsidP="00B2301B">
            <w:pPr>
              <w:pStyle w:val="TableParagraph"/>
              <w:shd w:val="clear" w:color="auto" w:fill="DBE5F1" w:themeFill="accent1" w:themeFillTint="33"/>
              <w:spacing w:line="250"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B2301B">
            <w:pPr>
              <w:pStyle w:val="TableParagraph"/>
              <w:shd w:val="clear" w:color="auto" w:fill="DBE5F1" w:themeFill="accent1" w:themeFillTint="33"/>
              <w:spacing w:line="253" w:lineRule="exact"/>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DBE5F1" w:themeFill="accent1" w:themeFillTint="33"/>
              <w:spacing w:line="250" w:lineRule="exact"/>
              <w:ind w:left="102"/>
              <w:rPr>
                <w:rFonts w:ascii="Times New Roman" w:eastAsia="Times New Roman" w:hAnsi="Times New Roman" w:cs="Times New Roman"/>
                <w:sz w:val="14"/>
                <w:szCs w:val="14"/>
              </w:rPr>
            </w:pPr>
            <w:r>
              <w:rPr>
                <w:rFonts w:ascii="Times New Roman"/>
              </w:rPr>
              <w:t>7.5</w:t>
            </w:r>
            <w:r>
              <w:rPr>
                <w:rFonts w:ascii="Times New Roman"/>
                <w:spacing w:val="-1"/>
              </w:rPr>
              <w:t xml:space="preserve"> 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1"/>
                <w:position w:val="8"/>
                <w:sz w:val="14"/>
              </w:rPr>
              <w:t>2</w:t>
            </w:r>
          </w:p>
          <w:p w:rsidR="00C13AFC" w:rsidRDefault="00C13AFC" w:rsidP="00B2301B">
            <w:pPr>
              <w:pStyle w:val="TableParagraph"/>
              <w:shd w:val="clear" w:color="auto" w:fill="DBE5F1" w:themeFill="accent1" w:themeFillTint="33"/>
              <w:spacing w:line="253" w:lineRule="exact"/>
              <w:ind w:left="102"/>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tc>
      </w:tr>
      <w:tr w:rsidR="00C13AFC" w:rsidTr="00C13AFC">
        <w:trPr>
          <w:trHeight w:hRule="exact" w:val="778"/>
        </w:trPr>
        <w:tc>
          <w:tcPr>
            <w:tcW w:w="6435" w:type="dxa"/>
            <w:tcBorders>
              <w:top w:val="single" w:sz="5" w:space="0" w:color="000000"/>
              <w:left w:val="single" w:sz="12" w:space="0" w:color="000000"/>
              <w:bottom w:val="single" w:sz="12" w:space="0" w:color="000000"/>
              <w:right w:val="single" w:sz="5" w:space="0" w:color="000000"/>
            </w:tcBorders>
          </w:tcPr>
          <w:p w:rsidR="00C13AFC" w:rsidRDefault="00C13AFC" w:rsidP="00B2301B">
            <w:pPr>
              <w:pStyle w:val="TableParagraph"/>
              <w:shd w:val="clear" w:color="auto" w:fill="DBE5F1" w:themeFill="accent1" w:themeFillTint="33"/>
              <w:spacing w:before="1" w:line="252" w:lineRule="exact"/>
              <w:ind w:left="92" w:right="2855"/>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12" w:space="0" w:color="000000"/>
              <w:right w:val="single" w:sz="12" w:space="0" w:color="000000"/>
            </w:tcBorders>
          </w:tcPr>
          <w:p w:rsidR="00C13AFC" w:rsidRDefault="00C13AFC" w:rsidP="00B2301B">
            <w:pPr>
              <w:pStyle w:val="TableParagraph"/>
              <w:shd w:val="clear" w:color="auto" w:fill="DBE5F1" w:themeFill="accent1" w:themeFillTint="33"/>
              <w:ind w:left="102" w:right="26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rPr>
              <w:t xml:space="preserve"> </w:t>
            </w:r>
            <w:r>
              <w:rPr>
                <w:rFonts w:ascii="Times New Roman"/>
                <w:spacing w:val="-1"/>
              </w:rPr>
              <w:t>On</w:t>
            </w:r>
            <w:r>
              <w:rPr>
                <w:rFonts w:ascii="Times New Roman"/>
              </w:rPr>
              <w:t xml:space="preserve"> </w:t>
            </w:r>
            <w:r>
              <w:rPr>
                <w:rFonts w:ascii="Times New Roman"/>
                <w:spacing w:val="-1"/>
              </w:rPr>
              <w:t>dialysis</w:t>
            </w:r>
            <w:r>
              <w:rPr>
                <w:rFonts w:ascii="Times New Roman"/>
              </w:rPr>
              <w:t xml:space="preserve"> </w:t>
            </w:r>
            <w:r>
              <w:rPr>
                <w:rFonts w:ascii="Times New Roman"/>
                <w:spacing w:val="-1"/>
              </w:rPr>
              <w:t>days,</w:t>
            </w:r>
            <w:r>
              <w:rPr>
                <w:rFonts w:ascii="Times New Roman"/>
                <w:spacing w:val="29"/>
              </w:rPr>
              <w:t xml:space="preserve"> </w:t>
            </w:r>
            <w:r>
              <w:rPr>
                <w:rFonts w:ascii="Times New Roman"/>
              </w:rPr>
              <w:t xml:space="preserve">the </w:t>
            </w:r>
            <w:r>
              <w:rPr>
                <w:rFonts w:ascii="Times New Roman"/>
                <w:spacing w:val="-1"/>
              </w:rPr>
              <w:t>dose</w:t>
            </w:r>
            <w:r>
              <w:rPr>
                <w:rFonts w:ascii="Times New Roman"/>
              </w:rPr>
              <w:t xml:space="preserve"> </w:t>
            </w:r>
            <w:r>
              <w:rPr>
                <w:rFonts w:ascii="Times New Roman"/>
                <w:spacing w:val="-1"/>
              </w:rPr>
              <w:t>should</w:t>
            </w:r>
            <w:r>
              <w:rPr>
                <w:rFonts w:ascii="Times New Roman"/>
              </w:rPr>
              <w:t xml:space="preserve"> be</w:t>
            </w:r>
            <w:r>
              <w:rPr>
                <w:rFonts w:ascii="Times New Roman"/>
                <w:spacing w:val="-2"/>
              </w:rPr>
              <w:t xml:space="preserve"> </w:t>
            </w:r>
            <w:r>
              <w:rPr>
                <w:rFonts w:ascii="Times New Roman"/>
                <w:spacing w:val="-1"/>
              </w:rPr>
              <w:t>administered</w:t>
            </w:r>
            <w:r>
              <w:rPr>
                <w:rFonts w:ascii="Times New Roman"/>
                <w:spacing w:val="21"/>
              </w:rPr>
              <w:t xml:space="preserve"> </w:t>
            </w:r>
            <w:r>
              <w:rPr>
                <w:rFonts w:ascii="Times New Roman"/>
                <w:spacing w:val="-1"/>
              </w:rPr>
              <w:t>following</w:t>
            </w:r>
            <w:r>
              <w:rPr>
                <w:rFonts w:ascii="Times New Roman"/>
                <w:spacing w:val="-2"/>
              </w:rPr>
              <w:t xml:space="preserve"> </w:t>
            </w:r>
            <w:r>
              <w:rPr>
                <w:rFonts w:ascii="Times New Roman"/>
                <w:spacing w:val="-1"/>
              </w:rPr>
              <w:t>dialysis.</w:t>
            </w:r>
          </w:p>
        </w:tc>
      </w:tr>
    </w:tbl>
    <w:p w:rsidR="00C13AFC" w:rsidRDefault="00C13AFC" w:rsidP="00B2301B">
      <w:pPr>
        <w:shd w:val="clear" w:color="auto" w:fill="DBE5F1" w:themeFill="accent1" w:themeFillTint="33"/>
        <w:spacing w:line="183" w:lineRule="exact"/>
        <w:ind w:left="218"/>
        <w:rPr>
          <w:rFonts w:eastAsia="Times New Roman"/>
          <w:sz w:val="16"/>
          <w:szCs w:val="16"/>
        </w:rPr>
      </w:pPr>
      <w:r>
        <w:rPr>
          <w:position w:val="6"/>
          <w:sz w:val="10"/>
        </w:rPr>
        <w:t xml:space="preserve">1  </w:t>
      </w:r>
      <w:r>
        <w:rPr>
          <w:spacing w:val="18"/>
          <w:position w:val="6"/>
          <w:sz w:val="10"/>
        </w:rPr>
        <w:t xml:space="preserve"> </w:t>
      </w:r>
      <w:r>
        <w:rPr>
          <w:spacing w:val="-1"/>
          <w:sz w:val="16"/>
        </w:rPr>
        <w:t>The</w:t>
      </w:r>
      <w:r>
        <w:rPr>
          <w:spacing w:val="-2"/>
          <w:sz w:val="16"/>
        </w:rPr>
        <w:t xml:space="preserve"> </w:t>
      </w:r>
      <w:r>
        <w:rPr>
          <w:spacing w:val="-1"/>
          <w:sz w:val="16"/>
        </w:rPr>
        <w:t>dose</w:t>
      </w:r>
      <w:r>
        <w:rPr>
          <w:spacing w:val="-2"/>
          <w:sz w:val="16"/>
        </w:rPr>
        <w:t xml:space="preserve"> </w:t>
      </w:r>
      <w:r>
        <w:rPr>
          <w:sz w:val="16"/>
        </w:rPr>
        <w:t>may</w:t>
      </w:r>
      <w:r>
        <w:rPr>
          <w:spacing w:val="-3"/>
          <w:sz w:val="16"/>
        </w:rPr>
        <w:t xml:space="preserve"> </w:t>
      </w:r>
      <w:r>
        <w:rPr>
          <w:sz w:val="16"/>
        </w:rPr>
        <w:t>be</w:t>
      </w:r>
      <w:r>
        <w:rPr>
          <w:spacing w:val="-2"/>
          <w:sz w:val="16"/>
        </w:rPr>
        <w:t xml:space="preserve"> </w:t>
      </w:r>
      <w:r>
        <w:rPr>
          <w:spacing w:val="-1"/>
          <w:sz w:val="16"/>
        </w:rPr>
        <w:t>escalated</w:t>
      </w:r>
      <w:r>
        <w:rPr>
          <w:spacing w:val="2"/>
          <w:sz w:val="16"/>
        </w:rPr>
        <w:t xml:space="preserve"> </w:t>
      </w:r>
      <w:r>
        <w:rPr>
          <w:sz w:val="16"/>
        </w:rPr>
        <w:t>to</w:t>
      </w:r>
      <w:r>
        <w:rPr>
          <w:spacing w:val="-3"/>
          <w:sz w:val="16"/>
        </w:rPr>
        <w:t xml:space="preserve"> </w:t>
      </w:r>
      <w:r>
        <w:rPr>
          <w:spacing w:val="-1"/>
          <w:sz w:val="16"/>
        </w:rPr>
        <w:t>15</w:t>
      </w:r>
      <w:r>
        <w:rPr>
          <w:spacing w:val="2"/>
          <w:sz w:val="16"/>
        </w:rPr>
        <w:t xml:space="preserve"> </w:t>
      </w:r>
      <w:r>
        <w:rPr>
          <w:sz w:val="16"/>
        </w:rPr>
        <w:t>mg</w:t>
      </w:r>
      <w:r>
        <w:rPr>
          <w:spacing w:val="-1"/>
          <w:sz w:val="16"/>
        </w:rPr>
        <w:t xml:space="preserve"> once daily</w:t>
      </w:r>
      <w:r>
        <w:rPr>
          <w:spacing w:val="-3"/>
          <w:sz w:val="16"/>
        </w:rPr>
        <w:t xml:space="preserve"> </w:t>
      </w:r>
      <w:r>
        <w:rPr>
          <w:spacing w:val="-1"/>
          <w:sz w:val="16"/>
        </w:rPr>
        <w:t>after</w:t>
      </w:r>
      <w:r>
        <w:rPr>
          <w:sz w:val="16"/>
        </w:rPr>
        <w:t xml:space="preserve"> 2</w:t>
      </w:r>
      <w:r>
        <w:rPr>
          <w:spacing w:val="2"/>
          <w:sz w:val="16"/>
        </w:rPr>
        <w:t xml:space="preserve"> </w:t>
      </w:r>
      <w:r>
        <w:rPr>
          <w:spacing w:val="-2"/>
          <w:sz w:val="16"/>
        </w:rPr>
        <w:t>cycles</w:t>
      </w:r>
      <w:r>
        <w:rPr>
          <w:spacing w:val="1"/>
          <w:sz w:val="16"/>
        </w:rPr>
        <w:t xml:space="preserve"> </w:t>
      </w:r>
      <w:r>
        <w:rPr>
          <w:sz w:val="16"/>
        </w:rPr>
        <w:t xml:space="preserve">if </w:t>
      </w:r>
      <w:r>
        <w:rPr>
          <w:spacing w:val="-1"/>
          <w:sz w:val="16"/>
        </w:rPr>
        <w:t xml:space="preserve">patient </w:t>
      </w:r>
      <w:r>
        <w:rPr>
          <w:sz w:val="16"/>
        </w:rPr>
        <w:t>is</w:t>
      </w:r>
      <w:r>
        <w:rPr>
          <w:spacing w:val="-2"/>
          <w:sz w:val="16"/>
        </w:rPr>
        <w:t xml:space="preserve"> </w:t>
      </w:r>
      <w:r>
        <w:rPr>
          <w:spacing w:val="-1"/>
          <w:sz w:val="16"/>
        </w:rPr>
        <w:t>not</w:t>
      </w:r>
      <w:r>
        <w:rPr>
          <w:spacing w:val="1"/>
          <w:sz w:val="16"/>
        </w:rPr>
        <w:t xml:space="preserve"> </w:t>
      </w:r>
      <w:r>
        <w:rPr>
          <w:spacing w:val="-1"/>
          <w:sz w:val="16"/>
        </w:rPr>
        <w:t xml:space="preserve">responding </w:t>
      </w:r>
      <w:r>
        <w:rPr>
          <w:sz w:val="16"/>
        </w:rPr>
        <w:t>to</w:t>
      </w:r>
      <w:r>
        <w:rPr>
          <w:spacing w:val="-3"/>
          <w:sz w:val="16"/>
        </w:rPr>
        <w:t xml:space="preserve"> </w:t>
      </w:r>
      <w:r>
        <w:rPr>
          <w:spacing w:val="-1"/>
          <w:sz w:val="16"/>
        </w:rPr>
        <w:t>treatment</w:t>
      </w:r>
      <w:r>
        <w:rPr>
          <w:spacing w:val="1"/>
          <w:sz w:val="16"/>
        </w:rPr>
        <w:t xml:space="preserve"> </w:t>
      </w:r>
      <w:r>
        <w:rPr>
          <w:spacing w:val="-2"/>
          <w:sz w:val="16"/>
        </w:rPr>
        <w:t>and</w:t>
      </w:r>
      <w:r>
        <w:rPr>
          <w:spacing w:val="2"/>
          <w:sz w:val="16"/>
        </w:rPr>
        <w:t xml:space="preserve"> </w:t>
      </w:r>
      <w:r>
        <w:rPr>
          <w:spacing w:val="-1"/>
          <w:sz w:val="16"/>
        </w:rPr>
        <w:t>is</w:t>
      </w:r>
      <w:r>
        <w:rPr>
          <w:sz w:val="16"/>
        </w:rPr>
        <w:t xml:space="preserve"> </w:t>
      </w:r>
      <w:r>
        <w:rPr>
          <w:spacing w:val="-1"/>
          <w:sz w:val="16"/>
        </w:rPr>
        <w:t>tolerating the treatment.</w:t>
      </w:r>
    </w:p>
    <w:p w:rsidR="00C13AFC" w:rsidRDefault="00C13AFC" w:rsidP="00B2301B">
      <w:pPr>
        <w:shd w:val="clear" w:color="auto" w:fill="DBE5F1" w:themeFill="accent1" w:themeFillTint="33"/>
        <w:spacing w:line="186" w:lineRule="exact"/>
        <w:ind w:left="218"/>
        <w:rPr>
          <w:rFonts w:eastAsia="Times New Roman"/>
          <w:sz w:val="16"/>
          <w:szCs w:val="16"/>
        </w:rPr>
      </w:pPr>
      <w:r>
        <w:rPr>
          <w:position w:val="6"/>
          <w:sz w:val="10"/>
        </w:rPr>
        <w:t xml:space="preserve">2  </w:t>
      </w:r>
      <w:r>
        <w:rPr>
          <w:spacing w:val="18"/>
          <w:position w:val="6"/>
          <w:sz w:val="10"/>
        </w:rPr>
        <w:t xml:space="preserve"> </w:t>
      </w:r>
      <w:r>
        <w:rPr>
          <w:spacing w:val="-2"/>
          <w:sz w:val="16"/>
        </w:rPr>
        <w:t>In</w:t>
      </w:r>
      <w:r>
        <w:rPr>
          <w:spacing w:val="2"/>
          <w:sz w:val="16"/>
        </w:rPr>
        <w:t xml:space="preserve"> </w:t>
      </w:r>
      <w:r>
        <w:rPr>
          <w:spacing w:val="-1"/>
          <w:sz w:val="16"/>
        </w:rPr>
        <w:t>countries</w:t>
      </w:r>
      <w:r>
        <w:rPr>
          <w:sz w:val="16"/>
        </w:rPr>
        <w:t xml:space="preserve"> </w:t>
      </w:r>
      <w:r>
        <w:rPr>
          <w:spacing w:val="-2"/>
          <w:sz w:val="16"/>
        </w:rPr>
        <w:t>where</w:t>
      </w:r>
      <w:r>
        <w:rPr>
          <w:spacing w:val="-1"/>
          <w:sz w:val="16"/>
        </w:rPr>
        <w:t xml:space="preserve"> </w:t>
      </w:r>
      <w:r>
        <w:rPr>
          <w:sz w:val="16"/>
        </w:rPr>
        <w:t>the</w:t>
      </w:r>
      <w:r>
        <w:rPr>
          <w:spacing w:val="-1"/>
          <w:sz w:val="16"/>
        </w:rPr>
        <w:t xml:space="preserve"> 7.5</w:t>
      </w:r>
      <w:r>
        <w:rPr>
          <w:spacing w:val="1"/>
          <w:sz w:val="16"/>
        </w:rPr>
        <w:t xml:space="preserve"> </w:t>
      </w:r>
      <w:r>
        <w:rPr>
          <w:sz w:val="16"/>
        </w:rPr>
        <w:t>mg</w:t>
      </w:r>
      <w:r>
        <w:rPr>
          <w:spacing w:val="-3"/>
          <w:sz w:val="16"/>
        </w:rPr>
        <w:t xml:space="preserve"> </w:t>
      </w:r>
      <w:r>
        <w:rPr>
          <w:spacing w:val="-1"/>
          <w:sz w:val="16"/>
        </w:rPr>
        <w:t xml:space="preserve">capsule </w:t>
      </w:r>
      <w:r>
        <w:rPr>
          <w:sz w:val="16"/>
        </w:rPr>
        <w:t>is</w:t>
      </w:r>
      <w:r>
        <w:rPr>
          <w:spacing w:val="-2"/>
          <w:sz w:val="16"/>
        </w:rPr>
        <w:t xml:space="preserve"> </w:t>
      </w:r>
      <w:r>
        <w:rPr>
          <w:spacing w:val="-1"/>
          <w:sz w:val="16"/>
        </w:rPr>
        <w:t>available.</w:t>
      </w:r>
    </w:p>
    <w:p w:rsidR="00C13AFC" w:rsidRDefault="00C13AFC" w:rsidP="00B2301B">
      <w:pPr>
        <w:shd w:val="clear" w:color="auto" w:fill="DBE5F1" w:themeFill="accent1" w:themeFillTint="33"/>
        <w:rPr>
          <w:rFonts w:eastAsia="Times New Roman"/>
          <w:vertAlign w:val="superscript"/>
        </w:rPr>
      </w:pPr>
    </w:p>
    <w:p w:rsidR="00C13AFC" w:rsidRDefault="00C13AFC" w:rsidP="00C13AFC">
      <w:pPr>
        <w:spacing w:before="51"/>
        <w:ind w:left="218"/>
        <w:rPr>
          <w:rFonts w:eastAsia="Times New Roman"/>
        </w:rPr>
      </w:pPr>
      <w:r>
        <w:rPr>
          <w:i/>
          <w:spacing w:val="-1"/>
        </w:rPr>
        <w:t>Follicular</w:t>
      </w:r>
      <w:r>
        <w:rPr>
          <w:i/>
          <w:spacing w:val="-2"/>
        </w:rPr>
        <w:t xml:space="preserve"> </w:t>
      </w:r>
      <w:r>
        <w:rPr>
          <w:i/>
          <w:spacing w:val="-1"/>
        </w:rPr>
        <w:t>lymphoma</w:t>
      </w:r>
    </w:p>
    <w:tbl>
      <w:tblPr>
        <w:tblW w:w="0" w:type="auto"/>
        <w:tblInd w:w="95" w:type="dxa"/>
        <w:tblLayout w:type="fixed"/>
        <w:tblCellMar>
          <w:left w:w="0" w:type="dxa"/>
          <w:right w:w="0" w:type="dxa"/>
        </w:tblCellMar>
        <w:tblLook w:val="01E0" w:firstRow="1" w:lastRow="1" w:firstColumn="1" w:lastColumn="1" w:noHBand="0" w:noVBand="0"/>
      </w:tblPr>
      <w:tblGrid>
        <w:gridCol w:w="6435"/>
        <w:gridCol w:w="3420"/>
      </w:tblGrid>
      <w:tr w:rsidR="00C13AFC" w:rsidTr="00C13AFC">
        <w:trPr>
          <w:trHeight w:hRule="exact" w:val="790"/>
        </w:trPr>
        <w:tc>
          <w:tcPr>
            <w:tcW w:w="6435" w:type="dxa"/>
            <w:tcBorders>
              <w:top w:val="single" w:sz="13" w:space="0" w:color="000000"/>
              <w:left w:val="single" w:sz="12" w:space="0" w:color="000000"/>
              <w:bottom w:val="single" w:sz="13" w:space="0" w:color="000000"/>
              <w:right w:val="single" w:sz="5" w:space="0" w:color="000000"/>
            </w:tcBorders>
          </w:tcPr>
          <w:p w:rsidR="00C13AFC" w:rsidRDefault="00C13AFC" w:rsidP="00C13AFC">
            <w:pPr>
              <w:pStyle w:val="TableParagraph"/>
              <w:spacing w:line="248"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3420" w:type="dxa"/>
            <w:tcBorders>
              <w:top w:val="single" w:sz="13" w:space="0" w:color="000000"/>
              <w:left w:val="single" w:sz="5" w:space="0" w:color="000000"/>
              <w:bottom w:val="single" w:sz="13" w:space="0" w:color="000000"/>
              <w:right w:val="single" w:sz="12" w:space="0" w:color="000000"/>
            </w:tcBorders>
          </w:tcPr>
          <w:p w:rsidR="00C13AFC" w:rsidRDefault="00C13AFC" w:rsidP="00C13AFC">
            <w:pPr>
              <w:pStyle w:val="TableParagraph"/>
              <w:spacing w:line="248" w:lineRule="exact"/>
              <w:ind w:left="102"/>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p w:rsidR="00C13AFC" w:rsidRDefault="00C13AFC" w:rsidP="00C13AFC">
            <w:pPr>
              <w:pStyle w:val="TableParagraph"/>
              <w:spacing w:before="1"/>
              <w:ind w:left="102" w:right="1110"/>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21</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repeated</w:t>
            </w:r>
            <w:r>
              <w:rPr>
                <w:rFonts w:ascii="Times New Roman"/>
                <w:spacing w:val="29"/>
              </w:rPr>
              <w:t xml:space="preserve"> </w:t>
            </w:r>
            <w:r>
              <w:rPr>
                <w:rFonts w:ascii="Times New Roman"/>
                <w:spacing w:val="-1"/>
              </w:rPr>
              <w:t>28-day</w:t>
            </w:r>
            <w:r>
              <w:rPr>
                <w:rFonts w:ascii="Times New Roman"/>
                <w:spacing w:val="-2"/>
              </w:rPr>
              <w:t xml:space="preserve"> </w:t>
            </w:r>
            <w:r>
              <w:rPr>
                <w:rFonts w:ascii="Times New Roman"/>
                <w:spacing w:val="-1"/>
              </w:rPr>
              <w:t>cycles)</w:t>
            </w:r>
          </w:p>
        </w:tc>
      </w:tr>
      <w:tr w:rsidR="00C13AFC" w:rsidTr="00C13AFC">
        <w:trPr>
          <w:trHeight w:hRule="exact" w:val="542"/>
        </w:trPr>
        <w:tc>
          <w:tcPr>
            <w:tcW w:w="6435" w:type="dxa"/>
            <w:tcBorders>
              <w:top w:val="single" w:sz="13" w:space="0" w:color="000000"/>
              <w:left w:val="single" w:sz="12" w:space="0" w:color="000000"/>
              <w:bottom w:val="single" w:sz="5" w:space="0" w:color="000000"/>
              <w:right w:val="single" w:sz="5" w:space="0" w:color="000000"/>
            </w:tcBorders>
          </w:tcPr>
          <w:p w:rsidR="00C13AFC" w:rsidRDefault="00C13AFC" w:rsidP="00C13AFC">
            <w:pPr>
              <w:pStyle w:val="TableParagraph"/>
              <w:spacing w:line="242" w:lineRule="auto"/>
              <w:ind w:left="92" w:right="3909"/>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60 </w:t>
            </w:r>
            <w:r>
              <w:rPr>
                <w:rFonts w:ascii="Times New Roman" w:eastAsia="Times New Roman" w:hAnsi="Times New Roman" w:cs="Times New Roman"/>
                <w:spacing w:val="-2"/>
              </w:rPr>
              <w:t>mL/min)</w:t>
            </w:r>
          </w:p>
        </w:tc>
        <w:tc>
          <w:tcPr>
            <w:tcW w:w="3420" w:type="dxa"/>
            <w:tcBorders>
              <w:top w:val="single" w:sz="13" w:space="0" w:color="000000"/>
              <w:left w:val="single" w:sz="5" w:space="0" w:color="000000"/>
              <w:bottom w:val="single" w:sz="5" w:space="0" w:color="000000"/>
              <w:right w:val="single" w:sz="12" w:space="0" w:color="000000"/>
            </w:tcBorders>
          </w:tcPr>
          <w:p w:rsidR="00C13AFC" w:rsidRDefault="00C13AFC" w:rsidP="00C13AFC">
            <w:pPr>
              <w:pStyle w:val="TableParagraph"/>
              <w:spacing w:line="249" w:lineRule="exact"/>
              <w:ind w:left="102"/>
              <w:rPr>
                <w:rFonts w:ascii="Times New Roman" w:eastAsia="Times New Roman" w:hAnsi="Times New Roman" w:cs="Times New Roman"/>
                <w:sz w:val="14"/>
                <w:szCs w:val="14"/>
              </w:rPr>
            </w:pPr>
            <w:r>
              <w:rPr>
                <w:rFonts w:ascii="Times New Roman"/>
              </w:rPr>
              <w:t>10</w:t>
            </w:r>
            <w:r>
              <w:rPr>
                <w:rFonts w:ascii="Times New Roman"/>
                <w:spacing w:val="-1"/>
              </w:rPr>
              <w:t xml:space="preserve"> mg</w:t>
            </w:r>
            <w:r>
              <w:rPr>
                <w:rFonts w:ascii="Times New Roman"/>
                <w:spacing w:val="-3"/>
              </w:rPr>
              <w:t xml:space="preserve"> </w:t>
            </w:r>
            <w:r>
              <w:rPr>
                <w:rFonts w:ascii="Times New Roman"/>
              </w:rPr>
              <w:t>once</w:t>
            </w:r>
            <w:r>
              <w:rPr>
                <w:rFonts w:ascii="Times New Roman"/>
                <w:spacing w:val="-1"/>
              </w:rPr>
              <w:t xml:space="preserve"> daily</w:t>
            </w:r>
            <w:r>
              <w:rPr>
                <w:rFonts w:ascii="Times New Roman"/>
                <w:spacing w:val="-1"/>
                <w:position w:val="8"/>
                <w:sz w:val="14"/>
              </w:rPr>
              <w:t>1,</w:t>
            </w:r>
            <w:r>
              <w:rPr>
                <w:rFonts w:ascii="Times New Roman"/>
                <w:spacing w:val="2"/>
                <w:position w:val="8"/>
                <w:sz w:val="14"/>
              </w:rPr>
              <w:t xml:space="preserve"> </w:t>
            </w:r>
            <w:r>
              <w:rPr>
                <w:rFonts w:ascii="Times New Roman"/>
                <w:position w:val="8"/>
                <w:sz w:val="14"/>
              </w:rPr>
              <w:t>2</w:t>
            </w:r>
          </w:p>
        </w:tc>
      </w:tr>
      <w:tr w:rsidR="00C13AFC" w:rsidTr="00C13AFC">
        <w:trPr>
          <w:trHeight w:hRule="exact" w:val="516"/>
        </w:trPr>
        <w:tc>
          <w:tcPr>
            <w:tcW w:w="6435" w:type="dxa"/>
            <w:tcBorders>
              <w:top w:val="single" w:sz="5" w:space="0" w:color="000000"/>
              <w:left w:val="single" w:sz="12" w:space="0" w:color="000000"/>
              <w:bottom w:val="single" w:sz="5" w:space="0" w:color="000000"/>
              <w:right w:val="single" w:sz="5" w:space="0" w:color="000000"/>
            </w:tcBorders>
          </w:tcPr>
          <w:p w:rsidR="00C13AFC" w:rsidRDefault="00C13AFC" w:rsidP="00C13AFC">
            <w:pPr>
              <w:pStyle w:val="TableParagraph"/>
              <w:spacing w:line="250"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C13AFC">
            <w:pPr>
              <w:pStyle w:val="TableParagraph"/>
              <w:spacing w:line="252" w:lineRule="exact"/>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5" w:space="0" w:color="000000"/>
              <w:right w:val="single" w:sz="12" w:space="0" w:color="000000"/>
            </w:tcBorders>
          </w:tcPr>
          <w:p w:rsidR="00C13AFC" w:rsidRDefault="00C13AFC" w:rsidP="00C13AFC">
            <w:pPr>
              <w:pStyle w:val="TableParagraph"/>
              <w:spacing w:line="251" w:lineRule="exact"/>
              <w:ind w:left="102"/>
              <w:rPr>
                <w:rFonts w:ascii="Times New Roman" w:eastAsia="Times New Roman" w:hAnsi="Times New Roman" w:cs="Times New Roman"/>
                <w:sz w:val="14"/>
                <w:szCs w:val="14"/>
              </w:rPr>
            </w:pPr>
            <w:r>
              <w:rPr>
                <w:rFonts w:ascii="Times New Roman"/>
                <w:spacing w:val="-1"/>
              </w:rPr>
              <w:t xml:space="preserve">No </w:t>
            </w:r>
            <w:r>
              <w:rPr>
                <w:rFonts w:ascii="Times New Roman"/>
              </w:rPr>
              <w:t>data</w:t>
            </w:r>
            <w:r>
              <w:rPr>
                <w:rFonts w:ascii="Times New Roman"/>
                <w:spacing w:val="-2"/>
              </w:rPr>
              <w:t xml:space="preserve"> </w:t>
            </w:r>
            <w:r>
              <w:rPr>
                <w:rFonts w:ascii="Times New Roman"/>
                <w:spacing w:val="-1"/>
              </w:rPr>
              <w:t>available</w:t>
            </w:r>
            <w:r>
              <w:rPr>
                <w:rFonts w:ascii="Times New Roman"/>
                <w:spacing w:val="-1"/>
                <w:position w:val="8"/>
                <w:sz w:val="14"/>
              </w:rPr>
              <w:t>3</w:t>
            </w:r>
          </w:p>
        </w:tc>
      </w:tr>
      <w:tr w:rsidR="00C13AFC" w:rsidTr="00C13AFC">
        <w:trPr>
          <w:trHeight w:hRule="exact" w:val="523"/>
        </w:trPr>
        <w:tc>
          <w:tcPr>
            <w:tcW w:w="6435" w:type="dxa"/>
            <w:tcBorders>
              <w:top w:val="single" w:sz="5" w:space="0" w:color="000000"/>
              <w:left w:val="single" w:sz="12" w:space="0" w:color="000000"/>
              <w:bottom w:val="single" w:sz="12" w:space="0" w:color="000000"/>
              <w:right w:val="single" w:sz="5" w:space="0" w:color="000000"/>
            </w:tcBorders>
          </w:tcPr>
          <w:p w:rsidR="00C13AFC" w:rsidRDefault="00C13AFC" w:rsidP="00C13AFC">
            <w:pPr>
              <w:pStyle w:val="TableParagraph"/>
              <w:spacing w:before="1" w:line="252" w:lineRule="exact"/>
              <w:ind w:left="92" w:right="2856"/>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12" w:space="0" w:color="000000"/>
              <w:right w:val="single" w:sz="12" w:space="0" w:color="000000"/>
            </w:tcBorders>
          </w:tcPr>
          <w:p w:rsidR="00C13AFC" w:rsidRDefault="00C13AFC" w:rsidP="00C13AFC">
            <w:pPr>
              <w:pStyle w:val="TableParagraph"/>
              <w:spacing w:line="251" w:lineRule="exact"/>
              <w:ind w:left="102"/>
              <w:rPr>
                <w:rFonts w:ascii="Times New Roman" w:eastAsia="Times New Roman" w:hAnsi="Times New Roman" w:cs="Times New Roman"/>
                <w:sz w:val="14"/>
                <w:szCs w:val="14"/>
              </w:rPr>
            </w:pPr>
            <w:r>
              <w:rPr>
                <w:rFonts w:ascii="Times New Roman"/>
                <w:spacing w:val="-1"/>
              </w:rPr>
              <w:t xml:space="preserve">No </w:t>
            </w:r>
            <w:r>
              <w:rPr>
                <w:rFonts w:ascii="Times New Roman"/>
              </w:rPr>
              <w:t>data</w:t>
            </w:r>
            <w:r>
              <w:rPr>
                <w:rFonts w:ascii="Times New Roman"/>
                <w:spacing w:val="-2"/>
              </w:rPr>
              <w:t xml:space="preserve"> </w:t>
            </w:r>
            <w:r>
              <w:rPr>
                <w:rFonts w:ascii="Times New Roman"/>
                <w:spacing w:val="-1"/>
              </w:rPr>
              <w:t>available</w:t>
            </w:r>
            <w:r>
              <w:rPr>
                <w:rFonts w:ascii="Times New Roman"/>
                <w:spacing w:val="-1"/>
                <w:position w:val="8"/>
                <w:sz w:val="14"/>
              </w:rPr>
              <w:t>3</w:t>
            </w:r>
          </w:p>
        </w:tc>
      </w:tr>
    </w:tbl>
    <w:p w:rsidR="00C13AFC" w:rsidRDefault="00C13AFC" w:rsidP="00C13AFC">
      <w:pPr>
        <w:spacing w:before="3" w:line="183" w:lineRule="exact"/>
        <w:ind w:left="218"/>
        <w:rPr>
          <w:rFonts w:eastAsia="Times New Roman"/>
          <w:sz w:val="16"/>
          <w:szCs w:val="16"/>
        </w:rPr>
      </w:pPr>
      <w:r>
        <w:rPr>
          <w:sz w:val="16"/>
        </w:rPr>
        <w:t xml:space="preserve">¹ </w:t>
      </w:r>
      <w:r>
        <w:rPr>
          <w:spacing w:val="-1"/>
          <w:sz w:val="16"/>
        </w:rPr>
        <w:t xml:space="preserve">The </w:t>
      </w:r>
      <w:r>
        <w:rPr>
          <w:sz w:val="16"/>
        </w:rPr>
        <w:t>dose</w:t>
      </w:r>
      <w:r>
        <w:rPr>
          <w:spacing w:val="-2"/>
          <w:sz w:val="16"/>
        </w:rPr>
        <w:t xml:space="preserve"> </w:t>
      </w:r>
      <w:r>
        <w:rPr>
          <w:spacing w:val="-1"/>
          <w:sz w:val="16"/>
        </w:rPr>
        <w:t>may</w:t>
      </w:r>
      <w:r>
        <w:rPr>
          <w:spacing w:val="-3"/>
          <w:sz w:val="16"/>
        </w:rPr>
        <w:t xml:space="preserve"> </w:t>
      </w:r>
      <w:r>
        <w:rPr>
          <w:sz w:val="16"/>
        </w:rPr>
        <w:t>be</w:t>
      </w:r>
      <w:r>
        <w:rPr>
          <w:spacing w:val="-1"/>
          <w:sz w:val="16"/>
        </w:rPr>
        <w:t xml:space="preserve"> escalated </w:t>
      </w:r>
      <w:r>
        <w:rPr>
          <w:sz w:val="16"/>
        </w:rPr>
        <w:t>to</w:t>
      </w:r>
      <w:r>
        <w:rPr>
          <w:spacing w:val="-1"/>
          <w:sz w:val="16"/>
        </w:rPr>
        <w:t xml:space="preserve"> 15</w:t>
      </w:r>
      <w:r>
        <w:rPr>
          <w:spacing w:val="2"/>
          <w:sz w:val="16"/>
        </w:rPr>
        <w:t xml:space="preserve"> </w:t>
      </w:r>
      <w:r>
        <w:rPr>
          <w:spacing w:val="-1"/>
          <w:sz w:val="16"/>
        </w:rPr>
        <w:t>mg</w:t>
      </w:r>
      <w:r>
        <w:rPr>
          <w:spacing w:val="-3"/>
          <w:sz w:val="16"/>
        </w:rPr>
        <w:t xml:space="preserve"> </w:t>
      </w:r>
      <w:r>
        <w:rPr>
          <w:spacing w:val="-1"/>
          <w:sz w:val="16"/>
        </w:rPr>
        <w:t>once daily</w:t>
      </w:r>
      <w:r>
        <w:rPr>
          <w:spacing w:val="-3"/>
          <w:sz w:val="16"/>
        </w:rPr>
        <w:t xml:space="preserve"> </w:t>
      </w:r>
      <w:r>
        <w:rPr>
          <w:spacing w:val="-1"/>
          <w:sz w:val="16"/>
        </w:rPr>
        <w:t>after</w:t>
      </w:r>
      <w:r>
        <w:rPr>
          <w:sz w:val="16"/>
        </w:rPr>
        <w:t xml:space="preserve"> 2</w:t>
      </w:r>
      <w:r>
        <w:rPr>
          <w:spacing w:val="1"/>
          <w:sz w:val="16"/>
        </w:rPr>
        <w:t xml:space="preserve"> </w:t>
      </w:r>
      <w:r>
        <w:rPr>
          <w:spacing w:val="-2"/>
          <w:sz w:val="16"/>
        </w:rPr>
        <w:t>cycles</w:t>
      </w:r>
      <w:r>
        <w:rPr>
          <w:sz w:val="16"/>
        </w:rPr>
        <w:t xml:space="preserve"> if the</w:t>
      </w:r>
      <w:r>
        <w:rPr>
          <w:spacing w:val="-4"/>
          <w:sz w:val="16"/>
        </w:rPr>
        <w:t xml:space="preserve"> </w:t>
      </w:r>
      <w:r>
        <w:rPr>
          <w:spacing w:val="-1"/>
          <w:sz w:val="16"/>
        </w:rPr>
        <w:t xml:space="preserve">patient </w:t>
      </w:r>
      <w:r>
        <w:rPr>
          <w:sz w:val="16"/>
        </w:rPr>
        <w:t>has</w:t>
      </w:r>
      <w:r>
        <w:rPr>
          <w:spacing w:val="-2"/>
          <w:sz w:val="16"/>
        </w:rPr>
        <w:t xml:space="preserve"> </w:t>
      </w:r>
      <w:r>
        <w:rPr>
          <w:spacing w:val="-1"/>
          <w:sz w:val="16"/>
        </w:rPr>
        <w:t>tolerated</w:t>
      </w:r>
      <w:r>
        <w:rPr>
          <w:spacing w:val="2"/>
          <w:sz w:val="16"/>
        </w:rPr>
        <w:t xml:space="preserve"> </w:t>
      </w:r>
      <w:r>
        <w:rPr>
          <w:spacing w:val="-1"/>
          <w:sz w:val="16"/>
        </w:rPr>
        <w:t>therapy.</w:t>
      </w:r>
    </w:p>
    <w:p w:rsidR="00C13AFC" w:rsidRDefault="00C13AFC" w:rsidP="00C13AFC">
      <w:pPr>
        <w:ind w:left="218" w:right="310"/>
        <w:rPr>
          <w:rFonts w:eastAsia="Times New Roman"/>
          <w:sz w:val="16"/>
          <w:szCs w:val="16"/>
        </w:rPr>
      </w:pPr>
      <w:r>
        <w:rPr>
          <w:position w:val="6"/>
          <w:sz w:val="10"/>
        </w:rPr>
        <w:t>2</w:t>
      </w:r>
      <w:r>
        <w:rPr>
          <w:spacing w:val="1"/>
          <w:position w:val="6"/>
          <w:sz w:val="10"/>
        </w:rPr>
        <w:t xml:space="preserve"> </w:t>
      </w:r>
      <w:r>
        <w:rPr>
          <w:spacing w:val="-2"/>
          <w:sz w:val="16"/>
        </w:rPr>
        <w:t>For</w:t>
      </w:r>
      <w:r>
        <w:rPr>
          <w:sz w:val="16"/>
        </w:rPr>
        <w:t xml:space="preserve"> </w:t>
      </w:r>
      <w:r>
        <w:rPr>
          <w:spacing w:val="-1"/>
          <w:sz w:val="16"/>
        </w:rPr>
        <w:t>patients</w:t>
      </w:r>
      <w:r>
        <w:rPr>
          <w:sz w:val="16"/>
        </w:rPr>
        <w:t xml:space="preserve"> </w:t>
      </w:r>
      <w:r>
        <w:rPr>
          <w:spacing w:val="-2"/>
          <w:sz w:val="16"/>
        </w:rPr>
        <w:t>on</w:t>
      </w:r>
      <w:r>
        <w:rPr>
          <w:spacing w:val="2"/>
          <w:sz w:val="16"/>
        </w:rPr>
        <w:t xml:space="preserve"> </w:t>
      </w:r>
      <w:r>
        <w:rPr>
          <w:sz w:val="16"/>
        </w:rPr>
        <w:t>a</w:t>
      </w:r>
      <w:r>
        <w:rPr>
          <w:spacing w:val="-1"/>
          <w:sz w:val="16"/>
        </w:rPr>
        <w:t xml:space="preserve"> starting</w:t>
      </w:r>
      <w:r>
        <w:rPr>
          <w:spacing w:val="-3"/>
          <w:sz w:val="16"/>
        </w:rPr>
        <w:t xml:space="preserve"> </w:t>
      </w:r>
      <w:r>
        <w:rPr>
          <w:spacing w:val="-1"/>
          <w:sz w:val="16"/>
        </w:rPr>
        <w:t>dose of</w:t>
      </w:r>
      <w:r>
        <w:rPr>
          <w:sz w:val="16"/>
        </w:rPr>
        <w:t xml:space="preserve"> 10</w:t>
      </w:r>
      <w:r>
        <w:rPr>
          <w:spacing w:val="-3"/>
          <w:sz w:val="16"/>
        </w:rPr>
        <w:t xml:space="preserve"> </w:t>
      </w:r>
      <w:r>
        <w:rPr>
          <w:spacing w:val="-1"/>
          <w:sz w:val="16"/>
        </w:rPr>
        <w:t>mg,</w:t>
      </w:r>
      <w:r>
        <w:rPr>
          <w:spacing w:val="1"/>
          <w:sz w:val="16"/>
        </w:rPr>
        <w:t xml:space="preserve"> </w:t>
      </w:r>
      <w:r>
        <w:rPr>
          <w:spacing w:val="-1"/>
          <w:sz w:val="16"/>
        </w:rPr>
        <w:t>in</w:t>
      </w:r>
      <w:r>
        <w:rPr>
          <w:spacing w:val="1"/>
          <w:sz w:val="16"/>
        </w:rPr>
        <w:t xml:space="preserve"> </w:t>
      </w:r>
      <w:r>
        <w:rPr>
          <w:spacing w:val="-1"/>
          <w:sz w:val="16"/>
        </w:rPr>
        <w:t>case</w:t>
      </w:r>
      <w:r>
        <w:rPr>
          <w:spacing w:val="-2"/>
          <w:sz w:val="16"/>
        </w:rPr>
        <w:t xml:space="preserve"> </w:t>
      </w:r>
      <w:r>
        <w:rPr>
          <w:spacing w:val="-1"/>
          <w:sz w:val="16"/>
        </w:rPr>
        <w:t>of</w:t>
      </w:r>
      <w:r>
        <w:rPr>
          <w:sz w:val="16"/>
        </w:rPr>
        <w:t xml:space="preserve"> dose</w:t>
      </w:r>
      <w:r>
        <w:rPr>
          <w:spacing w:val="-2"/>
          <w:sz w:val="16"/>
        </w:rPr>
        <w:t xml:space="preserve"> </w:t>
      </w:r>
      <w:r>
        <w:rPr>
          <w:spacing w:val="-1"/>
          <w:sz w:val="16"/>
        </w:rPr>
        <w:t>reduction</w:t>
      </w:r>
      <w:r>
        <w:rPr>
          <w:spacing w:val="1"/>
          <w:sz w:val="16"/>
        </w:rPr>
        <w:t xml:space="preserve"> </w:t>
      </w:r>
      <w:r>
        <w:rPr>
          <w:sz w:val="16"/>
        </w:rPr>
        <w:t>to</w:t>
      </w:r>
      <w:r>
        <w:rPr>
          <w:spacing w:val="-3"/>
          <w:sz w:val="16"/>
        </w:rPr>
        <w:t xml:space="preserve"> </w:t>
      </w:r>
      <w:r>
        <w:rPr>
          <w:spacing w:val="-1"/>
          <w:sz w:val="16"/>
        </w:rPr>
        <w:t>manage</w:t>
      </w:r>
      <w:r>
        <w:rPr>
          <w:spacing w:val="1"/>
          <w:sz w:val="16"/>
        </w:rPr>
        <w:t xml:space="preserve"> </w:t>
      </w:r>
      <w:r>
        <w:rPr>
          <w:spacing w:val="-1"/>
          <w:sz w:val="16"/>
        </w:rPr>
        <w:t xml:space="preserve">Grade </w:t>
      </w:r>
      <w:r>
        <w:rPr>
          <w:sz w:val="16"/>
        </w:rPr>
        <w:t>3</w:t>
      </w:r>
      <w:r>
        <w:rPr>
          <w:spacing w:val="1"/>
          <w:sz w:val="16"/>
        </w:rPr>
        <w:t xml:space="preserve"> </w:t>
      </w:r>
      <w:r>
        <w:rPr>
          <w:spacing w:val="-1"/>
          <w:sz w:val="16"/>
        </w:rPr>
        <w:t xml:space="preserve">or </w:t>
      </w:r>
      <w:r>
        <w:rPr>
          <w:sz w:val="16"/>
        </w:rPr>
        <w:t>4</w:t>
      </w:r>
      <w:r>
        <w:rPr>
          <w:spacing w:val="-1"/>
          <w:sz w:val="16"/>
        </w:rPr>
        <w:t xml:space="preserve"> neutropenia</w:t>
      </w:r>
      <w:r>
        <w:rPr>
          <w:spacing w:val="1"/>
          <w:sz w:val="16"/>
        </w:rPr>
        <w:t xml:space="preserve"> </w:t>
      </w:r>
      <w:r>
        <w:rPr>
          <w:spacing w:val="-1"/>
          <w:sz w:val="16"/>
        </w:rPr>
        <w:t>or</w:t>
      </w:r>
      <w:r>
        <w:rPr>
          <w:spacing w:val="-3"/>
          <w:sz w:val="16"/>
        </w:rPr>
        <w:t xml:space="preserve"> </w:t>
      </w:r>
      <w:r>
        <w:rPr>
          <w:spacing w:val="-1"/>
          <w:sz w:val="16"/>
        </w:rPr>
        <w:t>thrombocytopenia, or</w:t>
      </w:r>
      <w:r>
        <w:rPr>
          <w:sz w:val="16"/>
        </w:rPr>
        <w:t xml:space="preserve"> </w:t>
      </w:r>
      <w:r>
        <w:rPr>
          <w:spacing w:val="-1"/>
          <w:sz w:val="16"/>
        </w:rPr>
        <w:t>other</w:t>
      </w:r>
      <w:r>
        <w:rPr>
          <w:sz w:val="16"/>
        </w:rPr>
        <w:t xml:space="preserve"> </w:t>
      </w:r>
      <w:r>
        <w:rPr>
          <w:spacing w:val="-1"/>
          <w:sz w:val="16"/>
        </w:rPr>
        <w:t xml:space="preserve">Grade </w:t>
      </w:r>
      <w:r>
        <w:rPr>
          <w:sz w:val="16"/>
        </w:rPr>
        <w:t>3</w:t>
      </w:r>
      <w:r>
        <w:rPr>
          <w:spacing w:val="1"/>
          <w:sz w:val="16"/>
        </w:rPr>
        <w:t xml:space="preserve"> </w:t>
      </w:r>
      <w:r>
        <w:rPr>
          <w:spacing w:val="-1"/>
          <w:sz w:val="16"/>
        </w:rPr>
        <w:t>or</w:t>
      </w:r>
      <w:r>
        <w:rPr>
          <w:spacing w:val="-3"/>
          <w:sz w:val="16"/>
        </w:rPr>
        <w:t xml:space="preserve"> </w:t>
      </w:r>
      <w:r>
        <w:rPr>
          <w:sz w:val="16"/>
        </w:rPr>
        <w:t>4.</w:t>
      </w:r>
      <w:r>
        <w:rPr>
          <w:spacing w:val="81"/>
          <w:sz w:val="16"/>
        </w:rPr>
        <w:t xml:space="preserve"> </w:t>
      </w:r>
      <w:r>
        <w:rPr>
          <w:spacing w:val="-1"/>
          <w:sz w:val="16"/>
        </w:rPr>
        <w:t>Toxicity</w:t>
      </w:r>
      <w:r>
        <w:rPr>
          <w:spacing w:val="-3"/>
          <w:sz w:val="16"/>
        </w:rPr>
        <w:t xml:space="preserve"> </w:t>
      </w:r>
      <w:r>
        <w:rPr>
          <w:spacing w:val="-1"/>
          <w:sz w:val="16"/>
        </w:rPr>
        <w:t xml:space="preserve">judged </w:t>
      </w:r>
      <w:r>
        <w:rPr>
          <w:sz w:val="16"/>
        </w:rPr>
        <w:t>to</w:t>
      </w:r>
      <w:r>
        <w:rPr>
          <w:spacing w:val="-1"/>
          <w:sz w:val="16"/>
        </w:rPr>
        <w:t xml:space="preserve"> </w:t>
      </w:r>
      <w:r>
        <w:rPr>
          <w:sz w:val="16"/>
        </w:rPr>
        <w:t>be</w:t>
      </w:r>
      <w:r>
        <w:rPr>
          <w:spacing w:val="-1"/>
          <w:sz w:val="16"/>
        </w:rPr>
        <w:t xml:space="preserve"> related </w:t>
      </w:r>
      <w:r>
        <w:rPr>
          <w:sz w:val="16"/>
        </w:rPr>
        <w:t>to</w:t>
      </w:r>
      <w:r>
        <w:rPr>
          <w:spacing w:val="-1"/>
          <w:sz w:val="16"/>
        </w:rPr>
        <w:t xml:space="preserve"> lenalidomide </w:t>
      </w:r>
      <w:r>
        <w:rPr>
          <w:sz w:val="16"/>
        </w:rPr>
        <w:t>do</w:t>
      </w:r>
      <w:r>
        <w:rPr>
          <w:spacing w:val="-3"/>
          <w:sz w:val="16"/>
        </w:rPr>
        <w:t xml:space="preserve"> </w:t>
      </w:r>
      <w:r>
        <w:rPr>
          <w:sz w:val="16"/>
        </w:rPr>
        <w:t>not</w:t>
      </w:r>
      <w:r>
        <w:rPr>
          <w:spacing w:val="-1"/>
          <w:sz w:val="16"/>
        </w:rPr>
        <w:t xml:space="preserve"> dose</w:t>
      </w:r>
      <w:r>
        <w:rPr>
          <w:spacing w:val="-2"/>
          <w:sz w:val="16"/>
        </w:rPr>
        <w:t xml:space="preserve"> </w:t>
      </w:r>
      <w:r>
        <w:rPr>
          <w:spacing w:val="-1"/>
          <w:sz w:val="16"/>
        </w:rPr>
        <w:t>below</w:t>
      </w:r>
      <w:r>
        <w:rPr>
          <w:spacing w:val="-3"/>
          <w:sz w:val="16"/>
        </w:rPr>
        <w:t xml:space="preserve"> </w:t>
      </w:r>
      <w:r>
        <w:rPr>
          <w:sz w:val="16"/>
        </w:rPr>
        <w:t>5</w:t>
      </w:r>
      <w:r>
        <w:rPr>
          <w:spacing w:val="2"/>
          <w:sz w:val="16"/>
        </w:rPr>
        <w:t xml:space="preserve"> </w:t>
      </w:r>
      <w:r>
        <w:rPr>
          <w:spacing w:val="-1"/>
          <w:sz w:val="16"/>
        </w:rPr>
        <w:t>mg every other</w:t>
      </w:r>
      <w:r>
        <w:rPr>
          <w:sz w:val="16"/>
        </w:rPr>
        <w:t xml:space="preserve"> </w:t>
      </w:r>
      <w:r>
        <w:rPr>
          <w:spacing w:val="-1"/>
          <w:sz w:val="16"/>
        </w:rPr>
        <w:t>day</w:t>
      </w:r>
      <w:r>
        <w:rPr>
          <w:spacing w:val="-3"/>
          <w:sz w:val="16"/>
        </w:rPr>
        <w:t xml:space="preserve"> </w:t>
      </w:r>
      <w:r>
        <w:rPr>
          <w:spacing w:val="-1"/>
          <w:sz w:val="16"/>
        </w:rPr>
        <w:t>or</w:t>
      </w:r>
      <w:r>
        <w:rPr>
          <w:sz w:val="16"/>
        </w:rPr>
        <w:t xml:space="preserve"> 2.5</w:t>
      </w:r>
      <w:r>
        <w:rPr>
          <w:spacing w:val="-1"/>
          <w:sz w:val="16"/>
        </w:rPr>
        <w:t xml:space="preserve"> </w:t>
      </w:r>
      <w:r>
        <w:rPr>
          <w:sz w:val="16"/>
        </w:rPr>
        <w:t>mg</w:t>
      </w:r>
      <w:r>
        <w:rPr>
          <w:spacing w:val="-1"/>
          <w:sz w:val="16"/>
        </w:rPr>
        <w:t xml:space="preserve"> once</w:t>
      </w:r>
      <w:r>
        <w:rPr>
          <w:spacing w:val="-4"/>
          <w:sz w:val="16"/>
        </w:rPr>
        <w:t xml:space="preserve"> </w:t>
      </w:r>
      <w:r>
        <w:rPr>
          <w:spacing w:val="-2"/>
          <w:sz w:val="16"/>
        </w:rPr>
        <w:t>daily.</w:t>
      </w:r>
    </w:p>
    <w:p w:rsidR="00C13AFC" w:rsidRDefault="00C13AFC" w:rsidP="00C13AFC">
      <w:pPr>
        <w:spacing w:line="185" w:lineRule="exact"/>
        <w:ind w:left="244"/>
        <w:rPr>
          <w:rFonts w:eastAsia="Times New Roman"/>
          <w:sz w:val="16"/>
          <w:szCs w:val="16"/>
        </w:rPr>
      </w:pPr>
      <w:r>
        <w:rPr>
          <w:position w:val="6"/>
          <w:sz w:val="10"/>
        </w:rPr>
        <w:t>3</w:t>
      </w:r>
      <w:r>
        <w:rPr>
          <w:spacing w:val="1"/>
          <w:position w:val="6"/>
          <w:sz w:val="10"/>
        </w:rPr>
        <w:t xml:space="preserve"> </w:t>
      </w:r>
      <w:r>
        <w:rPr>
          <w:spacing w:val="-1"/>
          <w:sz w:val="16"/>
        </w:rPr>
        <w:t>Patients</w:t>
      </w:r>
      <w:r>
        <w:rPr>
          <w:spacing w:val="-2"/>
          <w:sz w:val="16"/>
        </w:rPr>
        <w:t xml:space="preserve"> </w:t>
      </w:r>
      <w:r>
        <w:rPr>
          <w:spacing w:val="-1"/>
          <w:sz w:val="16"/>
        </w:rPr>
        <w:t>with</w:t>
      </w:r>
      <w:r>
        <w:rPr>
          <w:spacing w:val="2"/>
          <w:sz w:val="16"/>
        </w:rPr>
        <w:t xml:space="preserve"> </w:t>
      </w:r>
      <w:r>
        <w:rPr>
          <w:spacing w:val="-2"/>
          <w:sz w:val="16"/>
        </w:rPr>
        <w:t xml:space="preserve">severe </w:t>
      </w:r>
      <w:r>
        <w:rPr>
          <w:spacing w:val="-1"/>
          <w:sz w:val="16"/>
        </w:rPr>
        <w:t>renal impairment</w:t>
      </w:r>
      <w:r>
        <w:rPr>
          <w:spacing w:val="1"/>
          <w:sz w:val="16"/>
        </w:rPr>
        <w:t xml:space="preserve"> </w:t>
      </w:r>
      <w:r>
        <w:rPr>
          <w:spacing w:val="-1"/>
          <w:sz w:val="16"/>
        </w:rPr>
        <w:t>or</w:t>
      </w:r>
      <w:r>
        <w:rPr>
          <w:spacing w:val="-3"/>
          <w:sz w:val="16"/>
        </w:rPr>
        <w:t xml:space="preserve"> </w:t>
      </w:r>
      <w:r>
        <w:rPr>
          <w:spacing w:val="-1"/>
          <w:sz w:val="16"/>
        </w:rPr>
        <w:t>ESRD</w:t>
      </w:r>
      <w:r>
        <w:rPr>
          <w:sz w:val="16"/>
        </w:rPr>
        <w:t xml:space="preserve"> </w:t>
      </w:r>
      <w:r>
        <w:rPr>
          <w:spacing w:val="-2"/>
          <w:sz w:val="16"/>
        </w:rPr>
        <w:t>were</w:t>
      </w:r>
      <w:r>
        <w:rPr>
          <w:spacing w:val="1"/>
          <w:sz w:val="16"/>
        </w:rPr>
        <w:t xml:space="preserve"> </w:t>
      </w:r>
      <w:r>
        <w:rPr>
          <w:spacing w:val="-1"/>
          <w:sz w:val="16"/>
        </w:rPr>
        <w:t>excluded</w:t>
      </w:r>
      <w:r>
        <w:rPr>
          <w:spacing w:val="1"/>
          <w:sz w:val="16"/>
        </w:rPr>
        <w:t xml:space="preserve"> </w:t>
      </w:r>
      <w:r>
        <w:rPr>
          <w:spacing w:val="-1"/>
          <w:sz w:val="16"/>
        </w:rPr>
        <w:t>from</w:t>
      </w:r>
      <w:r>
        <w:rPr>
          <w:sz w:val="16"/>
        </w:rPr>
        <w:t xml:space="preserve"> </w:t>
      </w:r>
      <w:r>
        <w:rPr>
          <w:spacing w:val="-1"/>
          <w:sz w:val="16"/>
        </w:rPr>
        <w:t>study.</w:t>
      </w:r>
    </w:p>
    <w:p w:rsidR="00C13AFC" w:rsidRDefault="00C13AFC" w:rsidP="00AB7A9E">
      <w:pPr>
        <w:rPr>
          <w:rFonts w:eastAsia="Times New Roman"/>
          <w:vertAlign w:val="superscript"/>
        </w:rPr>
      </w:pPr>
    </w:p>
    <w:p w:rsidR="00657A3F" w:rsidRPr="00335062" w:rsidRDefault="00657A3F" w:rsidP="00AB7A9E">
      <w:pPr>
        <w:ind w:right="640"/>
      </w:pPr>
      <w:r w:rsidRPr="00335062">
        <w:rPr>
          <w:rFonts w:eastAsia="Times New Roman"/>
        </w:rPr>
        <w:t>After initiation of lenalidomide therapy, subsequent lenalidomide dose modification in renally impaired patients should be based on individual patient treatment tolerance, as described above.</w:t>
      </w:r>
    </w:p>
    <w:p w:rsidR="00506994" w:rsidRPr="00335062" w:rsidRDefault="00506994" w:rsidP="00AB7A9E"/>
    <w:p w:rsidR="00506994" w:rsidRPr="004273C8" w:rsidRDefault="00506994" w:rsidP="004560FA">
      <w:pPr>
        <w:pStyle w:val="ListParagraph"/>
        <w:numPr>
          <w:ilvl w:val="0"/>
          <w:numId w:val="57"/>
        </w:numPr>
        <w:rPr>
          <w:u w:val="single"/>
        </w:rPr>
      </w:pPr>
      <w:r w:rsidRPr="004273C8">
        <w:rPr>
          <w:rFonts w:eastAsia="Times New Roman"/>
          <w:iCs/>
          <w:u w:val="single"/>
        </w:rPr>
        <w:t>Patients with hepatic impairment</w:t>
      </w:r>
    </w:p>
    <w:p w:rsidR="00506994" w:rsidRPr="00335062" w:rsidRDefault="00506994" w:rsidP="00AB7A9E">
      <w:pPr>
        <w:ind w:right="680"/>
      </w:pPr>
      <w:r w:rsidRPr="00335062">
        <w:rPr>
          <w:rFonts w:eastAsia="Times New Roman"/>
        </w:rPr>
        <w:t>Lenalidomide has not formally been studied in patients with impaired hepatic function and there are no specific dose recommendations.</w:t>
      </w:r>
    </w:p>
    <w:p w:rsidR="00506994" w:rsidRPr="00335062" w:rsidRDefault="00506994" w:rsidP="00AB7A9E"/>
    <w:p w:rsidR="00506994" w:rsidRPr="00335062" w:rsidRDefault="00506994" w:rsidP="00AB7A9E">
      <w:r w:rsidRPr="00335062">
        <w:rPr>
          <w:rFonts w:eastAsia="Times New Roman"/>
          <w:u w:val="single"/>
        </w:rPr>
        <w:t>Method of administration</w:t>
      </w:r>
    </w:p>
    <w:p w:rsidR="00506994" w:rsidRPr="00335062" w:rsidRDefault="00506994" w:rsidP="00AB7A9E">
      <w:r w:rsidRPr="00335062">
        <w:rPr>
          <w:rFonts w:eastAsia="Times New Roman"/>
        </w:rPr>
        <w:t>Oral use.</w:t>
      </w:r>
    </w:p>
    <w:p w:rsidR="00192337" w:rsidRDefault="00506994" w:rsidP="00AB7A9E">
      <w:pPr>
        <w:autoSpaceDE w:val="0"/>
        <w:autoSpaceDN w:val="0"/>
        <w:adjustRightInd w:val="0"/>
        <w:rPr>
          <w:rFonts w:eastAsia="Times New Roman"/>
        </w:rPr>
      </w:pPr>
      <w:r w:rsidRPr="00335062">
        <w:rPr>
          <w:rFonts w:eastAsia="Times New Roman"/>
        </w:rPr>
        <w:t xml:space="preserve">[Product name] </w:t>
      </w:r>
      <w:r w:rsidR="00192337">
        <w:rPr>
          <w:rFonts w:eastAsia="Times New Roman"/>
        </w:rPr>
        <w:t>capsules should be taken orally at about the same time on the scheduled days. The capsules should not be opened, broken or chewed. The capsules should be swallowed whole, preferably with water, either</w:t>
      </w:r>
    </w:p>
    <w:p w:rsidR="00506994" w:rsidRPr="00335062" w:rsidRDefault="00192337" w:rsidP="00AB7A9E">
      <w:pPr>
        <w:ind w:right="180"/>
      </w:pPr>
      <w:r>
        <w:rPr>
          <w:rFonts w:eastAsia="Times New Roman"/>
        </w:rPr>
        <w:t>with or without food.</w:t>
      </w:r>
    </w:p>
    <w:p w:rsidR="00506994" w:rsidRPr="00335062" w:rsidRDefault="00506994" w:rsidP="00AB7A9E"/>
    <w:p w:rsidR="00506994" w:rsidRPr="00335062" w:rsidRDefault="00506994" w:rsidP="00AB7A9E">
      <w:pPr>
        <w:ind w:right="260"/>
      </w:pPr>
      <w:r w:rsidRPr="00335062">
        <w:rPr>
          <w:rFonts w:eastAsia="Times New Roman"/>
        </w:rPr>
        <w:t>It is recommended to press only on one end of the capsule to remove it from the blister thereby reducing the risk of capsule deformation or breakage.</w:t>
      </w:r>
    </w:p>
    <w:p w:rsidR="00506994" w:rsidRPr="00335062" w:rsidRDefault="00506994" w:rsidP="00AB7A9E"/>
    <w:p w:rsidR="00506994" w:rsidRPr="00335062" w:rsidRDefault="00506994" w:rsidP="00AB7A9E">
      <w:pPr>
        <w:tabs>
          <w:tab w:val="left" w:pos="660"/>
        </w:tabs>
      </w:pPr>
      <w:r w:rsidRPr="00335062">
        <w:rPr>
          <w:rFonts w:eastAsia="Times New Roman"/>
          <w:b/>
          <w:bCs/>
        </w:rPr>
        <w:t>4.3</w:t>
      </w:r>
      <w:r w:rsidRPr="00335062">
        <w:rPr>
          <w:rFonts w:eastAsia="Times New Roman"/>
          <w:b/>
          <w:bCs/>
        </w:rPr>
        <w:tab/>
        <w:t>Contraindications</w:t>
      </w:r>
    </w:p>
    <w:p w:rsidR="00506994" w:rsidRPr="00335062" w:rsidRDefault="00506994" w:rsidP="00AB7A9E"/>
    <w:p w:rsidR="00506994" w:rsidRPr="00335062" w:rsidRDefault="00506994" w:rsidP="00AB7A9E">
      <w:pPr>
        <w:pStyle w:val="ListParagraph"/>
        <w:numPr>
          <w:ilvl w:val="0"/>
          <w:numId w:val="16"/>
        </w:numPr>
        <w:tabs>
          <w:tab w:val="left" w:pos="660"/>
        </w:tabs>
        <w:ind w:left="709" w:hanging="709"/>
        <w:rPr>
          <w:rFonts w:eastAsia="Symbol"/>
        </w:rPr>
      </w:pPr>
      <w:r w:rsidRPr="00335062">
        <w:rPr>
          <w:rFonts w:eastAsia="Times New Roman"/>
        </w:rPr>
        <w:t>Hypersensitivity to the active substance or to any of the excipients, listed in section 6.1.</w:t>
      </w:r>
    </w:p>
    <w:p w:rsidR="00506994" w:rsidRPr="00335062" w:rsidRDefault="00506994" w:rsidP="00AB7A9E">
      <w:pPr>
        <w:pStyle w:val="ListParagraph"/>
        <w:numPr>
          <w:ilvl w:val="0"/>
          <w:numId w:val="16"/>
        </w:numPr>
        <w:tabs>
          <w:tab w:val="left" w:pos="660"/>
        </w:tabs>
        <w:ind w:left="709" w:hanging="709"/>
        <w:rPr>
          <w:rFonts w:eastAsia="Symbol"/>
        </w:rPr>
      </w:pPr>
      <w:r w:rsidRPr="00335062">
        <w:rPr>
          <w:rFonts w:eastAsia="Times New Roman"/>
        </w:rPr>
        <w:t>Women who are pregnant.</w:t>
      </w:r>
    </w:p>
    <w:p w:rsidR="00506994" w:rsidRPr="00335062" w:rsidRDefault="00506994" w:rsidP="00AB7A9E">
      <w:pPr>
        <w:pStyle w:val="ListParagraph"/>
        <w:numPr>
          <w:ilvl w:val="0"/>
          <w:numId w:val="16"/>
        </w:numPr>
        <w:tabs>
          <w:tab w:val="left" w:pos="660"/>
          <w:tab w:val="left" w:pos="709"/>
        </w:tabs>
        <w:ind w:left="709" w:right="260" w:hanging="709"/>
        <w:rPr>
          <w:rFonts w:eastAsia="Symbol"/>
        </w:rPr>
      </w:pPr>
      <w:r w:rsidRPr="00335062">
        <w:rPr>
          <w:rFonts w:eastAsia="Times New Roman"/>
        </w:rPr>
        <w:t>Women of childbearing potential unless all of the conditions of the</w:t>
      </w:r>
      <w:r>
        <w:rPr>
          <w:rFonts w:eastAsia="Times New Roman"/>
        </w:rPr>
        <w:t xml:space="preserve"> Pregnancy Prevention Programme </w:t>
      </w:r>
      <w:r w:rsidRPr="00335062">
        <w:rPr>
          <w:rFonts w:eastAsia="Times New Roman"/>
        </w:rPr>
        <w:t>are met (see sections 4.4 and 4.6).</w:t>
      </w:r>
    </w:p>
    <w:p w:rsidR="00506994" w:rsidRPr="00335062" w:rsidRDefault="00506994" w:rsidP="00AB7A9E"/>
    <w:p w:rsidR="00506994" w:rsidRPr="00335062" w:rsidRDefault="00506994" w:rsidP="00AB7A9E">
      <w:pPr>
        <w:tabs>
          <w:tab w:val="left" w:pos="660"/>
        </w:tabs>
      </w:pPr>
      <w:r w:rsidRPr="00335062">
        <w:rPr>
          <w:rFonts w:eastAsia="Times New Roman"/>
          <w:b/>
          <w:bCs/>
        </w:rPr>
        <w:t>4.4</w:t>
      </w:r>
      <w:r w:rsidRPr="00335062">
        <w:rPr>
          <w:rFonts w:eastAsia="Times New Roman"/>
          <w:b/>
          <w:bCs/>
        </w:rPr>
        <w:tab/>
        <w:t>Special warnings and precautions for use</w:t>
      </w:r>
    </w:p>
    <w:p w:rsidR="00506994" w:rsidRDefault="00506994" w:rsidP="00AB7A9E"/>
    <w:p w:rsidR="00443A69" w:rsidRPr="004273C8" w:rsidRDefault="00443A69" w:rsidP="00AB7A9E">
      <w:pPr>
        <w:rPr>
          <w:b/>
        </w:rPr>
      </w:pPr>
      <w:r w:rsidRPr="004273C8">
        <w:rPr>
          <w:b/>
        </w:rPr>
        <w:t>When lenalidomide is given in combination with other medicinal products, the corresponding Summary of Product Characteristics must be consulted prior to initiation of treatment.</w:t>
      </w:r>
    </w:p>
    <w:p w:rsidR="00443A69" w:rsidRPr="00335062" w:rsidRDefault="00443A69" w:rsidP="00AB7A9E"/>
    <w:p w:rsidR="00506994" w:rsidRPr="00335062" w:rsidRDefault="00506994" w:rsidP="00AB7A9E">
      <w:r w:rsidRPr="00335062">
        <w:rPr>
          <w:rFonts w:eastAsia="Times New Roman"/>
          <w:u w:val="single"/>
        </w:rPr>
        <w:t>Pregnancy warning</w:t>
      </w:r>
    </w:p>
    <w:p w:rsidR="00506994" w:rsidRPr="00335062" w:rsidRDefault="00506994" w:rsidP="00AB7A9E">
      <w:pPr>
        <w:ind w:right="220"/>
        <w:rPr>
          <w:rFonts w:eastAsia="Times New Roman"/>
        </w:rPr>
      </w:pPr>
      <w:r w:rsidRPr="00335062">
        <w:rPr>
          <w:rFonts w:eastAsia="Times New Roman"/>
        </w:rPr>
        <w:t>Lenalidomide is structurally related to thalidomide. Thalidomide is a known human teratogenic active substance that causes severe life-threatening birth defects. Lenalidomide induced in monkeys</w:t>
      </w:r>
      <w:r w:rsidR="00443A69">
        <w:rPr>
          <w:rFonts w:eastAsia="Times New Roman"/>
        </w:rPr>
        <w:t>’</w:t>
      </w:r>
      <w:r w:rsidRPr="00335062">
        <w:rPr>
          <w:rFonts w:eastAsia="Times New Roman"/>
        </w:rPr>
        <w:t xml:space="preserve"> malformations</w:t>
      </w:r>
    </w:p>
    <w:p w:rsidR="00506994" w:rsidRPr="00335062" w:rsidRDefault="00506994" w:rsidP="00AB7A9E">
      <w:pPr>
        <w:ind w:right="740"/>
      </w:pPr>
      <w:r w:rsidRPr="00335062">
        <w:rPr>
          <w:rFonts w:eastAsia="Times New Roman"/>
        </w:rPr>
        <w:t>similar to those described with thalidomide (see sections 4.6 and 5.3). If lenalidomide is taken during pregnancy, a teratogenic effect of lenalidomide in humans is expected.</w:t>
      </w:r>
    </w:p>
    <w:p w:rsidR="00506994" w:rsidRPr="00335062" w:rsidRDefault="00506994" w:rsidP="00AB7A9E"/>
    <w:p w:rsidR="00506994" w:rsidRPr="00335062" w:rsidRDefault="00506994" w:rsidP="00AB7A9E">
      <w:pPr>
        <w:ind w:right="560"/>
      </w:pPr>
      <w:r w:rsidRPr="00335062">
        <w:rPr>
          <w:rFonts w:eastAsia="Times New Roman"/>
        </w:rPr>
        <w:t>The conditions of the Pregnancy Prevention Programme must be fulfilled for all patients unless there is reliable evidence that the patient does not have childbearing potential.</w:t>
      </w:r>
    </w:p>
    <w:p w:rsidR="00506994" w:rsidRPr="00335062" w:rsidRDefault="00506994" w:rsidP="00AB7A9E"/>
    <w:p w:rsidR="00506994" w:rsidRPr="00335062" w:rsidRDefault="00506994" w:rsidP="00AB7A9E">
      <w:r w:rsidRPr="00335062">
        <w:rPr>
          <w:rFonts w:eastAsia="Times New Roman"/>
          <w:u w:val="single"/>
        </w:rPr>
        <w:t>Criteria for women of non-childbearing potential</w:t>
      </w:r>
    </w:p>
    <w:p w:rsidR="00506994" w:rsidRPr="00335062" w:rsidRDefault="00506994" w:rsidP="00AB7A9E">
      <w:pPr>
        <w:ind w:right="80"/>
      </w:pPr>
      <w:r w:rsidRPr="00335062">
        <w:rPr>
          <w:rFonts w:eastAsia="Times New Roman"/>
        </w:rPr>
        <w:t>A female patient or a female partner of a male patient is considered to have childbearing potential unless she meets at least one of the following criteria:</w:t>
      </w:r>
    </w:p>
    <w:p w:rsidR="00282CF2" w:rsidRPr="00282CF2" w:rsidRDefault="00506994" w:rsidP="00AB7A9E">
      <w:pPr>
        <w:pStyle w:val="ListParagraph"/>
        <w:numPr>
          <w:ilvl w:val="0"/>
          <w:numId w:val="21"/>
        </w:numPr>
        <w:tabs>
          <w:tab w:val="left" w:pos="561"/>
        </w:tabs>
        <w:ind w:left="0" w:firstLine="0"/>
        <w:rPr>
          <w:rFonts w:eastAsia="Times New Roman"/>
        </w:rPr>
      </w:pPr>
      <w:r w:rsidRPr="00335062">
        <w:rPr>
          <w:rFonts w:eastAsia="Times New Roman"/>
        </w:rPr>
        <w:t>Age ≥ 50 years and naturally amenorrhoeic for ≥ 1 year</w:t>
      </w:r>
      <w:r w:rsidR="00282CF2" w:rsidRPr="00282CF2">
        <w:t xml:space="preserve"> </w:t>
      </w:r>
      <w:r w:rsidR="00282CF2" w:rsidRPr="00282CF2">
        <w:rPr>
          <w:rFonts w:eastAsia="Times New Roman"/>
        </w:rPr>
        <w:t>(Amenorrhoea following cancer therapy or</w:t>
      </w:r>
    </w:p>
    <w:p w:rsidR="00506994" w:rsidRPr="00335062" w:rsidRDefault="00282CF2" w:rsidP="00AB7A9E">
      <w:pPr>
        <w:pStyle w:val="ListParagraph"/>
        <w:tabs>
          <w:tab w:val="left" w:pos="561"/>
        </w:tabs>
        <w:ind w:left="0"/>
        <w:rPr>
          <w:rFonts w:eastAsia="Symbol"/>
        </w:rPr>
      </w:pPr>
      <w:r>
        <w:rPr>
          <w:rFonts w:eastAsia="Times New Roman"/>
        </w:rPr>
        <w:tab/>
      </w:r>
      <w:r w:rsidRPr="00282CF2">
        <w:rPr>
          <w:rFonts w:eastAsia="Times New Roman"/>
        </w:rPr>
        <w:t>during breast-feeding does not rule out childbearing potential).</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Premature ovarian failure confirmed by a specialist gynaecologist</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Previous bilateral salpingo-oophorectomy, or hysterectomy</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XY genotype, Turner syndrome, uterine agenesis.</w:t>
      </w:r>
    </w:p>
    <w:p w:rsidR="00506994" w:rsidRPr="00335062" w:rsidRDefault="00506994" w:rsidP="00AB7A9E"/>
    <w:p w:rsidR="00506994" w:rsidRPr="00335062" w:rsidRDefault="00506994" w:rsidP="00AB7A9E">
      <w:r w:rsidRPr="00335062">
        <w:rPr>
          <w:rFonts w:eastAsia="Times New Roman"/>
          <w:u w:val="single"/>
        </w:rPr>
        <w:t>Counselling</w:t>
      </w:r>
    </w:p>
    <w:p w:rsidR="00506994" w:rsidRPr="00335062" w:rsidRDefault="00506994" w:rsidP="00AB7A9E">
      <w:pPr>
        <w:ind w:left="567" w:hanging="567"/>
      </w:pPr>
      <w:r w:rsidRPr="00335062">
        <w:rPr>
          <w:rFonts w:eastAsia="Times New Roman"/>
        </w:rPr>
        <w:t>For women of childbearing potential, lenalidomide is contraindicated unless all of the following are met:</w:t>
      </w:r>
    </w:p>
    <w:p w:rsidR="00506994" w:rsidRPr="00335062" w:rsidRDefault="00506994" w:rsidP="00AB7A9E">
      <w:pPr>
        <w:pStyle w:val="ListParagraph"/>
        <w:numPr>
          <w:ilvl w:val="0"/>
          <w:numId w:val="22"/>
        </w:numPr>
        <w:tabs>
          <w:tab w:val="left" w:pos="567"/>
        </w:tabs>
        <w:ind w:left="567" w:hanging="567"/>
        <w:rPr>
          <w:rFonts w:eastAsia="Symbol"/>
        </w:rPr>
      </w:pPr>
      <w:r w:rsidRPr="00335062">
        <w:rPr>
          <w:rFonts w:eastAsia="Times New Roman"/>
        </w:rPr>
        <w:t>She understands the expected teratogenic risk to the unborn child</w:t>
      </w:r>
    </w:p>
    <w:p w:rsidR="00506994" w:rsidRPr="00335062" w:rsidRDefault="00506994" w:rsidP="00AB7A9E">
      <w:pPr>
        <w:pStyle w:val="ListParagraph"/>
        <w:numPr>
          <w:ilvl w:val="0"/>
          <w:numId w:val="22"/>
        </w:numPr>
        <w:tabs>
          <w:tab w:val="left" w:pos="567"/>
        </w:tabs>
        <w:ind w:left="567" w:right="440" w:hanging="567"/>
        <w:rPr>
          <w:rFonts w:eastAsia="Symbol"/>
        </w:rPr>
      </w:pPr>
      <w:r w:rsidRPr="00335062">
        <w:rPr>
          <w:rFonts w:eastAsia="Times New Roman"/>
        </w:rPr>
        <w:t>She understands the need for effective contraception, without interruption,</w:t>
      </w:r>
      <w:r w:rsidR="00443A69">
        <w:rPr>
          <w:rFonts w:eastAsia="Times New Roman"/>
        </w:rPr>
        <w:t xml:space="preserve"> at least</w:t>
      </w:r>
      <w:r w:rsidRPr="00335062">
        <w:rPr>
          <w:rFonts w:eastAsia="Times New Roman"/>
        </w:rPr>
        <w:t xml:space="preserve"> 4 weeks before starting treatment, throughout the entire duration of treatment, and </w:t>
      </w:r>
      <w:r w:rsidR="00443A69">
        <w:rPr>
          <w:rFonts w:eastAsia="Times New Roman"/>
        </w:rPr>
        <w:t xml:space="preserve">at least </w:t>
      </w:r>
      <w:r w:rsidRPr="00335062">
        <w:rPr>
          <w:rFonts w:eastAsia="Times New Roman"/>
        </w:rPr>
        <w:t>4 weeks after the end of treatment</w:t>
      </w:r>
    </w:p>
    <w:p w:rsidR="00506994" w:rsidRPr="00335062" w:rsidRDefault="00506994" w:rsidP="00AB7A9E">
      <w:pPr>
        <w:pStyle w:val="ListParagraph"/>
        <w:numPr>
          <w:ilvl w:val="0"/>
          <w:numId w:val="22"/>
        </w:numPr>
        <w:tabs>
          <w:tab w:val="left" w:pos="567"/>
        </w:tabs>
        <w:ind w:left="567" w:right="160" w:hanging="567"/>
        <w:rPr>
          <w:rFonts w:eastAsia="Symbol"/>
        </w:rPr>
      </w:pPr>
      <w:r w:rsidRPr="00335062">
        <w:rPr>
          <w:rFonts w:eastAsia="Times New Roman"/>
        </w:rPr>
        <w:t>Even if a woman of childbearing potential has amenorrhea she must follow all the advice on effective contraception</w:t>
      </w:r>
    </w:p>
    <w:p w:rsidR="00506994" w:rsidRPr="00335062" w:rsidRDefault="00506994" w:rsidP="00AB7A9E">
      <w:pPr>
        <w:pStyle w:val="ListParagraph"/>
        <w:numPr>
          <w:ilvl w:val="0"/>
          <w:numId w:val="22"/>
        </w:numPr>
        <w:tabs>
          <w:tab w:val="left" w:pos="567"/>
        </w:tabs>
        <w:ind w:left="567" w:hanging="567"/>
        <w:rPr>
          <w:rFonts w:eastAsia="Symbol"/>
        </w:rPr>
      </w:pPr>
      <w:r w:rsidRPr="00335062">
        <w:rPr>
          <w:rFonts w:eastAsia="Times New Roman"/>
        </w:rPr>
        <w:t>She should be capable of complying with effective contraceptive measures</w:t>
      </w:r>
    </w:p>
    <w:p w:rsidR="00506994" w:rsidRPr="00335062" w:rsidRDefault="00506994" w:rsidP="00AB7A9E">
      <w:pPr>
        <w:pStyle w:val="ListParagraph"/>
        <w:numPr>
          <w:ilvl w:val="0"/>
          <w:numId w:val="22"/>
        </w:numPr>
        <w:tabs>
          <w:tab w:val="left" w:pos="567"/>
        </w:tabs>
        <w:ind w:left="567" w:right="540" w:hanging="567"/>
        <w:rPr>
          <w:rFonts w:eastAsia="Symbol"/>
        </w:rPr>
      </w:pPr>
      <w:r w:rsidRPr="00335062">
        <w:rPr>
          <w:rFonts w:eastAsia="Times New Roman"/>
        </w:rPr>
        <w:t>She is informed and understands the potential consequences of pregnancy and the need to rapidly consult if there is a risk of pregnancy</w:t>
      </w:r>
    </w:p>
    <w:p w:rsidR="00506994" w:rsidRPr="00335062" w:rsidRDefault="00506994" w:rsidP="00AB7A9E">
      <w:pPr>
        <w:pStyle w:val="ListParagraph"/>
        <w:numPr>
          <w:ilvl w:val="0"/>
          <w:numId w:val="22"/>
        </w:numPr>
        <w:tabs>
          <w:tab w:val="left" w:pos="567"/>
        </w:tabs>
        <w:ind w:left="567" w:right="100" w:hanging="567"/>
        <w:rPr>
          <w:rFonts w:eastAsia="Symbol"/>
        </w:rPr>
      </w:pPr>
      <w:r w:rsidRPr="00335062">
        <w:rPr>
          <w:rFonts w:eastAsia="Times New Roman"/>
        </w:rPr>
        <w:t>She understands the need to commence the treatment as soon as lenalidomide is dispensed following a negative pregnancy test</w:t>
      </w:r>
    </w:p>
    <w:p w:rsidR="00506994" w:rsidRPr="00335062" w:rsidRDefault="00506994" w:rsidP="00AB7A9E">
      <w:pPr>
        <w:pStyle w:val="ListParagraph"/>
        <w:numPr>
          <w:ilvl w:val="0"/>
          <w:numId w:val="22"/>
        </w:numPr>
        <w:tabs>
          <w:tab w:val="left" w:pos="567"/>
        </w:tabs>
        <w:ind w:left="567" w:right="340" w:hanging="567"/>
        <w:rPr>
          <w:rFonts w:eastAsia="Symbol"/>
        </w:rPr>
      </w:pPr>
      <w:r w:rsidRPr="00335062">
        <w:rPr>
          <w:rFonts w:eastAsia="Times New Roman"/>
        </w:rPr>
        <w:t>She understands the need and accepts to undergo pregnancy testing</w:t>
      </w:r>
      <w:r w:rsidR="00443A69">
        <w:rPr>
          <w:rFonts w:eastAsia="Times New Roman"/>
        </w:rPr>
        <w:t xml:space="preserve"> at least</w:t>
      </w:r>
      <w:r w:rsidRPr="00335062">
        <w:rPr>
          <w:rFonts w:eastAsia="Times New Roman"/>
        </w:rPr>
        <w:t xml:space="preserve"> every 4 weeks except in case of confirmed tubal sterilisation</w:t>
      </w:r>
    </w:p>
    <w:p w:rsidR="00506994" w:rsidRPr="00335062" w:rsidRDefault="00506994" w:rsidP="00AB7A9E">
      <w:pPr>
        <w:pStyle w:val="ListParagraph"/>
        <w:numPr>
          <w:ilvl w:val="0"/>
          <w:numId w:val="22"/>
        </w:numPr>
        <w:tabs>
          <w:tab w:val="left" w:pos="567"/>
        </w:tabs>
        <w:ind w:left="567" w:right="160" w:hanging="567"/>
        <w:rPr>
          <w:rFonts w:eastAsia="Symbol"/>
        </w:rPr>
      </w:pPr>
      <w:r w:rsidRPr="00335062">
        <w:rPr>
          <w:rFonts w:eastAsia="Times New Roman"/>
        </w:rPr>
        <w:t>She acknowledges that she understands the hazards and necessary precautions associated with the use of lenalidomide.</w:t>
      </w:r>
    </w:p>
    <w:p w:rsidR="00506994" w:rsidRPr="00335062" w:rsidRDefault="00506994" w:rsidP="00AB7A9E"/>
    <w:p w:rsidR="00506994" w:rsidRPr="00335062" w:rsidRDefault="00506994" w:rsidP="00AB7A9E">
      <w:r w:rsidRPr="00335062">
        <w:rPr>
          <w:rFonts w:eastAsia="Times New Roman"/>
        </w:rPr>
        <w:t>For male patients taking lenalidomide, pharmacokinetic data has demonstrated that lenalidomide is present in human semen at extremely low levels during treatment and is undetectable in human semen 3 days after stopping the substance in the healthy subject (see section 5.2). As a precaution</w:t>
      </w:r>
      <w:r w:rsidR="00A10569">
        <w:rPr>
          <w:rFonts w:eastAsia="Times New Roman"/>
        </w:rPr>
        <w:t xml:space="preserve"> and taking into account special populations with prolonged elimination time such as renal impairment</w:t>
      </w:r>
      <w:r w:rsidRPr="00335062">
        <w:rPr>
          <w:rFonts w:eastAsia="Times New Roman"/>
        </w:rPr>
        <w:t>, all male patients taking lenalidomide must meet the following conditions:</w:t>
      </w:r>
    </w:p>
    <w:p w:rsidR="00506994" w:rsidRPr="00335062" w:rsidRDefault="00506994" w:rsidP="00AB7A9E">
      <w:pPr>
        <w:pStyle w:val="ListParagraph"/>
        <w:numPr>
          <w:ilvl w:val="0"/>
          <w:numId w:val="23"/>
        </w:numPr>
        <w:tabs>
          <w:tab w:val="left" w:pos="567"/>
        </w:tabs>
        <w:ind w:left="567" w:right="460" w:hanging="567"/>
        <w:rPr>
          <w:rFonts w:eastAsia="Symbol"/>
        </w:rPr>
      </w:pPr>
      <w:r w:rsidRPr="00335062">
        <w:rPr>
          <w:rFonts w:eastAsia="Times New Roman"/>
        </w:rPr>
        <w:t>Understand the expected teratogenic risk if engaged in sexual activity with a pregnant woman or a woman of childbearing potential</w:t>
      </w:r>
    </w:p>
    <w:p w:rsidR="00506994" w:rsidRPr="00335062" w:rsidRDefault="00506994" w:rsidP="00AB7A9E">
      <w:pPr>
        <w:pStyle w:val="ListParagraph"/>
        <w:numPr>
          <w:ilvl w:val="0"/>
          <w:numId w:val="23"/>
        </w:numPr>
        <w:tabs>
          <w:tab w:val="left" w:pos="567"/>
        </w:tabs>
        <w:ind w:left="567" w:right="100" w:hanging="567"/>
        <w:rPr>
          <w:rFonts w:eastAsia="Symbol"/>
        </w:rPr>
      </w:pPr>
      <w:r w:rsidRPr="00335062">
        <w:rPr>
          <w:rFonts w:eastAsia="Times New Roman"/>
        </w:rPr>
        <w:t xml:space="preserve">Understand the need for the use of a condom if engaged in sexual activity with a pregnant woman or a woman of childbearing potential not using effective contraception (even if the man has had a vasectomy), during treatment and for </w:t>
      </w:r>
      <w:r w:rsidR="00443A69">
        <w:rPr>
          <w:rFonts w:eastAsia="Times New Roman"/>
        </w:rPr>
        <w:t>at least 7 days</w:t>
      </w:r>
      <w:r w:rsidRPr="00335062">
        <w:rPr>
          <w:rFonts w:eastAsia="Times New Roman"/>
        </w:rPr>
        <w:t xml:space="preserve"> after dose interruptions and/or cessation of treatment.</w:t>
      </w:r>
    </w:p>
    <w:p w:rsidR="00506994" w:rsidRPr="00335062" w:rsidRDefault="00506994" w:rsidP="00AB7A9E">
      <w:pPr>
        <w:pStyle w:val="ListParagraph"/>
        <w:numPr>
          <w:ilvl w:val="0"/>
          <w:numId w:val="23"/>
        </w:numPr>
        <w:tabs>
          <w:tab w:val="left" w:pos="567"/>
        </w:tabs>
        <w:ind w:left="567" w:right="60" w:hanging="567"/>
        <w:rPr>
          <w:rFonts w:eastAsia="Symbol"/>
        </w:rPr>
      </w:pPr>
      <w:r w:rsidRPr="00335062">
        <w:rPr>
          <w:rFonts w:eastAsia="Times New Roman"/>
        </w:rPr>
        <w:t>Understand that if his female partner becomes pregnant whilst he is taking [Product name] or shortly after he has stopped taking [Product name], he should inform his treating physician immediately and that it is recommended to refer the female partner to a physician specialised or experienced in teratology for evaluation and advice.</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rPr>
        <w:t>The prescriber must ensure that for women of childbearing potential:</w:t>
      </w:r>
    </w:p>
    <w:p w:rsidR="00506994" w:rsidRPr="00335062" w:rsidRDefault="00506994" w:rsidP="00AB7A9E">
      <w:pPr>
        <w:pStyle w:val="ListParagraph"/>
        <w:numPr>
          <w:ilvl w:val="0"/>
          <w:numId w:val="24"/>
        </w:numPr>
        <w:tabs>
          <w:tab w:val="left" w:pos="567"/>
        </w:tabs>
        <w:ind w:left="567" w:right="940" w:hanging="567"/>
        <w:rPr>
          <w:rFonts w:eastAsia="Symbol"/>
        </w:rPr>
      </w:pPr>
      <w:r w:rsidRPr="00335062">
        <w:rPr>
          <w:rFonts w:eastAsia="Times New Roman"/>
        </w:rPr>
        <w:t>The patient complies with the conditions of the Pregnancy Prevention Programme, including confirmation that she has an adequate level of understanding</w:t>
      </w:r>
    </w:p>
    <w:p w:rsidR="00506994" w:rsidRPr="00335062" w:rsidRDefault="00506994" w:rsidP="00AB7A9E">
      <w:pPr>
        <w:pStyle w:val="ListParagraph"/>
        <w:numPr>
          <w:ilvl w:val="0"/>
          <w:numId w:val="24"/>
        </w:numPr>
        <w:tabs>
          <w:tab w:val="left" w:pos="567"/>
        </w:tabs>
        <w:ind w:left="567" w:hanging="567"/>
        <w:rPr>
          <w:rFonts w:eastAsia="Symbol"/>
        </w:rPr>
      </w:pPr>
      <w:r w:rsidRPr="00335062">
        <w:rPr>
          <w:rFonts w:eastAsia="Times New Roman"/>
        </w:rPr>
        <w:t>The patient has acknowledged the aforementioned conditions.</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u w:val="single"/>
        </w:rPr>
        <w:t>Contraception</w:t>
      </w:r>
    </w:p>
    <w:p w:rsidR="00506994" w:rsidRPr="00335062" w:rsidRDefault="00506994" w:rsidP="00AB7A9E">
      <w:pPr>
        <w:tabs>
          <w:tab w:val="left" w:pos="0"/>
        </w:tabs>
      </w:pPr>
      <w:r w:rsidRPr="00335062">
        <w:rPr>
          <w:rFonts w:eastAsia="Times New Roman"/>
        </w:rPr>
        <w:t>Women of childbearing potential must use</w:t>
      </w:r>
      <w:r w:rsidR="00443A69">
        <w:rPr>
          <w:rFonts w:eastAsia="Times New Roman"/>
        </w:rPr>
        <w:t xml:space="preserve"> at least</w:t>
      </w:r>
      <w:r w:rsidRPr="00335062">
        <w:rPr>
          <w:rFonts w:eastAsia="Times New Roman"/>
        </w:rPr>
        <w:t xml:space="preserve"> one effective method of contraception for</w:t>
      </w:r>
      <w:r w:rsidR="00443A69">
        <w:rPr>
          <w:rFonts w:eastAsia="Times New Roman"/>
        </w:rPr>
        <w:t xml:space="preserve"> at least</w:t>
      </w:r>
      <w:r w:rsidRPr="00335062">
        <w:rPr>
          <w:rFonts w:eastAsia="Times New Roman"/>
        </w:rPr>
        <w:t xml:space="preserve"> 4 weeks before therapy, during therapy, and until</w:t>
      </w:r>
      <w:r w:rsidR="00443A69">
        <w:rPr>
          <w:rFonts w:eastAsia="Times New Roman"/>
        </w:rPr>
        <w:t xml:space="preserve"> at least</w:t>
      </w:r>
      <w:r w:rsidRPr="00335062">
        <w:rPr>
          <w:rFonts w:eastAsia="Times New Roman"/>
        </w:rPr>
        <w:t xml:space="preserve"> 4 weeks after lenalidomide therapy and even in case of dose interruption unless the patient commits to absolute and continuous abstinence confirmed on a monthly basis. If not established on effective contraception, the patient must be referred to an appropriately trained health care professional for contraceptive advice in order that contraception can be initiated.</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rPr>
        <w:t>The following can be considered to be examples of suitable methods of contraception:</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Implant</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Levonorgestrel-releasing intrauterine system (IUS)</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Medroxyprogesterone acetate depot</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Tubal sterilisation</w:t>
      </w:r>
    </w:p>
    <w:p w:rsidR="00506994" w:rsidRPr="00335062" w:rsidRDefault="00506994" w:rsidP="00AB7A9E">
      <w:pPr>
        <w:pStyle w:val="ListParagraph"/>
        <w:numPr>
          <w:ilvl w:val="0"/>
          <w:numId w:val="25"/>
        </w:numPr>
        <w:tabs>
          <w:tab w:val="left" w:pos="567"/>
        </w:tabs>
        <w:ind w:left="567" w:right="560" w:hanging="567"/>
        <w:rPr>
          <w:rFonts w:eastAsia="Symbol"/>
        </w:rPr>
      </w:pPr>
      <w:r w:rsidRPr="00335062">
        <w:rPr>
          <w:rFonts w:eastAsia="Times New Roman"/>
        </w:rPr>
        <w:t>Sexual intercourse with a vasectomised male partner only; vasectomy must be confirmed by two negative semen analyses</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Ovulation inhibitory progesterone-only pills (i.e. desogestrel)</w:t>
      </w:r>
    </w:p>
    <w:p w:rsidR="00506994" w:rsidRPr="00335062" w:rsidRDefault="00506994" w:rsidP="00AB7A9E"/>
    <w:p w:rsidR="00506994" w:rsidRPr="00335062" w:rsidRDefault="00506994" w:rsidP="00AB7A9E">
      <w:pPr>
        <w:ind w:right="140"/>
      </w:pPr>
      <w:r w:rsidRPr="00335062">
        <w:rPr>
          <w:rFonts w:eastAsia="Times New Roman"/>
        </w:rPr>
        <w:t xml:space="preserve">Because of the increased risk of venous thromboembolism in patients with multiple myeloma taking lenalidomide in combination therapy, and to a lesser extent in patients with </w:t>
      </w:r>
      <w:r>
        <w:rPr>
          <w:rFonts w:eastAsia="Times New Roman"/>
        </w:rPr>
        <w:t>multiple myeloma</w:t>
      </w:r>
      <w:r w:rsidR="00D945C0">
        <w:rPr>
          <w:rFonts w:eastAsia="Times New Roman"/>
        </w:rPr>
        <w:t xml:space="preserve">, </w:t>
      </w:r>
      <w:r w:rsidR="00DA1CF4" w:rsidRPr="00DA1CF4">
        <w:rPr>
          <w:rFonts w:eastAsia="Times New Roman"/>
        </w:rPr>
        <w:t xml:space="preserve">myelodysplastic syndromes and mantle cell lymphoma </w:t>
      </w:r>
      <w:r w:rsidRPr="00335062">
        <w:rPr>
          <w:rFonts w:eastAsia="Times New Roman"/>
        </w:rPr>
        <w:t>taking lenalidomide monotherapy, combined oral contraceptive pills are not recommended (see also section 4.5). If a patient is currently using combined oral contraception the patient should switch to one of the effective methods listed above. The risk of venous thromboembolism continues for 4−6 weeks after discontinuing combined oral contraception. The efficacy of contraceptive steroids may be reduced during co-treatment with dexamethasone (see section 4.5).</w:t>
      </w:r>
    </w:p>
    <w:p w:rsidR="00506994" w:rsidRPr="00335062" w:rsidRDefault="00506994" w:rsidP="00AB7A9E"/>
    <w:p w:rsidR="00506994" w:rsidRPr="00335062" w:rsidRDefault="00506994" w:rsidP="00AB7A9E">
      <w:pPr>
        <w:ind w:right="140"/>
      </w:pPr>
      <w:r w:rsidRPr="00335062">
        <w:rPr>
          <w:rFonts w:eastAsia="Times New Roman"/>
        </w:rPr>
        <w:t>Implants and levonorgestrel-releasing intrauterine systems are associated with an increased risk of infection at the time of insertion and irregular vaginal bleeding. Prophylactic antibiotics should be considered particularly in patients with neutropenia.</w:t>
      </w:r>
    </w:p>
    <w:p w:rsidR="00506994" w:rsidRPr="00335062" w:rsidRDefault="00506994" w:rsidP="00AB7A9E"/>
    <w:p w:rsidR="00506994" w:rsidRPr="00335062" w:rsidRDefault="00506994" w:rsidP="00AB7A9E">
      <w:pPr>
        <w:ind w:right="200"/>
      </w:pPr>
      <w:r w:rsidRPr="00335062">
        <w:rPr>
          <w:rFonts w:eastAsia="Times New Roman"/>
        </w:rPr>
        <w:t>Copper-releasing intrauterine devices are generally not recommended due to the potential risks of infection at the time of insertion and menstrual blood loss which may compromise patients with neutropenia or thrombocytopenia.</w:t>
      </w:r>
    </w:p>
    <w:p w:rsidR="00506994" w:rsidRPr="00335062" w:rsidRDefault="00506994" w:rsidP="00AB7A9E"/>
    <w:p w:rsidR="00506994" w:rsidRPr="00335062" w:rsidRDefault="00506994" w:rsidP="00AB7A9E">
      <w:r w:rsidRPr="00335062">
        <w:rPr>
          <w:rFonts w:eastAsia="Times New Roman"/>
          <w:u w:val="single"/>
        </w:rPr>
        <w:t>Pregnancy testing</w:t>
      </w:r>
    </w:p>
    <w:p w:rsidR="00506994" w:rsidRPr="00335062" w:rsidRDefault="00506994" w:rsidP="00AB7A9E">
      <w:r w:rsidRPr="00335062">
        <w:rPr>
          <w:rFonts w:eastAsia="Times New Roman"/>
        </w:rPr>
        <w:t>According to local practice, medically supervised pregnancy tests with a minimum sensitivity of 25 mIU/mL must be performed for women of childbearing potential as outlined below. This requirement includes women of childbearing potential who practice absolute and continuous abstinence. Ideally, pregnancy testing, issuing a prescription and dispensing should occur on the same day. Dispensing of lenalidomide to women of childbearing potential should occur within 7 days of the prescription.</w:t>
      </w:r>
    </w:p>
    <w:p w:rsidR="00506994" w:rsidRPr="00335062" w:rsidRDefault="00506994" w:rsidP="00AB7A9E"/>
    <w:p w:rsidR="00506994" w:rsidRPr="004273C8" w:rsidRDefault="00506994" w:rsidP="00AB7A9E">
      <w:pPr>
        <w:rPr>
          <w:u w:val="single"/>
        </w:rPr>
      </w:pPr>
      <w:r w:rsidRPr="004273C8">
        <w:rPr>
          <w:rFonts w:eastAsia="Times New Roman"/>
          <w:i/>
          <w:iCs/>
          <w:u w:val="single"/>
        </w:rPr>
        <w:t>Prior to starting treatment</w:t>
      </w:r>
    </w:p>
    <w:p w:rsidR="00506994" w:rsidRPr="00335062" w:rsidRDefault="00506994" w:rsidP="00AB7A9E">
      <w:pPr>
        <w:ind w:right="260"/>
      </w:pPr>
      <w:r w:rsidRPr="00335062">
        <w:rPr>
          <w:rFonts w:eastAsia="Times New Roman"/>
        </w:rPr>
        <w:t>A medically supervised pregnancy test should be performed during the consultation, when lenalidomide is prescribed, or in the 3 days prior to the visit to the prescriber once the patient had been using effective contraception for at least 4 weeks. The test should ensure the patient is not pregnant when she starts treatment with lenalidomide.</w:t>
      </w:r>
    </w:p>
    <w:p w:rsidR="00506994" w:rsidRPr="00335062" w:rsidRDefault="00506994" w:rsidP="00AB7A9E"/>
    <w:p w:rsidR="00506994" w:rsidRPr="004273C8" w:rsidRDefault="00506994" w:rsidP="00AB7A9E">
      <w:pPr>
        <w:rPr>
          <w:u w:val="single"/>
        </w:rPr>
      </w:pPr>
      <w:r w:rsidRPr="004273C8">
        <w:rPr>
          <w:rFonts w:eastAsia="Times New Roman"/>
          <w:i/>
          <w:iCs/>
          <w:u w:val="single"/>
        </w:rPr>
        <w:t>Follow-up and end of treatment</w:t>
      </w:r>
    </w:p>
    <w:p w:rsidR="00506994" w:rsidRPr="00335062" w:rsidRDefault="00506994" w:rsidP="00AB7A9E">
      <w:pPr>
        <w:ind w:right="80"/>
        <w:jc w:val="both"/>
      </w:pPr>
      <w:r w:rsidRPr="00335062">
        <w:rPr>
          <w:rFonts w:eastAsia="Times New Roman"/>
        </w:rPr>
        <w:t>A medically supervised pregnancy test should be repeated</w:t>
      </w:r>
      <w:r w:rsidR="00443A69">
        <w:rPr>
          <w:rFonts w:eastAsia="Times New Roman"/>
        </w:rPr>
        <w:t xml:space="preserve"> at least</w:t>
      </w:r>
      <w:r w:rsidRPr="00335062">
        <w:rPr>
          <w:rFonts w:eastAsia="Times New Roman"/>
        </w:rPr>
        <w:t xml:space="preserve"> every 4 weeks, including </w:t>
      </w:r>
      <w:r w:rsidR="00443A69">
        <w:rPr>
          <w:rFonts w:eastAsia="Times New Roman"/>
        </w:rPr>
        <w:t xml:space="preserve">at least </w:t>
      </w:r>
      <w:r w:rsidRPr="00335062">
        <w:rPr>
          <w:rFonts w:eastAsia="Times New Roman"/>
        </w:rPr>
        <w:t>4 weeks after the end of treatment, except in the case of confirmed tubal sterilisation. These pregnancy tests should be performed on the day of the prescribing visit or in the 3 days prior to the visit to the prescriber.</w:t>
      </w:r>
    </w:p>
    <w:p w:rsidR="00506994" w:rsidRDefault="00506994" w:rsidP="00AB7A9E"/>
    <w:p w:rsidR="00282CF2" w:rsidRPr="00282CF2" w:rsidRDefault="00282CF2" w:rsidP="00AB7A9E">
      <w:pPr>
        <w:autoSpaceDE w:val="0"/>
        <w:autoSpaceDN w:val="0"/>
        <w:adjustRightInd w:val="0"/>
        <w:rPr>
          <w:rFonts w:eastAsia="Times New Roman"/>
          <w:u w:val="single"/>
        </w:rPr>
      </w:pPr>
      <w:r w:rsidRPr="00282CF2">
        <w:rPr>
          <w:rFonts w:eastAsia="Times New Roman"/>
          <w:u w:val="single"/>
        </w:rPr>
        <w:t>Additional precautions</w:t>
      </w:r>
    </w:p>
    <w:p w:rsidR="00282CF2" w:rsidRDefault="00282CF2" w:rsidP="00AB7A9E">
      <w:pPr>
        <w:autoSpaceDE w:val="0"/>
        <w:autoSpaceDN w:val="0"/>
        <w:adjustRightInd w:val="0"/>
        <w:rPr>
          <w:rFonts w:eastAsia="Times New Roman"/>
        </w:rPr>
      </w:pPr>
      <w:r>
        <w:rPr>
          <w:rFonts w:eastAsia="Times New Roman"/>
        </w:rPr>
        <w:t>Patients should be instructed never to give this medicinal product to another person and to return any unused</w:t>
      </w:r>
    </w:p>
    <w:p w:rsidR="00282CF2" w:rsidRDefault="00282CF2" w:rsidP="00AB7A9E">
      <w:pPr>
        <w:autoSpaceDE w:val="0"/>
        <w:autoSpaceDN w:val="0"/>
        <w:adjustRightInd w:val="0"/>
        <w:rPr>
          <w:rFonts w:eastAsia="Times New Roman"/>
        </w:rPr>
      </w:pPr>
      <w:r>
        <w:rPr>
          <w:rFonts w:eastAsia="Times New Roman"/>
        </w:rPr>
        <w:t>capsules to their pharmacist at the end of treatment for safe disposal.</w:t>
      </w:r>
    </w:p>
    <w:p w:rsidR="00282CF2" w:rsidRDefault="00282CF2" w:rsidP="00AB7A9E">
      <w:pPr>
        <w:autoSpaceDE w:val="0"/>
        <w:autoSpaceDN w:val="0"/>
        <w:adjustRightInd w:val="0"/>
        <w:rPr>
          <w:rFonts w:eastAsia="Times New Roman"/>
        </w:rPr>
      </w:pPr>
    </w:p>
    <w:p w:rsidR="00282CF2" w:rsidRDefault="00282CF2" w:rsidP="00AB7A9E">
      <w:r>
        <w:rPr>
          <w:rFonts w:eastAsia="Times New Roman"/>
        </w:rPr>
        <w:t xml:space="preserve">Patients should not donate blood during therapy or for </w:t>
      </w:r>
      <w:r w:rsidR="00443A69">
        <w:rPr>
          <w:rFonts w:eastAsia="Times New Roman"/>
        </w:rPr>
        <w:t>at least 7 days</w:t>
      </w:r>
      <w:r>
        <w:rPr>
          <w:rFonts w:eastAsia="Times New Roman"/>
        </w:rPr>
        <w:t xml:space="preserve"> following discontinuation of lenalidomide.</w:t>
      </w:r>
    </w:p>
    <w:p w:rsidR="00282CF2" w:rsidRDefault="00282CF2" w:rsidP="00AB7A9E"/>
    <w:p w:rsidR="008820D9" w:rsidRDefault="008820D9" w:rsidP="00AB7A9E">
      <w:r w:rsidRPr="008820D9">
        <w:t>Healthcare professionals and caregivers should wear disposable gloves when handling the blister or capsule. Women who are pregnant or suspect they may be pregnant should not handle the blister or capsule (see section 6.6).</w:t>
      </w:r>
    </w:p>
    <w:p w:rsidR="008820D9" w:rsidRPr="00335062" w:rsidRDefault="008820D9" w:rsidP="00AB7A9E"/>
    <w:p w:rsidR="00506994" w:rsidRPr="00335062" w:rsidRDefault="00506994" w:rsidP="00AB7A9E">
      <w:r w:rsidRPr="00335062">
        <w:rPr>
          <w:rFonts w:eastAsia="Times New Roman"/>
          <w:u w:val="single"/>
        </w:rPr>
        <w:t>Educational materials, prescribing and dispensing restrictions</w:t>
      </w:r>
    </w:p>
    <w:p w:rsidR="00506994" w:rsidRPr="004273C8" w:rsidRDefault="00506994" w:rsidP="00443A69">
      <w:pPr>
        <w:ind w:right="100"/>
        <w:rPr>
          <w:rFonts w:eastAsia="Times New Roman"/>
        </w:rPr>
      </w:pPr>
      <w:r w:rsidRPr="00335062">
        <w:rPr>
          <w:rFonts w:eastAsia="Times New Roman"/>
        </w:rPr>
        <w:t>In order to assist patients in avoiding foetal exposure to lenalidomide, the Marketing Authorisation Holder will provide educational material to health care professionals to reinforce the warnings about the expected teratogenicity of lenalidomide, to provide advice on contraception before therapy is started, and to provide guidance on the need for pregnancy testing. The prescriber must inform male and female patients about the expected teratogenic risk and the strict pregnancy prevention measures as specified in the Pregnancy Prevention Programme and provide patients with appropriate patient educational brochure, patient card and/or equivalent tool in accordance to the national implemented patient card system. A national controlled distribution system has been implemented in collaboration with each National Competent Authority. The controlled distribution system includes the use of a patient card and/or equivalent tool for prescribing and/or dispensing controls, and the collecting of detailed data relating to the indication in order to monitor closely the off-label use within the national territory. Ideally, pregnancy testing, issuing a prescription and dispensing should occur on the same day. Dispensing of lenalidomide to women of childbearing potential should occur within 7 days of the prescription and following a medically supervised negative pregnancy test result.</w:t>
      </w:r>
      <w:r w:rsidR="00443A69">
        <w:rPr>
          <w:rFonts w:eastAsia="Times New Roman"/>
        </w:rPr>
        <w:t xml:space="preserve"> </w:t>
      </w:r>
      <w:r w:rsidR="00443A69" w:rsidRPr="00443A69">
        <w:rPr>
          <w:rFonts w:eastAsia="Times New Roman"/>
        </w:rPr>
        <w:t>Prescriptions for women of childbearing potential can be for a maximum duration of treatment of</w:t>
      </w:r>
      <w:r w:rsidR="00443A69">
        <w:rPr>
          <w:rFonts w:eastAsia="Times New Roman"/>
        </w:rPr>
        <w:t xml:space="preserve"> </w:t>
      </w:r>
      <w:r w:rsidR="00443A69" w:rsidRPr="00443A69">
        <w:rPr>
          <w:rFonts w:eastAsia="Times New Roman"/>
        </w:rPr>
        <w:t>4 weeks</w:t>
      </w:r>
      <w:r w:rsidR="008820D9">
        <w:rPr>
          <w:rFonts w:eastAsia="Times New Roman"/>
        </w:rPr>
        <w:t xml:space="preserve"> according to the approved indications dosing regimens (see section 4.2)</w:t>
      </w:r>
      <w:r w:rsidR="00443A69" w:rsidRPr="00443A69">
        <w:rPr>
          <w:rFonts w:eastAsia="Times New Roman"/>
        </w:rPr>
        <w:t>, and prescriptions for all other patients can be for a maximum duration of treatment of 12 weeks.</w:t>
      </w:r>
    </w:p>
    <w:p w:rsidR="00506994" w:rsidRPr="00335062" w:rsidRDefault="00506994" w:rsidP="00AB7A9E"/>
    <w:p w:rsidR="00506994" w:rsidRPr="00335062" w:rsidRDefault="00506994" w:rsidP="00AB7A9E">
      <w:r w:rsidRPr="00335062">
        <w:rPr>
          <w:rFonts w:eastAsia="Times New Roman"/>
          <w:u w:val="single"/>
        </w:rPr>
        <w:t>Other special warnings and precautions for use</w:t>
      </w:r>
    </w:p>
    <w:p w:rsidR="00506994" w:rsidRPr="004273C8" w:rsidRDefault="00506994" w:rsidP="00AB7A9E">
      <w:pPr>
        <w:rPr>
          <w:u w:val="single"/>
        </w:rPr>
      </w:pPr>
      <w:r w:rsidRPr="004273C8">
        <w:rPr>
          <w:rFonts w:eastAsia="Times New Roman"/>
          <w:i/>
          <w:iCs/>
          <w:u w:val="single"/>
        </w:rPr>
        <w:t>Myocardial infarction</w:t>
      </w:r>
    </w:p>
    <w:p w:rsidR="00506994" w:rsidRPr="00335062" w:rsidRDefault="00506994" w:rsidP="00AB7A9E">
      <w:pPr>
        <w:ind w:right="20"/>
      </w:pPr>
      <w:r w:rsidRPr="00335062">
        <w:rPr>
          <w:rFonts w:eastAsia="Times New Roman"/>
        </w:rPr>
        <w:t>Myocardial infarction has been reported in patients receiving lenalidomide, particularly in those with known risk factors and within the first 12 months when used in combination with dexamethasone. Patients with known risk factors – including prior thrombosis – should be closely monitored, and action should be taken to try to minimize all modifiable risk factors (eg. smoking, hypertension, and hyperlipidaemia).</w:t>
      </w:r>
    </w:p>
    <w:p w:rsidR="00506994" w:rsidRPr="00335062" w:rsidRDefault="00506994" w:rsidP="00AB7A9E"/>
    <w:p w:rsidR="00506994" w:rsidRPr="004273C8" w:rsidRDefault="00506994" w:rsidP="00AB7A9E">
      <w:pPr>
        <w:rPr>
          <w:u w:val="single"/>
        </w:rPr>
      </w:pPr>
      <w:r w:rsidRPr="004273C8">
        <w:rPr>
          <w:rFonts w:eastAsia="Times New Roman"/>
          <w:i/>
          <w:iCs/>
          <w:u w:val="single"/>
        </w:rPr>
        <w:t>Venous and arterial thromboembolic events</w:t>
      </w:r>
    </w:p>
    <w:p w:rsidR="00506994" w:rsidRPr="00335062" w:rsidRDefault="00506994" w:rsidP="004560FA">
      <w:pPr>
        <w:ind w:right="40"/>
      </w:pPr>
      <w:r w:rsidRPr="00335062">
        <w:rPr>
          <w:rFonts w:eastAsia="Times New Roman"/>
        </w:rPr>
        <w:t>In patients with multiple myeloma, the combination of lenalidomide with dexamethasone is associated with an increased risk of venous thromboembolism (predominantly deep vein thrombosis and pulmonary embolism)</w:t>
      </w:r>
      <w:r w:rsidR="00443A69">
        <w:rPr>
          <w:rFonts w:eastAsia="Times New Roman"/>
        </w:rPr>
        <w:t xml:space="preserve">. </w:t>
      </w:r>
      <w:r w:rsidR="00443A69">
        <w:rPr>
          <w:spacing w:val="-1"/>
        </w:rPr>
        <w:t>The</w:t>
      </w:r>
      <w:r w:rsidR="00443A69">
        <w:t xml:space="preserve"> </w:t>
      </w:r>
      <w:r w:rsidR="00443A69">
        <w:rPr>
          <w:spacing w:val="-1"/>
        </w:rPr>
        <w:t>risk</w:t>
      </w:r>
      <w:r w:rsidR="00443A69">
        <w:rPr>
          <w:spacing w:val="-3"/>
        </w:rPr>
        <w:t xml:space="preserve"> </w:t>
      </w:r>
      <w:r w:rsidR="00443A69">
        <w:t>of</w:t>
      </w:r>
      <w:r w:rsidR="00443A69">
        <w:rPr>
          <w:spacing w:val="1"/>
        </w:rPr>
        <w:t xml:space="preserve"> </w:t>
      </w:r>
      <w:r w:rsidR="00443A69">
        <w:rPr>
          <w:spacing w:val="-1"/>
        </w:rPr>
        <w:t>venous</w:t>
      </w:r>
      <w:r w:rsidR="00443A69">
        <w:t xml:space="preserve"> </w:t>
      </w:r>
      <w:r w:rsidR="00443A69">
        <w:rPr>
          <w:spacing w:val="-1"/>
        </w:rPr>
        <w:t>thromboembolism</w:t>
      </w:r>
      <w:r w:rsidR="00443A69">
        <w:rPr>
          <w:spacing w:val="-4"/>
        </w:rPr>
        <w:t xml:space="preserve"> </w:t>
      </w:r>
      <w:r w:rsidRPr="00335062">
        <w:rPr>
          <w:rFonts w:eastAsia="Times New Roman"/>
        </w:rPr>
        <w:t>was seen to a lesser extent with lenalidomide in combination with melphalan and prednisone</w:t>
      </w:r>
      <w:r>
        <w:rPr>
          <w:rFonts w:eastAsia="Times New Roman"/>
        </w:rPr>
        <w:t>.</w:t>
      </w:r>
      <w:r w:rsidRPr="00335062">
        <w:rPr>
          <w:rFonts w:eastAsia="Times New Roman"/>
        </w:rPr>
        <w:t xml:space="preserve"> </w:t>
      </w:r>
    </w:p>
    <w:p w:rsidR="00AD14DA" w:rsidRDefault="00AD14DA" w:rsidP="00AB7A9E">
      <w:pPr>
        <w:ind w:right="340"/>
        <w:rPr>
          <w:rFonts w:eastAsia="Times New Roman"/>
        </w:rPr>
      </w:pPr>
    </w:p>
    <w:p w:rsidR="00506994" w:rsidRPr="00335062" w:rsidRDefault="00506994" w:rsidP="00AB7A9E">
      <w:pPr>
        <w:ind w:right="340"/>
      </w:pPr>
      <w:r w:rsidRPr="00AC18F8">
        <w:rPr>
          <w:rFonts w:eastAsia="Times New Roman"/>
        </w:rPr>
        <w:t>In patients with</w:t>
      </w:r>
      <w:r>
        <w:rPr>
          <w:rFonts w:eastAsia="Times New Roman"/>
        </w:rPr>
        <w:t xml:space="preserve"> multiple myeloma</w:t>
      </w:r>
      <w:r w:rsidRPr="00AC18F8">
        <w:rPr>
          <w:rFonts w:eastAsia="Times New Roman"/>
        </w:rPr>
        <w:t xml:space="preserve">, </w:t>
      </w:r>
      <w:r w:rsidR="007F0385" w:rsidRPr="00DA1CF4">
        <w:rPr>
          <w:rFonts w:eastAsia="Times New Roman"/>
        </w:rPr>
        <w:t>myelodysplastic syndromes and mantle cell lymphoma</w:t>
      </w:r>
      <w:r w:rsidR="007F0385">
        <w:rPr>
          <w:rFonts w:eastAsia="Times New Roman"/>
        </w:rPr>
        <w:t>,</w:t>
      </w:r>
      <w:r w:rsidR="007F0385" w:rsidRPr="00AC18F8">
        <w:rPr>
          <w:rFonts w:eastAsia="Times New Roman"/>
        </w:rPr>
        <w:t xml:space="preserve"> </w:t>
      </w:r>
      <w:r w:rsidRPr="00AC18F8">
        <w:rPr>
          <w:rFonts w:eastAsia="Times New Roman"/>
        </w:rPr>
        <w:t xml:space="preserve">treatment with lenalidomide monotherapy was associated with a </w:t>
      </w:r>
      <w:r w:rsidR="008852E9">
        <w:rPr>
          <w:rFonts w:eastAsia="Times New Roman"/>
        </w:rPr>
        <w:t xml:space="preserve">lower </w:t>
      </w:r>
      <w:r w:rsidRPr="00AC18F8">
        <w:rPr>
          <w:rFonts w:eastAsia="Times New Roman"/>
        </w:rPr>
        <w:t xml:space="preserve">risk of venous thromboembolism (predominantly deep vein thrombosis and pulmonary embolism), </w:t>
      </w:r>
      <w:r w:rsidR="00A10569">
        <w:rPr>
          <w:rFonts w:eastAsia="Times New Roman"/>
        </w:rPr>
        <w:t>t</w:t>
      </w:r>
      <w:r w:rsidRPr="00AC18F8">
        <w:rPr>
          <w:rFonts w:eastAsia="Times New Roman"/>
        </w:rPr>
        <w:t>han in patients with multiple myeloma</w:t>
      </w:r>
      <w:r>
        <w:rPr>
          <w:rFonts w:eastAsia="Times New Roman"/>
        </w:rPr>
        <w:t xml:space="preserve"> treated with lenalidomide in combination therapy (</w:t>
      </w:r>
      <w:r w:rsidRPr="00AC18F8">
        <w:rPr>
          <w:rFonts w:eastAsia="Times New Roman"/>
        </w:rPr>
        <w:t>see sections 4.5 and 4.8</w:t>
      </w:r>
      <w:r>
        <w:rPr>
          <w:rFonts w:eastAsia="Times New Roman"/>
        </w:rPr>
        <w:t>)</w:t>
      </w:r>
      <w:r w:rsidRPr="00AC18F8">
        <w:rPr>
          <w:rFonts w:eastAsia="Times New Roman"/>
        </w:rPr>
        <w:t>.</w:t>
      </w:r>
    </w:p>
    <w:p w:rsidR="00506994" w:rsidRDefault="00506994" w:rsidP="00AB7A9E"/>
    <w:p w:rsidR="00506994" w:rsidRDefault="00506994" w:rsidP="00AB7A9E">
      <w:r w:rsidRPr="001D2294">
        <w:t>In patients with multiple myeloma, the combination of lenalidomide with dexamethasone is associated with an increased risk of arterial thromboembolism (predominantly myocardial infarction and cerebrovascular event) and was seen to a lesser extent with lenalidomide in combination with melphalan and prednisone. The risk of</w:t>
      </w:r>
      <w:r w:rsidR="00443A69">
        <w:t xml:space="preserve"> </w:t>
      </w:r>
      <w:r w:rsidR="00443A69">
        <w:rPr>
          <w:spacing w:val="-1"/>
        </w:rPr>
        <w:t>arterial</w:t>
      </w:r>
      <w:r w:rsidR="00443A69">
        <w:rPr>
          <w:spacing w:val="1"/>
        </w:rPr>
        <w:t xml:space="preserve"> </w:t>
      </w:r>
      <w:r w:rsidR="00443A69">
        <w:rPr>
          <w:spacing w:val="-1"/>
        </w:rPr>
        <w:t>thromboembolism</w:t>
      </w:r>
      <w:r w:rsidR="00443A69">
        <w:rPr>
          <w:spacing w:val="-4"/>
        </w:rPr>
        <w:t xml:space="preserve"> </w:t>
      </w:r>
      <w:r w:rsidRPr="001D2294">
        <w:t>is lower in patients with multiple myeloma treated with lenalidomide monotherapy than in patients with multiple myeloma treated with lenalidomide in combination therapy.</w:t>
      </w:r>
    </w:p>
    <w:p w:rsidR="00506994" w:rsidRPr="00335062" w:rsidRDefault="00506994" w:rsidP="00AB7A9E"/>
    <w:p w:rsidR="00506994" w:rsidRPr="00335062" w:rsidRDefault="00506994" w:rsidP="00AB7A9E">
      <w:pPr>
        <w:ind w:right="60"/>
      </w:pPr>
      <w:r w:rsidRPr="00335062">
        <w:rPr>
          <w:rFonts w:eastAsia="Times New Roman"/>
        </w:rPr>
        <w:t>Consequently, patients with known risk factors for thromboembolism – including prior thrombosis – should be closely monitored. Action should be taken to try to minimize all modifiable risk factors (e.g. smoking, hypertension, and hyperlipidaemia). Concomitant administration of erythropoietic agents or previous history of thromboembolic events may also increase thrombotic risk in these patients. Therefore, erythropoietic agents, or other agents that may increase the risk of thrombosis, such as hormone replacement therapy, should be used with caution in multiple myeloma patients receiving lenalidomide with dexamethasone. A haemoglobin concentration above 12 g/dl should lead to discontinuation of erythropoietic agents.</w:t>
      </w:r>
    </w:p>
    <w:p w:rsidR="00506994" w:rsidRPr="00335062" w:rsidRDefault="00506994" w:rsidP="00AB7A9E"/>
    <w:p w:rsidR="00506994" w:rsidRPr="00335062" w:rsidRDefault="00506994" w:rsidP="00AB7A9E">
      <w:r w:rsidRPr="00335062">
        <w:rPr>
          <w:rFonts w:eastAsia="Times New Roman"/>
        </w:rPr>
        <w:t>Patients and physicians are advised to be observant for the signs and symptoms of thromboembolism. Patients should be instructed to seek medical care if they develop symptoms such as shortness of breath, chest pain, arm or leg swelling. Prophylactic antithrombotic medicines should be recommended, especially in patients with additional thrombotic risk factors. The decision to take antithrombotic prophylactic measures should be made after careful assessment of an individual patient’s underlying risk factors.</w:t>
      </w:r>
    </w:p>
    <w:p w:rsidR="00506994" w:rsidRPr="00335062" w:rsidRDefault="00506994" w:rsidP="00AB7A9E"/>
    <w:p w:rsidR="00506994" w:rsidRPr="00335062" w:rsidRDefault="00506994" w:rsidP="00AB7A9E">
      <w:pPr>
        <w:ind w:right="40"/>
      </w:pPr>
      <w:r w:rsidRPr="00335062">
        <w:rPr>
          <w:rFonts w:eastAsia="Times New Roman"/>
        </w:rPr>
        <w:t>If the patient experiences any thromboembolic events, treatment must be discontinued and standard anticoagulation therapy started. Once the patient has been stabilised on the anticoagulation treatment and any complications of the thromboembolic event have been managed, the lenalidomide treatment may be restarted at the original dose dependent upon a benefit risk assessment. The patient should continue anticoagulation therapy during the course of lenalidomide treatment.</w:t>
      </w:r>
    </w:p>
    <w:p w:rsidR="00506994" w:rsidRPr="00335062" w:rsidRDefault="00506994" w:rsidP="00AB7A9E"/>
    <w:p w:rsidR="005B0414" w:rsidRDefault="005B0414" w:rsidP="005B0414">
      <w:pPr>
        <w:rPr>
          <w:i/>
          <w:iCs/>
          <w:u w:val="single"/>
        </w:rPr>
      </w:pPr>
      <w:r w:rsidRPr="003239DA">
        <w:rPr>
          <w:i/>
          <w:iCs/>
          <w:u w:val="single"/>
        </w:rPr>
        <w:t>Pulmonary hypertension</w:t>
      </w:r>
    </w:p>
    <w:p w:rsidR="005B0414" w:rsidRDefault="005B0414" w:rsidP="005B0414">
      <w:r w:rsidRPr="00074DBF">
        <w:t>Cases of pulmonary hypertension, some fatal, have been reported in patients treated with lenalidomide. Patients should be evaluated for signs and symptoms of underlying cardiopulmonary disease prior to initiating and during lenalidomide therapy</w:t>
      </w:r>
    </w:p>
    <w:p w:rsidR="005B0414" w:rsidRDefault="005B0414" w:rsidP="005B0414"/>
    <w:p w:rsidR="00506994" w:rsidRPr="004273C8" w:rsidRDefault="00506994" w:rsidP="005B0414">
      <w:pPr>
        <w:rPr>
          <w:u w:val="single"/>
        </w:rPr>
      </w:pPr>
      <w:r w:rsidRPr="004273C8">
        <w:rPr>
          <w:rFonts w:eastAsia="Times New Roman"/>
          <w:i/>
          <w:iCs/>
          <w:u w:val="single"/>
        </w:rPr>
        <w:t>Neutropenia and thrombocytopenia</w:t>
      </w:r>
    </w:p>
    <w:p w:rsidR="00DA1CF4" w:rsidRDefault="00506994" w:rsidP="00AB7A9E">
      <w:pPr>
        <w:ind w:right="100"/>
        <w:rPr>
          <w:rFonts w:eastAsia="Times New Roman"/>
        </w:rPr>
      </w:pPr>
      <w:r w:rsidRPr="00335062">
        <w:rPr>
          <w:rFonts w:eastAsia="Times New Roman"/>
        </w:rPr>
        <w:t xml:space="preserve">The major dose limiting toxicities of lenalidomide include neutropenia and thrombocytopenia. A complete blood cell count, including white blood cell count with differential count, platelet count, haemoglobin, and haematocrit should be performed at baseline, every week for the first 8 weeks of lenalidomide treatment and monthly thereafter to monitor for cytopenias. </w:t>
      </w:r>
      <w:r w:rsidR="00DA1CF4" w:rsidRPr="00DA1CF4">
        <w:rPr>
          <w:rFonts w:eastAsia="Times New Roman"/>
        </w:rPr>
        <w:t xml:space="preserve">In mantle cell lymphoma patients, the monitoring scheme should be every 2 weeks in </w:t>
      </w:r>
      <w:r w:rsidR="00443A69">
        <w:rPr>
          <w:rFonts w:eastAsia="Times New Roman"/>
        </w:rPr>
        <w:t>c</w:t>
      </w:r>
      <w:r w:rsidR="00DA1CF4" w:rsidRPr="00DA1CF4">
        <w:rPr>
          <w:rFonts w:eastAsia="Times New Roman"/>
        </w:rPr>
        <w:t xml:space="preserve">ycles 3 and 4, and then at the start of each cycle. </w:t>
      </w:r>
      <w:r w:rsidR="00443A69">
        <w:rPr>
          <w:rFonts w:eastAsia="Times New Roman"/>
        </w:rPr>
        <w:t>I</w:t>
      </w:r>
      <w:r w:rsidR="00443A69">
        <w:rPr>
          <w:spacing w:val="-2"/>
        </w:rPr>
        <w:t>n</w:t>
      </w:r>
      <w:r w:rsidR="00443A69">
        <w:t xml:space="preserve"> </w:t>
      </w:r>
      <w:r w:rsidR="00443A69">
        <w:rPr>
          <w:spacing w:val="-1"/>
        </w:rPr>
        <w:t>follicular</w:t>
      </w:r>
      <w:r w:rsidR="00443A69">
        <w:rPr>
          <w:spacing w:val="1"/>
        </w:rPr>
        <w:t xml:space="preserve"> </w:t>
      </w:r>
      <w:r w:rsidR="00443A69">
        <w:rPr>
          <w:spacing w:val="-1"/>
        </w:rPr>
        <w:t>lymphoma,</w:t>
      </w:r>
      <w:r w:rsidR="00443A69">
        <w:t xml:space="preserve"> the</w:t>
      </w:r>
      <w:r w:rsidR="00443A69">
        <w:rPr>
          <w:spacing w:val="55"/>
        </w:rPr>
        <w:t xml:space="preserve"> </w:t>
      </w:r>
      <w:r w:rsidR="00443A69">
        <w:rPr>
          <w:spacing w:val="-1"/>
        </w:rPr>
        <w:t>monitoring</w:t>
      </w:r>
      <w:r w:rsidR="00443A69">
        <w:rPr>
          <w:spacing w:val="-2"/>
        </w:rPr>
        <w:t xml:space="preserve"> </w:t>
      </w:r>
      <w:r w:rsidR="00443A69">
        <w:rPr>
          <w:spacing w:val="-1"/>
        </w:rPr>
        <w:t>scheme</w:t>
      </w:r>
      <w:r w:rsidR="00443A69">
        <w:t xml:space="preserve"> should</w:t>
      </w:r>
      <w:r w:rsidR="00443A69">
        <w:rPr>
          <w:spacing w:val="-2"/>
        </w:rPr>
        <w:t xml:space="preserve"> </w:t>
      </w:r>
      <w:r w:rsidR="00443A69">
        <w:t xml:space="preserve">be </w:t>
      </w:r>
      <w:r w:rsidR="00443A69">
        <w:rPr>
          <w:spacing w:val="-1"/>
        </w:rPr>
        <w:t>weekly</w:t>
      </w:r>
      <w:r w:rsidR="00443A69">
        <w:rPr>
          <w:spacing w:val="-3"/>
        </w:rPr>
        <w:t xml:space="preserve"> </w:t>
      </w:r>
      <w:r w:rsidR="00443A69">
        <w:t>for</w:t>
      </w:r>
      <w:r w:rsidR="00443A69">
        <w:rPr>
          <w:spacing w:val="-2"/>
        </w:rPr>
        <w:t xml:space="preserve"> </w:t>
      </w:r>
      <w:r w:rsidR="00443A69">
        <w:t>the</w:t>
      </w:r>
      <w:r w:rsidR="00443A69">
        <w:rPr>
          <w:spacing w:val="-2"/>
        </w:rPr>
        <w:t xml:space="preserve"> </w:t>
      </w:r>
      <w:r w:rsidR="00443A69">
        <w:rPr>
          <w:spacing w:val="-1"/>
        </w:rPr>
        <w:t>first</w:t>
      </w:r>
      <w:r w:rsidR="00443A69">
        <w:rPr>
          <w:spacing w:val="1"/>
        </w:rPr>
        <w:t xml:space="preserve"> </w:t>
      </w:r>
      <w:r w:rsidR="00443A69">
        <w:t xml:space="preserve">3 </w:t>
      </w:r>
      <w:r w:rsidR="00443A69">
        <w:rPr>
          <w:spacing w:val="-2"/>
        </w:rPr>
        <w:t>weeks</w:t>
      </w:r>
      <w:r w:rsidR="00443A69">
        <w:t xml:space="preserve"> of</w:t>
      </w:r>
      <w:r w:rsidR="00443A69">
        <w:rPr>
          <w:spacing w:val="1"/>
        </w:rPr>
        <w:t xml:space="preserve"> </w:t>
      </w:r>
      <w:r w:rsidR="00443A69">
        <w:rPr>
          <w:spacing w:val="-1"/>
        </w:rPr>
        <w:t>cycle</w:t>
      </w:r>
      <w:r w:rsidR="00443A69">
        <w:t xml:space="preserve"> 1</w:t>
      </w:r>
      <w:r w:rsidR="00443A69">
        <w:rPr>
          <w:spacing w:val="-3"/>
        </w:rPr>
        <w:t xml:space="preserve"> </w:t>
      </w:r>
      <w:r w:rsidR="00443A69">
        <w:t>(28</w:t>
      </w:r>
      <w:r w:rsidR="00443A69">
        <w:rPr>
          <w:spacing w:val="-2"/>
        </w:rPr>
        <w:t xml:space="preserve"> </w:t>
      </w:r>
      <w:r w:rsidR="00443A69">
        <w:rPr>
          <w:spacing w:val="-1"/>
        </w:rPr>
        <w:t>days),</w:t>
      </w:r>
      <w:r w:rsidR="00443A69">
        <w:t xml:space="preserve"> </w:t>
      </w:r>
      <w:r w:rsidR="00443A69">
        <w:rPr>
          <w:spacing w:val="-1"/>
        </w:rPr>
        <w:t>every</w:t>
      </w:r>
      <w:r w:rsidR="00443A69">
        <w:rPr>
          <w:spacing w:val="-3"/>
        </w:rPr>
        <w:t xml:space="preserve"> </w:t>
      </w:r>
      <w:r w:rsidR="00443A69">
        <w:t xml:space="preserve">2 </w:t>
      </w:r>
      <w:r w:rsidR="00443A69">
        <w:rPr>
          <w:spacing w:val="-1"/>
        </w:rPr>
        <w:t>weeks</w:t>
      </w:r>
      <w:r w:rsidR="00443A69">
        <w:t xml:space="preserve"> </w:t>
      </w:r>
      <w:r w:rsidR="00443A69">
        <w:rPr>
          <w:spacing w:val="-1"/>
        </w:rPr>
        <w:t>during</w:t>
      </w:r>
      <w:r w:rsidR="00443A69">
        <w:rPr>
          <w:spacing w:val="-2"/>
        </w:rPr>
        <w:t xml:space="preserve"> </w:t>
      </w:r>
      <w:r w:rsidR="00443A69">
        <w:rPr>
          <w:spacing w:val="-1"/>
        </w:rPr>
        <w:t>cycles</w:t>
      </w:r>
      <w:r w:rsidR="00AD14DA">
        <w:rPr>
          <w:spacing w:val="77"/>
        </w:rPr>
        <w:t xml:space="preserve"> </w:t>
      </w:r>
      <w:r w:rsidR="00443A69">
        <w:t xml:space="preserve">2 </w:t>
      </w:r>
      <w:r w:rsidR="00443A69">
        <w:rPr>
          <w:spacing w:val="-1"/>
        </w:rPr>
        <w:t>through</w:t>
      </w:r>
      <w:r w:rsidR="00443A69">
        <w:t xml:space="preserve"> 4, and</w:t>
      </w:r>
      <w:r w:rsidR="00443A69">
        <w:rPr>
          <w:spacing w:val="-2"/>
        </w:rPr>
        <w:t xml:space="preserve"> </w:t>
      </w:r>
      <w:r w:rsidR="00443A69">
        <w:t>then</w:t>
      </w:r>
      <w:r w:rsidR="00443A69">
        <w:rPr>
          <w:spacing w:val="-2"/>
        </w:rPr>
        <w:t xml:space="preserve"> </w:t>
      </w:r>
      <w:r w:rsidR="00443A69">
        <w:t>at</w:t>
      </w:r>
      <w:r w:rsidR="00443A69">
        <w:rPr>
          <w:spacing w:val="-2"/>
        </w:rPr>
        <w:t xml:space="preserve"> </w:t>
      </w:r>
      <w:r w:rsidR="00443A69">
        <w:t>the</w:t>
      </w:r>
      <w:r w:rsidR="00443A69">
        <w:rPr>
          <w:spacing w:val="-2"/>
        </w:rPr>
        <w:t xml:space="preserve"> </w:t>
      </w:r>
      <w:r w:rsidR="00443A69">
        <w:rPr>
          <w:spacing w:val="-1"/>
        </w:rPr>
        <w:t>start</w:t>
      </w:r>
      <w:r w:rsidR="00443A69">
        <w:rPr>
          <w:spacing w:val="1"/>
        </w:rPr>
        <w:t xml:space="preserve"> </w:t>
      </w:r>
      <w:r w:rsidR="00443A69">
        <w:rPr>
          <w:spacing w:val="-2"/>
        </w:rPr>
        <w:t>of</w:t>
      </w:r>
      <w:r w:rsidR="00443A69">
        <w:rPr>
          <w:spacing w:val="1"/>
        </w:rPr>
        <w:t xml:space="preserve"> </w:t>
      </w:r>
      <w:r w:rsidR="00443A69">
        <w:rPr>
          <w:spacing w:val="-1"/>
        </w:rPr>
        <w:t>each</w:t>
      </w:r>
      <w:r w:rsidR="00443A69">
        <w:rPr>
          <w:spacing w:val="-2"/>
        </w:rPr>
        <w:t xml:space="preserve"> </w:t>
      </w:r>
      <w:r w:rsidR="00443A69">
        <w:rPr>
          <w:spacing w:val="-1"/>
        </w:rPr>
        <w:t>cycle</w:t>
      </w:r>
      <w:r w:rsidR="00443A69">
        <w:t xml:space="preserve"> </w:t>
      </w:r>
      <w:r w:rsidR="00443A69">
        <w:rPr>
          <w:spacing w:val="-1"/>
        </w:rPr>
        <w:t>thereafter.</w:t>
      </w:r>
      <w:r w:rsidR="00443A69">
        <w:t xml:space="preserve"> A</w:t>
      </w:r>
      <w:r w:rsidR="00443A69">
        <w:rPr>
          <w:spacing w:val="-1"/>
        </w:rPr>
        <w:t xml:space="preserve"> dose</w:t>
      </w:r>
      <w:r w:rsidR="00443A69">
        <w:t xml:space="preserve"> </w:t>
      </w:r>
      <w:r w:rsidR="00443A69">
        <w:rPr>
          <w:spacing w:val="-1"/>
        </w:rPr>
        <w:t>interruption</w:t>
      </w:r>
      <w:r w:rsidR="00443A69">
        <w:t xml:space="preserve"> </w:t>
      </w:r>
      <w:r w:rsidR="00443A69">
        <w:rPr>
          <w:spacing w:val="-1"/>
        </w:rPr>
        <w:t>and/or</w:t>
      </w:r>
      <w:r w:rsidR="00443A69">
        <w:rPr>
          <w:spacing w:val="1"/>
        </w:rPr>
        <w:t xml:space="preserve"> </w:t>
      </w:r>
      <w:proofErr w:type="gramStart"/>
      <w:r w:rsidR="00443A69">
        <w:t xml:space="preserve">a </w:t>
      </w:r>
      <w:r w:rsidR="00DA1CF4" w:rsidRPr="00DA1CF4">
        <w:rPr>
          <w:rFonts w:eastAsia="Times New Roman"/>
        </w:rPr>
        <w:t xml:space="preserve"> dose</w:t>
      </w:r>
      <w:proofErr w:type="gramEnd"/>
      <w:r w:rsidR="00DA1CF4" w:rsidRPr="00DA1CF4">
        <w:rPr>
          <w:rFonts w:eastAsia="Times New Roman"/>
        </w:rPr>
        <w:t xml:space="preserve"> reduction may be required (see section 4.2).</w:t>
      </w:r>
    </w:p>
    <w:p w:rsidR="008852E9" w:rsidRDefault="00506994" w:rsidP="00AB7A9E">
      <w:pPr>
        <w:ind w:right="100"/>
        <w:rPr>
          <w:rFonts w:eastAsia="Times New Roman"/>
        </w:rPr>
      </w:pPr>
      <w:r w:rsidRPr="00335062">
        <w:rPr>
          <w:rFonts w:eastAsia="Times New Roman"/>
        </w:rPr>
        <w:t>In case of neutropenia, the physician should consider the use of growth factors in patient management. Patients should be advised to promptly report febrile episodes</w:t>
      </w:r>
      <w:r w:rsidR="008852E9" w:rsidRPr="00335062">
        <w:rPr>
          <w:rFonts w:eastAsia="Times New Roman"/>
        </w:rPr>
        <w:t>.</w:t>
      </w:r>
    </w:p>
    <w:p w:rsidR="008852E9" w:rsidRDefault="008852E9" w:rsidP="00AB7A9E">
      <w:pPr>
        <w:ind w:right="100"/>
      </w:pPr>
      <w:r>
        <w:t>Patients and physicians are advised to be observant for signs and symptoms of bleeding, including petechiae and epistax</w:t>
      </w:r>
      <w:r w:rsidR="001672E5">
        <w:t>i</w:t>
      </w:r>
      <w:r>
        <w:t>s, especially in patients receiving concomitant medicinal products susceptible to induce bleeding (see section 4.8, Haemorrhagic disorders).</w:t>
      </w:r>
    </w:p>
    <w:p w:rsidR="00506994" w:rsidRPr="00335062" w:rsidRDefault="00506994" w:rsidP="00AB7A9E">
      <w:pPr>
        <w:ind w:right="100"/>
      </w:pPr>
      <w:r w:rsidRPr="00335062">
        <w:rPr>
          <w:rFonts w:eastAsia="Times New Roman"/>
        </w:rPr>
        <w:t>Co-administration of lenalidomide with other myelosuppressive agents should be undertaken with caution.</w:t>
      </w:r>
    </w:p>
    <w:p w:rsidR="00506994" w:rsidRDefault="00506994" w:rsidP="00AB7A9E"/>
    <w:p w:rsidR="00506994" w:rsidRPr="004273C8" w:rsidRDefault="00506994" w:rsidP="00AB7A9E">
      <w:pPr>
        <w:pStyle w:val="ListParagraph"/>
        <w:numPr>
          <w:ilvl w:val="0"/>
          <w:numId w:val="58"/>
        </w:numPr>
        <w:tabs>
          <w:tab w:val="left" w:pos="709"/>
        </w:tabs>
        <w:ind w:right="240"/>
        <w:rPr>
          <w:rFonts w:eastAsia="Symbol"/>
          <w:u w:val="single"/>
        </w:rPr>
      </w:pPr>
      <w:r w:rsidRPr="004273C8">
        <w:rPr>
          <w:rFonts w:eastAsia="Times New Roman"/>
          <w:u w:val="single"/>
        </w:rPr>
        <w:t>Newly diagnosed multiple myeloma: patients who have undergone ASCT treated with lenalidomide maintenance</w:t>
      </w:r>
    </w:p>
    <w:p w:rsidR="00506994" w:rsidRPr="00CA7797" w:rsidRDefault="00506994" w:rsidP="00AB7A9E">
      <w:pPr>
        <w:tabs>
          <w:tab w:val="left" w:pos="709"/>
        </w:tabs>
        <w:ind w:right="240"/>
        <w:rPr>
          <w:rFonts w:eastAsia="Symbol"/>
        </w:rPr>
      </w:pPr>
      <w:r w:rsidRPr="00CA7797">
        <w:rPr>
          <w:rFonts w:eastAsia="Symbol"/>
        </w:rPr>
        <w:t>The adverse reactions from CALGB 100104 included events reported post-high dose melphalan and ASCT (HDM/ASCT) as well as events from the maintenance treatment period. A second analysis identified events that occurred after the start of maintenance treatment. In IFM 2005-02, the adverse reactions were from the maintenance treatment period only.</w:t>
      </w:r>
    </w:p>
    <w:p w:rsidR="00506994" w:rsidRPr="00CA7797" w:rsidRDefault="00506994" w:rsidP="00AB7A9E">
      <w:pPr>
        <w:tabs>
          <w:tab w:val="left" w:pos="709"/>
        </w:tabs>
        <w:ind w:right="240"/>
        <w:rPr>
          <w:rFonts w:eastAsia="Symbol"/>
        </w:rPr>
      </w:pPr>
    </w:p>
    <w:p w:rsidR="00506994" w:rsidRPr="00CA7797" w:rsidRDefault="00506994" w:rsidP="00AB7A9E">
      <w:pPr>
        <w:tabs>
          <w:tab w:val="left" w:pos="709"/>
        </w:tabs>
        <w:ind w:right="240"/>
        <w:rPr>
          <w:rFonts w:eastAsia="Symbol"/>
        </w:rPr>
      </w:pPr>
      <w:r w:rsidRPr="00CA7797">
        <w:rPr>
          <w:rFonts w:eastAsia="Symbol"/>
        </w:rPr>
        <w:t xml:space="preserve">Overall, </w:t>
      </w:r>
      <w:r w:rsidR="001672E5">
        <w:rPr>
          <w:rFonts w:eastAsia="Symbol"/>
        </w:rPr>
        <w:t>G</w:t>
      </w:r>
      <w:r w:rsidRPr="00CA7797">
        <w:rPr>
          <w:rFonts w:eastAsia="Symbol"/>
        </w:rPr>
        <w:t>rade 4 neutropenia was observed at a higher frequency in the lenalidomide maintenance arms compared to the placebo maintenance arms in the 2 studies evaluating lenalidomide maintenance in NDMM patients who have undergone ASCT (32.1% vs 26.7% [16.1% vs 1.8% after the start of maintenance treatment] in CALGB 100104 and 16.4% vs 0.7% in IFM 2005-02, respectively). Treatment-emergent AEs of neutropenia leading to lenalidomide discontinuation were reported in 2.2% of patients in CALGB 100104 and 2.4% of patients in IFM 2005-02, respectively. Grade 4 febrile neutropenia was reported at similar frequencies in the lenalidomide maintenance arms compared to placebo maintenance arms in both studies (0.4% vs 0.5% [0.4% vs 0.5% after the start of maintenance treatment] in CALGB 100104 and 0.3% vs 0% in IFM 2005-02, respectively). Patients should be advised to promptly report febrile episodes, a treatment interruption and/or dose reduction may be required (see section 4.2).</w:t>
      </w:r>
    </w:p>
    <w:p w:rsidR="00506994" w:rsidRPr="00CA7797" w:rsidRDefault="00506994" w:rsidP="00AB7A9E">
      <w:pPr>
        <w:tabs>
          <w:tab w:val="left" w:pos="709"/>
        </w:tabs>
        <w:ind w:right="240"/>
        <w:rPr>
          <w:rFonts w:eastAsia="Symbol"/>
        </w:rPr>
      </w:pPr>
    </w:p>
    <w:p w:rsidR="00506994" w:rsidRPr="00CA7797" w:rsidRDefault="00506994" w:rsidP="00AB7A9E">
      <w:pPr>
        <w:tabs>
          <w:tab w:val="left" w:pos="709"/>
        </w:tabs>
        <w:ind w:right="240"/>
        <w:rPr>
          <w:rFonts w:eastAsia="Symbol"/>
        </w:rPr>
      </w:pPr>
      <w:r w:rsidRPr="00CA7797">
        <w:rPr>
          <w:rFonts w:eastAsia="Symbol"/>
        </w:rPr>
        <w:t xml:space="preserve">Grade 3 or 4 thrombocytopenia was observed at a higher frequency in the lenalidomide maintenance arms compared to the placebo maintenance arms in studies evaluating lenalidomide maintenance in NDMM patients who have undergone ASCT (37.5% vs 30.3% [17.9% vs 4.1% after the start of maintenance treatment] in CALGB 100104 and 13.0% vs 2.9% in IFM 2005-02, respectively). Patients and physicians are advised to be observant for signs and symptoms of bleeding, including petechiae and epistaxes, especially in </w:t>
      </w:r>
    </w:p>
    <w:p w:rsidR="00506994" w:rsidRPr="00CA7797" w:rsidRDefault="00506994" w:rsidP="00AB7A9E">
      <w:pPr>
        <w:tabs>
          <w:tab w:val="left" w:pos="709"/>
        </w:tabs>
        <w:ind w:right="240"/>
        <w:rPr>
          <w:rFonts w:eastAsia="Symbol"/>
        </w:rPr>
      </w:pPr>
      <w:r w:rsidRPr="00CA7797">
        <w:rPr>
          <w:rFonts w:eastAsia="Symbol"/>
        </w:rPr>
        <w:t>patients receiving concomitant medicinal products susceptible to induce bleeding (see section 4.8, Haemorrhagic disorders).</w:t>
      </w:r>
    </w:p>
    <w:p w:rsidR="00506994" w:rsidRPr="00335062" w:rsidRDefault="00506994" w:rsidP="00AB7A9E"/>
    <w:p w:rsidR="002B784C" w:rsidRPr="004273C8" w:rsidRDefault="002B784C" w:rsidP="00AB7A9E">
      <w:pPr>
        <w:pStyle w:val="ListParagraph"/>
        <w:numPr>
          <w:ilvl w:val="0"/>
          <w:numId w:val="58"/>
        </w:numPr>
        <w:tabs>
          <w:tab w:val="left" w:pos="709"/>
        </w:tabs>
        <w:ind w:right="240"/>
        <w:rPr>
          <w:rFonts w:eastAsia="Symbol"/>
          <w:u w:val="single"/>
        </w:rPr>
      </w:pPr>
      <w:r w:rsidRPr="004273C8">
        <w:rPr>
          <w:rFonts w:eastAsia="Symbol"/>
          <w:u w:val="single"/>
        </w:rPr>
        <w:t>Newly diagnosed multiple myeloma: patients who are not eligible for transplant treated with lenalidomide in combination with bortezomib and dexamethasone</w:t>
      </w:r>
    </w:p>
    <w:p w:rsidR="002B784C" w:rsidRPr="004273C8" w:rsidRDefault="002B784C" w:rsidP="002B784C">
      <w:pPr>
        <w:tabs>
          <w:tab w:val="left" w:pos="709"/>
        </w:tabs>
        <w:ind w:right="240"/>
        <w:rPr>
          <w:rFonts w:eastAsia="Symbol"/>
        </w:rPr>
      </w:pPr>
      <w:r w:rsidRPr="004273C8">
        <w:rPr>
          <w:rFonts w:eastAsia="Symbol"/>
        </w:rPr>
        <w:t>Grade 4 neutropenia was observed at a lower frequency in the lenalidomide in combination with bortezomib</w:t>
      </w:r>
      <w:r>
        <w:rPr>
          <w:rFonts w:eastAsia="Symbol"/>
        </w:rPr>
        <w:t xml:space="preserve"> </w:t>
      </w:r>
      <w:r w:rsidRPr="004273C8">
        <w:rPr>
          <w:rFonts w:eastAsia="Symbol"/>
        </w:rPr>
        <w:t>and dexamethasone (RVd) arm compared to the Rd comparator arm (2.7% vs 5.9%) in the SWOG S0777</w:t>
      </w:r>
      <w:r>
        <w:rPr>
          <w:rFonts w:eastAsia="Symbol"/>
        </w:rPr>
        <w:t xml:space="preserve"> </w:t>
      </w:r>
      <w:r w:rsidRPr="004273C8">
        <w:rPr>
          <w:rFonts w:eastAsia="Symbol"/>
        </w:rPr>
        <w:t>study. Grade 4 febrile neutropenia was reported at similar frequencies in the RVd arm and Rd arm (0.0% vs</w:t>
      </w:r>
      <w:r>
        <w:rPr>
          <w:rFonts w:eastAsia="Symbol"/>
        </w:rPr>
        <w:t xml:space="preserve"> </w:t>
      </w:r>
      <w:r w:rsidRPr="004273C8">
        <w:rPr>
          <w:rFonts w:eastAsia="Symbol"/>
        </w:rPr>
        <w:t>0.4%). Patients should be advised to promptly report febrile episodes; a treatment interruption and/or dose</w:t>
      </w:r>
      <w:r>
        <w:rPr>
          <w:rFonts w:eastAsia="Symbol"/>
        </w:rPr>
        <w:t xml:space="preserve"> </w:t>
      </w:r>
      <w:r w:rsidRPr="004273C8">
        <w:rPr>
          <w:rFonts w:eastAsia="Symbol"/>
        </w:rPr>
        <w:t>reduction may be required (see section 4.2).</w:t>
      </w:r>
    </w:p>
    <w:p w:rsidR="002B784C" w:rsidRDefault="002B784C" w:rsidP="002B784C">
      <w:pPr>
        <w:tabs>
          <w:tab w:val="left" w:pos="709"/>
        </w:tabs>
        <w:ind w:right="240"/>
        <w:rPr>
          <w:rFonts w:eastAsia="Symbol"/>
        </w:rPr>
      </w:pPr>
    </w:p>
    <w:p w:rsidR="002B784C" w:rsidRPr="004273C8" w:rsidRDefault="002B784C" w:rsidP="002B784C">
      <w:pPr>
        <w:tabs>
          <w:tab w:val="left" w:pos="709"/>
        </w:tabs>
        <w:ind w:right="240"/>
        <w:rPr>
          <w:rFonts w:eastAsia="Symbol"/>
        </w:rPr>
      </w:pPr>
      <w:r w:rsidRPr="004273C8">
        <w:rPr>
          <w:rFonts w:eastAsia="Symbol"/>
        </w:rPr>
        <w:t>Grade 3 or 4 thrombocytopenia was observed at a higher frequency in the RVd arm compared to the Rd</w:t>
      </w:r>
    </w:p>
    <w:p w:rsidR="002B784C" w:rsidRDefault="002B784C" w:rsidP="004560FA">
      <w:pPr>
        <w:tabs>
          <w:tab w:val="left" w:pos="709"/>
        </w:tabs>
        <w:ind w:right="240"/>
        <w:rPr>
          <w:rFonts w:eastAsia="Symbol"/>
        </w:rPr>
      </w:pPr>
      <w:r w:rsidRPr="004273C8">
        <w:rPr>
          <w:rFonts w:eastAsia="Symbol"/>
        </w:rPr>
        <w:t>comparator arm (17.2 % vs 9.4%).</w:t>
      </w:r>
    </w:p>
    <w:p w:rsidR="002B784C" w:rsidRPr="004273C8" w:rsidRDefault="002B784C" w:rsidP="004560FA">
      <w:pPr>
        <w:tabs>
          <w:tab w:val="left" w:pos="709"/>
        </w:tabs>
        <w:ind w:right="240"/>
        <w:rPr>
          <w:rFonts w:eastAsia="Symbol"/>
        </w:rPr>
      </w:pPr>
    </w:p>
    <w:p w:rsidR="00506994" w:rsidRPr="004273C8" w:rsidRDefault="00506994" w:rsidP="00AB7A9E">
      <w:pPr>
        <w:pStyle w:val="ListParagraph"/>
        <w:numPr>
          <w:ilvl w:val="0"/>
          <w:numId w:val="58"/>
        </w:numPr>
        <w:tabs>
          <w:tab w:val="left" w:pos="709"/>
        </w:tabs>
        <w:ind w:right="240"/>
        <w:rPr>
          <w:rFonts w:eastAsia="Symbol"/>
          <w:u w:val="single"/>
        </w:rPr>
      </w:pPr>
      <w:r w:rsidRPr="004273C8">
        <w:rPr>
          <w:rFonts w:eastAsia="Times New Roman"/>
          <w:u w:val="single"/>
        </w:rPr>
        <w:t>Newly diagnosed multiple myeloma: patients who are not eligible for transplant treated with lenalidomide in combination with low dose dexamethasone</w:t>
      </w:r>
    </w:p>
    <w:p w:rsidR="00282CF2" w:rsidRDefault="00282CF2" w:rsidP="00AB7A9E">
      <w:pPr>
        <w:autoSpaceDE w:val="0"/>
        <w:autoSpaceDN w:val="0"/>
        <w:adjustRightInd w:val="0"/>
        <w:rPr>
          <w:rFonts w:eastAsia="Times New Roman"/>
        </w:rPr>
      </w:pPr>
      <w:r>
        <w:rPr>
          <w:rFonts w:eastAsia="Times New Roman"/>
        </w:rPr>
        <w:t>Grade 4 neutropenia was observed in the lenalidomide arms in combination with dexamethasone to</w:t>
      </w:r>
    </w:p>
    <w:p w:rsidR="00282CF2" w:rsidRDefault="00282CF2" w:rsidP="00AB7A9E">
      <w:pPr>
        <w:autoSpaceDE w:val="0"/>
        <w:autoSpaceDN w:val="0"/>
        <w:adjustRightInd w:val="0"/>
        <w:rPr>
          <w:rFonts w:eastAsia="Times New Roman"/>
        </w:rPr>
      </w:pPr>
      <w:r>
        <w:rPr>
          <w:rFonts w:eastAsia="Times New Roman"/>
        </w:rPr>
        <w:t>a lesser extent than in the comparator arm (8.5% in the Rd [continuous treatment] and Rd18 [treatment for 18</w:t>
      </w:r>
    </w:p>
    <w:p w:rsidR="00282CF2" w:rsidRDefault="00282CF2" w:rsidP="00AB7A9E">
      <w:pPr>
        <w:autoSpaceDE w:val="0"/>
        <w:autoSpaceDN w:val="0"/>
        <w:adjustRightInd w:val="0"/>
        <w:rPr>
          <w:rFonts w:eastAsia="Times New Roman"/>
        </w:rPr>
      </w:pPr>
      <w:r>
        <w:rPr>
          <w:rFonts w:eastAsia="Times New Roman"/>
        </w:rPr>
        <w:t>four-week cycles] compared with 15% in the melphalan/prednisone/thalidomide arm, see section 4.8). Grade</w:t>
      </w:r>
    </w:p>
    <w:p w:rsidR="00282CF2" w:rsidRDefault="00282CF2" w:rsidP="00AB7A9E">
      <w:pPr>
        <w:autoSpaceDE w:val="0"/>
        <w:autoSpaceDN w:val="0"/>
        <w:adjustRightInd w:val="0"/>
        <w:rPr>
          <w:rFonts w:eastAsia="Times New Roman"/>
        </w:rPr>
      </w:pPr>
      <w:r>
        <w:rPr>
          <w:rFonts w:eastAsia="Times New Roman"/>
        </w:rPr>
        <w:t>4 febrile neutropenia episodes were consistent with the comparator arm (0.6 % in the Rd and Rd18</w:t>
      </w:r>
    </w:p>
    <w:p w:rsidR="00282CF2" w:rsidRDefault="00282CF2" w:rsidP="00AB7A9E">
      <w:pPr>
        <w:autoSpaceDE w:val="0"/>
        <w:autoSpaceDN w:val="0"/>
        <w:adjustRightInd w:val="0"/>
        <w:rPr>
          <w:rFonts w:eastAsia="Times New Roman"/>
        </w:rPr>
      </w:pPr>
      <w:r>
        <w:rPr>
          <w:rFonts w:eastAsia="Times New Roman"/>
        </w:rPr>
        <w:t>lenalidomide/dexamethasone-treated patients compared with 0.7% in the melphalan/prednisone/thalidomide</w:t>
      </w:r>
    </w:p>
    <w:p w:rsidR="00282CF2" w:rsidRDefault="00282CF2" w:rsidP="00AB7A9E">
      <w:pPr>
        <w:autoSpaceDE w:val="0"/>
        <w:autoSpaceDN w:val="0"/>
        <w:adjustRightInd w:val="0"/>
        <w:rPr>
          <w:rFonts w:eastAsia="Times New Roman"/>
        </w:rPr>
      </w:pPr>
      <w:r>
        <w:rPr>
          <w:rFonts w:eastAsia="Times New Roman"/>
        </w:rPr>
        <w:t>arm, see section 4.8).</w:t>
      </w:r>
    </w:p>
    <w:p w:rsidR="00282CF2" w:rsidRDefault="00282CF2" w:rsidP="00AB7A9E">
      <w:pPr>
        <w:autoSpaceDE w:val="0"/>
        <w:autoSpaceDN w:val="0"/>
        <w:adjustRightInd w:val="0"/>
        <w:rPr>
          <w:rFonts w:eastAsia="Times New Roman"/>
        </w:rPr>
      </w:pPr>
    </w:p>
    <w:p w:rsidR="00282CF2" w:rsidRDefault="00282CF2" w:rsidP="00AB7A9E">
      <w:pPr>
        <w:autoSpaceDE w:val="0"/>
        <w:autoSpaceDN w:val="0"/>
        <w:adjustRightInd w:val="0"/>
        <w:rPr>
          <w:rFonts w:eastAsia="Times New Roman"/>
        </w:rPr>
      </w:pPr>
      <w:r>
        <w:rPr>
          <w:rFonts w:eastAsia="Times New Roman"/>
        </w:rPr>
        <w:t>Grade 3 or 4 thrombocytopenia was observed to a lesser extent in the Rd and Rd18 arms than in the</w:t>
      </w:r>
    </w:p>
    <w:p w:rsidR="00282CF2" w:rsidRDefault="00282CF2" w:rsidP="00AB7A9E">
      <w:pPr>
        <w:rPr>
          <w:rFonts w:eastAsia="Times New Roman"/>
        </w:rPr>
      </w:pPr>
      <w:r>
        <w:rPr>
          <w:rFonts w:eastAsia="Times New Roman"/>
        </w:rPr>
        <w:t>comparator arm (8.1% vs 11.1%, respectively).</w:t>
      </w:r>
    </w:p>
    <w:p w:rsidR="00282CF2" w:rsidRPr="00335062" w:rsidRDefault="00282CF2" w:rsidP="00AB7A9E"/>
    <w:p w:rsidR="00506994" w:rsidRPr="004273C8" w:rsidRDefault="00506994" w:rsidP="00AB7A9E">
      <w:pPr>
        <w:pStyle w:val="ListParagraph"/>
        <w:numPr>
          <w:ilvl w:val="0"/>
          <w:numId w:val="58"/>
        </w:numPr>
        <w:tabs>
          <w:tab w:val="left" w:pos="720"/>
        </w:tabs>
        <w:ind w:right="620"/>
        <w:rPr>
          <w:rFonts w:eastAsia="Symbol"/>
          <w:u w:val="single"/>
        </w:rPr>
      </w:pPr>
      <w:r w:rsidRPr="004273C8">
        <w:rPr>
          <w:rFonts w:eastAsia="Times New Roman"/>
          <w:u w:val="single"/>
        </w:rPr>
        <w:t>Newly diagnosed multiple myeloma: patients who are not eligible for transplant treated with lenalidomide in combination with melphalan and prednisone</w:t>
      </w:r>
    </w:p>
    <w:p w:rsidR="00506994" w:rsidRPr="00335062" w:rsidRDefault="00506994" w:rsidP="00AB7A9E">
      <w:pPr>
        <w:ind w:right="20"/>
      </w:pPr>
      <w:r w:rsidRPr="00335062">
        <w:rPr>
          <w:rFonts w:eastAsia="Times New Roman"/>
        </w:rPr>
        <w:t xml:space="preserve">The combination of lenalidomide with melphalan and prednisone in clinical trials of newly diagnosed multiple myeloma patients is associated with a higher incidence of </w:t>
      </w:r>
      <w:r w:rsidR="002B784C">
        <w:rPr>
          <w:rFonts w:eastAsia="Times New Roman"/>
        </w:rPr>
        <w:t>G</w:t>
      </w:r>
      <w:r w:rsidRPr="00335062">
        <w:rPr>
          <w:rFonts w:eastAsia="Times New Roman"/>
        </w:rPr>
        <w:t>rade 4 neutropenia (34.1% in melphalan, prednisone and lenalidomide arm followed by lenalidomide [MPR+R] and melphalan, prednisone and lenalidomide followed by placebo [MPR+p] treated patients compared with 7.8% in MPp+p-treated patients; see section 4.8). Grade 4 febrile neutropenia episodes were observed infrequently (1.7% in MPR+R/MPR+p treated patients compared to 0.0 % in MPp+p treated patients; see section 4.8).</w:t>
      </w:r>
    </w:p>
    <w:p w:rsidR="00506994" w:rsidRPr="00335062" w:rsidRDefault="00506994" w:rsidP="00AB7A9E"/>
    <w:p w:rsidR="00506994" w:rsidRPr="00335062" w:rsidRDefault="00506994" w:rsidP="00AB7A9E">
      <w:pPr>
        <w:ind w:right="80"/>
      </w:pPr>
      <w:r w:rsidRPr="00335062">
        <w:rPr>
          <w:rFonts w:eastAsia="Times New Roman"/>
        </w:rPr>
        <w:t xml:space="preserve">The combination of lenalidomide with melphalan and prednisone in multiple myeloma patients is associated with a higher incidence of </w:t>
      </w:r>
      <w:r w:rsidR="002B784C">
        <w:rPr>
          <w:rFonts w:eastAsia="Times New Roman"/>
        </w:rPr>
        <w:t>G</w:t>
      </w:r>
      <w:r w:rsidRPr="00335062">
        <w:rPr>
          <w:rFonts w:eastAsia="Times New Roman"/>
        </w:rPr>
        <w:t xml:space="preserve">rade 3 and </w:t>
      </w:r>
      <w:r w:rsidR="002B784C">
        <w:rPr>
          <w:rFonts w:eastAsia="Times New Roman"/>
        </w:rPr>
        <w:t>G</w:t>
      </w:r>
      <w:r w:rsidRPr="00335062">
        <w:rPr>
          <w:rFonts w:eastAsia="Times New Roman"/>
        </w:rPr>
        <w:t xml:space="preserve">rade 4 thrombocytopenia (40.4% in MPR+R/MPR+p treated patients, compared with 13.7% in MPp+p-treated patients; see section 4.8). </w:t>
      </w:r>
    </w:p>
    <w:p w:rsidR="00506994" w:rsidRPr="0094312C" w:rsidRDefault="00506994" w:rsidP="00AB7A9E">
      <w:pPr>
        <w:rPr>
          <w:i/>
        </w:rPr>
      </w:pPr>
    </w:p>
    <w:p w:rsidR="00506994" w:rsidRPr="004273C8" w:rsidRDefault="00506994" w:rsidP="00AB7A9E">
      <w:pPr>
        <w:pStyle w:val="ListParagraph"/>
        <w:numPr>
          <w:ilvl w:val="0"/>
          <w:numId w:val="58"/>
        </w:numPr>
        <w:tabs>
          <w:tab w:val="left" w:pos="720"/>
        </w:tabs>
        <w:rPr>
          <w:rFonts w:eastAsia="Symbol"/>
          <w:u w:val="single"/>
        </w:rPr>
      </w:pPr>
      <w:r w:rsidRPr="004273C8">
        <w:rPr>
          <w:rFonts w:eastAsia="Times New Roman"/>
          <w:u w:val="single"/>
        </w:rPr>
        <w:t>Multiple myeloma: patients with at least one prior therapy</w:t>
      </w:r>
    </w:p>
    <w:p w:rsidR="00016DEF" w:rsidRDefault="00016DEF" w:rsidP="00AB7A9E">
      <w:pPr>
        <w:autoSpaceDE w:val="0"/>
        <w:autoSpaceDN w:val="0"/>
        <w:adjustRightInd w:val="0"/>
        <w:rPr>
          <w:rFonts w:eastAsia="Times New Roman"/>
        </w:rPr>
      </w:pPr>
      <w:r>
        <w:rPr>
          <w:rFonts w:eastAsia="Times New Roman"/>
        </w:rPr>
        <w:t>The combination of lenalidomide with dexamethasone in multiple myeloma patients with at least one prior</w:t>
      </w:r>
    </w:p>
    <w:p w:rsidR="00016DEF" w:rsidRDefault="00016DEF" w:rsidP="00AB7A9E">
      <w:pPr>
        <w:autoSpaceDE w:val="0"/>
        <w:autoSpaceDN w:val="0"/>
        <w:adjustRightInd w:val="0"/>
        <w:rPr>
          <w:rFonts w:eastAsia="Times New Roman"/>
        </w:rPr>
      </w:pPr>
      <w:r>
        <w:rPr>
          <w:rFonts w:eastAsia="Times New Roman"/>
        </w:rPr>
        <w:t xml:space="preserve">therapy is associated with a higher incidence of </w:t>
      </w:r>
      <w:r w:rsidR="002B784C">
        <w:rPr>
          <w:rFonts w:eastAsia="Times New Roman"/>
        </w:rPr>
        <w:t>G</w:t>
      </w:r>
      <w:r>
        <w:rPr>
          <w:rFonts w:eastAsia="Times New Roman"/>
        </w:rPr>
        <w:t>rade 4 neutropenia (5.1% in lenalidomide/dexamethasone-treated patients compared with 0.6% in placebo/dexamethasone-treated patients; see section 4.8). Grade 4</w:t>
      </w:r>
    </w:p>
    <w:p w:rsidR="00016DEF" w:rsidRDefault="00016DEF" w:rsidP="00AB7A9E">
      <w:pPr>
        <w:autoSpaceDE w:val="0"/>
        <w:autoSpaceDN w:val="0"/>
        <w:adjustRightInd w:val="0"/>
        <w:rPr>
          <w:rFonts w:eastAsia="Times New Roman"/>
        </w:rPr>
      </w:pPr>
      <w:r>
        <w:rPr>
          <w:rFonts w:eastAsia="Times New Roman"/>
        </w:rPr>
        <w:t>febrile neutropenia episodes were observed infrequently (0.6% in lenalidomide/dexamethasone-treated</w:t>
      </w:r>
    </w:p>
    <w:p w:rsidR="00016DEF" w:rsidRDefault="00016DEF" w:rsidP="00AB7A9E">
      <w:pPr>
        <w:autoSpaceDE w:val="0"/>
        <w:autoSpaceDN w:val="0"/>
        <w:adjustRightInd w:val="0"/>
        <w:rPr>
          <w:rFonts w:eastAsia="Times New Roman"/>
        </w:rPr>
      </w:pPr>
      <w:r>
        <w:rPr>
          <w:rFonts w:eastAsia="Times New Roman"/>
        </w:rPr>
        <w:t>patients compared to 0.0% in placebo/dexamethasone treated patients; see section 4.8).</w:t>
      </w:r>
    </w:p>
    <w:p w:rsidR="00016DEF" w:rsidRDefault="00016DEF" w:rsidP="00AB7A9E">
      <w:pPr>
        <w:autoSpaceDE w:val="0"/>
        <w:autoSpaceDN w:val="0"/>
        <w:adjustRightInd w:val="0"/>
        <w:rPr>
          <w:rFonts w:eastAsia="Times New Roman"/>
        </w:rPr>
      </w:pPr>
    </w:p>
    <w:p w:rsidR="00016DEF" w:rsidRDefault="00016DEF" w:rsidP="00AB7A9E">
      <w:pPr>
        <w:autoSpaceDE w:val="0"/>
        <w:autoSpaceDN w:val="0"/>
        <w:adjustRightInd w:val="0"/>
        <w:rPr>
          <w:rFonts w:eastAsia="Times New Roman"/>
        </w:rPr>
      </w:pPr>
      <w:r>
        <w:rPr>
          <w:rFonts w:eastAsia="Times New Roman"/>
        </w:rPr>
        <w:t>The combination of lenalidomide with dexamethasone in multiple myeloma patients is associated with a</w:t>
      </w:r>
    </w:p>
    <w:p w:rsidR="00016DEF" w:rsidRDefault="00016DEF" w:rsidP="00AB7A9E">
      <w:pPr>
        <w:autoSpaceDE w:val="0"/>
        <w:autoSpaceDN w:val="0"/>
        <w:adjustRightInd w:val="0"/>
        <w:rPr>
          <w:rFonts w:eastAsia="Times New Roman"/>
        </w:rPr>
      </w:pPr>
      <w:r>
        <w:rPr>
          <w:rFonts w:eastAsia="Times New Roman"/>
        </w:rPr>
        <w:t xml:space="preserve">higher incidence of </w:t>
      </w:r>
      <w:r w:rsidR="002B784C">
        <w:rPr>
          <w:rFonts w:eastAsia="Times New Roman"/>
        </w:rPr>
        <w:t>G</w:t>
      </w:r>
      <w:r>
        <w:rPr>
          <w:rFonts w:eastAsia="Times New Roman"/>
        </w:rPr>
        <w:t xml:space="preserve">rade 3 and </w:t>
      </w:r>
      <w:r w:rsidR="002B784C">
        <w:rPr>
          <w:rFonts w:eastAsia="Times New Roman"/>
        </w:rPr>
        <w:t>G</w:t>
      </w:r>
      <w:r>
        <w:rPr>
          <w:rFonts w:eastAsia="Times New Roman"/>
        </w:rPr>
        <w:t>rade 4 thrombocytopenia (9.9% and 1.4%, respectively, in</w:t>
      </w:r>
    </w:p>
    <w:p w:rsidR="00016DEF" w:rsidRDefault="00016DEF" w:rsidP="00AB7A9E">
      <w:pPr>
        <w:autoSpaceDE w:val="0"/>
        <w:autoSpaceDN w:val="0"/>
        <w:adjustRightInd w:val="0"/>
        <w:rPr>
          <w:rFonts w:eastAsia="Times New Roman"/>
        </w:rPr>
      </w:pPr>
      <w:r>
        <w:rPr>
          <w:rFonts w:eastAsia="Times New Roman"/>
        </w:rPr>
        <w:t>lenalidomide/dexamethasone-treated patients compared to 2.3% and 0.0% in placebo/dexamethasone-treated</w:t>
      </w:r>
    </w:p>
    <w:p w:rsidR="00016DEF" w:rsidRDefault="00016DEF" w:rsidP="00AB7A9E">
      <w:pPr>
        <w:rPr>
          <w:rFonts w:eastAsia="Times New Roman"/>
        </w:rPr>
      </w:pPr>
      <w:r>
        <w:rPr>
          <w:rFonts w:eastAsia="Times New Roman"/>
        </w:rPr>
        <w:t>patients; see section 4.8).</w:t>
      </w:r>
    </w:p>
    <w:p w:rsidR="00DA1CF4" w:rsidRDefault="00DA1CF4" w:rsidP="00AB7A9E">
      <w:pPr>
        <w:rPr>
          <w:rFonts w:eastAsia="Times New Roman"/>
        </w:rPr>
      </w:pPr>
    </w:p>
    <w:p w:rsidR="000404D2" w:rsidRPr="004273C8" w:rsidRDefault="00EE3678">
      <w:pPr>
        <w:numPr>
          <w:ilvl w:val="1"/>
          <w:numId w:val="61"/>
        </w:numPr>
        <w:ind w:left="709" w:hanging="283"/>
        <w:rPr>
          <w:lang w:bidi="en-US"/>
        </w:rPr>
      </w:pPr>
      <w:r w:rsidRPr="004273C8">
        <w:rPr>
          <w:u w:val="single"/>
          <w:lang w:bidi="en-US"/>
        </w:rPr>
        <w:t>Myelodysplastic syndromes</w:t>
      </w:r>
    </w:p>
    <w:p w:rsidR="00DA1CF4" w:rsidRPr="00DA1CF4" w:rsidRDefault="00DA1CF4" w:rsidP="00DA1CF4">
      <w:pPr>
        <w:tabs>
          <w:tab w:val="left" w:pos="709"/>
        </w:tabs>
        <w:rPr>
          <w:lang w:bidi="en-US"/>
        </w:rPr>
      </w:pPr>
      <w:r w:rsidRPr="00DA1CF4">
        <w:rPr>
          <w:lang w:bidi="en-US"/>
        </w:rPr>
        <w:t xml:space="preserve">Lenalidomide treatment in myelodysplastic syndromes patients is associated with a higher incidence of </w:t>
      </w:r>
      <w:r w:rsidR="002B784C">
        <w:rPr>
          <w:lang w:bidi="en-US"/>
        </w:rPr>
        <w:t>G</w:t>
      </w:r>
      <w:r w:rsidRPr="00DA1CF4">
        <w:rPr>
          <w:lang w:bidi="en-US"/>
        </w:rPr>
        <w:t>rade 3 and 4 neutropenia and thrombocytopenia compared to patients on placebo (see section 4.8).</w:t>
      </w:r>
    </w:p>
    <w:p w:rsidR="00DA1CF4" w:rsidRPr="00DA1CF4" w:rsidRDefault="00DA1CF4" w:rsidP="00DA1CF4">
      <w:pPr>
        <w:rPr>
          <w:i/>
          <w:lang w:bidi="en-US"/>
        </w:rPr>
      </w:pPr>
    </w:p>
    <w:p w:rsidR="000404D2" w:rsidRPr="004273C8" w:rsidRDefault="00EE3678">
      <w:pPr>
        <w:numPr>
          <w:ilvl w:val="1"/>
          <w:numId w:val="61"/>
        </w:numPr>
        <w:ind w:left="709" w:hanging="283"/>
        <w:rPr>
          <w:lang w:bidi="en-US"/>
        </w:rPr>
      </w:pPr>
      <w:r w:rsidRPr="004273C8">
        <w:rPr>
          <w:u w:val="single"/>
          <w:lang w:bidi="en-US"/>
        </w:rPr>
        <w:t>Mantle cell lymphoma</w:t>
      </w:r>
    </w:p>
    <w:p w:rsidR="00DA1CF4" w:rsidRDefault="00DA1CF4" w:rsidP="00DA1CF4">
      <w:pPr>
        <w:rPr>
          <w:lang w:bidi="en-US"/>
        </w:rPr>
      </w:pPr>
      <w:r w:rsidRPr="00DA1CF4">
        <w:rPr>
          <w:lang w:bidi="en-US"/>
        </w:rPr>
        <w:t xml:space="preserve">Lenalidomide treatment in mantle cell lymphoma patients is associated with a higher incidence of </w:t>
      </w:r>
      <w:r w:rsidR="002B784C">
        <w:rPr>
          <w:lang w:bidi="en-US"/>
        </w:rPr>
        <w:t>G</w:t>
      </w:r>
      <w:r w:rsidRPr="00DA1CF4">
        <w:rPr>
          <w:lang w:bidi="en-US"/>
        </w:rPr>
        <w:t>rade 3 and 4 neutropenia compared with patients on the control arm (see section 4.8).</w:t>
      </w:r>
    </w:p>
    <w:p w:rsidR="002B784C" w:rsidRPr="00DA1CF4" w:rsidRDefault="002B784C" w:rsidP="00DA1CF4">
      <w:pPr>
        <w:rPr>
          <w:lang w:bidi="en-US"/>
        </w:rPr>
      </w:pPr>
    </w:p>
    <w:p w:rsidR="002B784C" w:rsidRPr="00514498" w:rsidRDefault="002B784C" w:rsidP="002B784C">
      <w:pPr>
        <w:pStyle w:val="BodyText"/>
        <w:widowControl w:val="0"/>
        <w:numPr>
          <w:ilvl w:val="0"/>
          <w:numId w:val="68"/>
        </w:numPr>
        <w:tabs>
          <w:tab w:val="left" w:pos="839"/>
        </w:tabs>
        <w:spacing w:after="0" w:line="269" w:lineRule="exact"/>
      </w:pPr>
      <w:r w:rsidRPr="00B85F0C">
        <w:rPr>
          <w:spacing w:val="-1"/>
          <w:u w:val="single" w:color="000000"/>
        </w:rPr>
        <w:t>Follicular</w:t>
      </w:r>
      <w:r w:rsidRPr="00B85F0C">
        <w:rPr>
          <w:spacing w:val="1"/>
          <w:u w:val="single" w:color="000000"/>
        </w:rPr>
        <w:t xml:space="preserve"> </w:t>
      </w:r>
      <w:r w:rsidRPr="00514498">
        <w:rPr>
          <w:spacing w:val="-1"/>
          <w:u w:val="single" w:color="000000"/>
        </w:rPr>
        <w:t>lymphoma</w:t>
      </w:r>
    </w:p>
    <w:p w:rsidR="003B743C" w:rsidRPr="00335062" w:rsidRDefault="002B784C" w:rsidP="00AB7A9E">
      <w:r>
        <w:t>The</w:t>
      </w:r>
      <w:r>
        <w:rPr>
          <w:spacing w:val="-2"/>
        </w:rPr>
        <w:t xml:space="preserve"> </w:t>
      </w:r>
      <w:r>
        <w:t>combination</w:t>
      </w:r>
      <w:r>
        <w:rPr>
          <w:spacing w:val="-2"/>
        </w:rPr>
        <w:t xml:space="preserve"> </w:t>
      </w:r>
      <w:r>
        <w:t>of lenalidomide</w:t>
      </w:r>
      <w:r>
        <w:rPr>
          <w:spacing w:val="1"/>
        </w:rPr>
        <w:t xml:space="preserve"> </w:t>
      </w:r>
      <w:r>
        <w:t>with</w:t>
      </w:r>
      <w:r>
        <w:rPr>
          <w:spacing w:val="-2"/>
        </w:rPr>
        <w:t xml:space="preserve"> </w:t>
      </w:r>
      <w:r>
        <w:t>rituximab in</w:t>
      </w:r>
      <w:r>
        <w:rPr>
          <w:spacing w:val="-2"/>
        </w:rPr>
        <w:t xml:space="preserve"> </w:t>
      </w:r>
      <w:r>
        <w:t>follicular</w:t>
      </w:r>
      <w:r>
        <w:rPr>
          <w:spacing w:val="1"/>
        </w:rPr>
        <w:t xml:space="preserve"> </w:t>
      </w:r>
      <w:r>
        <w:t>lymphoma patients is associated with a higher</w:t>
      </w:r>
      <w:r>
        <w:rPr>
          <w:spacing w:val="61"/>
        </w:rPr>
        <w:t xml:space="preserve"> </w:t>
      </w:r>
      <w:r>
        <w:t xml:space="preserve">incidence </w:t>
      </w:r>
      <w:r>
        <w:rPr>
          <w:spacing w:val="-2"/>
        </w:rPr>
        <w:t>of</w:t>
      </w:r>
      <w:r>
        <w:rPr>
          <w:spacing w:val="1"/>
        </w:rPr>
        <w:t xml:space="preserve"> </w:t>
      </w:r>
      <w:r>
        <w:t xml:space="preserve">Grade 3 </w:t>
      </w:r>
      <w:r>
        <w:rPr>
          <w:spacing w:val="-2"/>
        </w:rPr>
        <w:t>or</w:t>
      </w:r>
      <w:r>
        <w:rPr>
          <w:spacing w:val="1"/>
        </w:rPr>
        <w:t xml:space="preserve"> </w:t>
      </w:r>
      <w:r>
        <w:t>4 neutropenia</w:t>
      </w:r>
      <w:r>
        <w:rPr>
          <w:spacing w:val="-2"/>
        </w:rPr>
        <w:t xml:space="preserve"> </w:t>
      </w:r>
      <w:r>
        <w:t>compared with</w:t>
      </w:r>
      <w:r>
        <w:rPr>
          <w:spacing w:val="-2"/>
        </w:rPr>
        <w:t xml:space="preserve"> </w:t>
      </w:r>
      <w:r>
        <w:t>patients</w:t>
      </w:r>
      <w:r>
        <w:rPr>
          <w:spacing w:val="1"/>
        </w:rPr>
        <w:t xml:space="preserve"> </w:t>
      </w:r>
      <w:r>
        <w:t>on</w:t>
      </w:r>
      <w:r>
        <w:rPr>
          <w:spacing w:val="-2"/>
        </w:rPr>
        <w:t xml:space="preserve"> </w:t>
      </w:r>
      <w:r>
        <w:t>the</w:t>
      </w:r>
      <w:r>
        <w:rPr>
          <w:spacing w:val="-2"/>
        </w:rPr>
        <w:t xml:space="preserve"> </w:t>
      </w:r>
      <w:r>
        <w:t>placebo/rituximab arm. Febrile</w:t>
      </w:r>
      <w:r>
        <w:rPr>
          <w:spacing w:val="67"/>
        </w:rPr>
        <w:t xml:space="preserve"> </w:t>
      </w:r>
      <w:r>
        <w:t>neutropenia</w:t>
      </w:r>
      <w:r>
        <w:rPr>
          <w:spacing w:val="-2"/>
        </w:rPr>
        <w:t xml:space="preserve"> </w:t>
      </w:r>
      <w:r>
        <w:t>and Grade 3</w:t>
      </w:r>
      <w:r>
        <w:rPr>
          <w:spacing w:val="-3"/>
        </w:rPr>
        <w:t xml:space="preserve"> </w:t>
      </w:r>
      <w:r>
        <w:t>or</w:t>
      </w:r>
      <w:r>
        <w:rPr>
          <w:spacing w:val="-2"/>
        </w:rPr>
        <w:t xml:space="preserve"> </w:t>
      </w:r>
      <w:r>
        <w:t>4 thrombocytopenia were</w:t>
      </w:r>
      <w:r>
        <w:rPr>
          <w:spacing w:val="-2"/>
        </w:rPr>
        <w:t xml:space="preserve"> </w:t>
      </w:r>
      <w:r>
        <w:t>more commonly</w:t>
      </w:r>
      <w:r>
        <w:rPr>
          <w:spacing w:val="-2"/>
        </w:rPr>
        <w:t xml:space="preserve"> </w:t>
      </w:r>
      <w:r>
        <w:t>observed in the</w:t>
      </w:r>
      <w:r>
        <w:rPr>
          <w:spacing w:val="-2"/>
        </w:rPr>
        <w:t xml:space="preserve"> </w:t>
      </w:r>
      <w:r>
        <w:t>lenalidomide/rituximab arm</w:t>
      </w:r>
      <w:r>
        <w:rPr>
          <w:spacing w:val="-4"/>
        </w:rPr>
        <w:t xml:space="preserve"> </w:t>
      </w:r>
      <w:r>
        <w:t>(see section</w:t>
      </w:r>
      <w:r>
        <w:rPr>
          <w:spacing w:val="-3"/>
        </w:rPr>
        <w:t xml:space="preserve"> </w:t>
      </w:r>
      <w:r>
        <w:t>4.8).</w:t>
      </w:r>
    </w:p>
    <w:p w:rsidR="00BB4785" w:rsidRPr="00335062" w:rsidRDefault="00BB4785" w:rsidP="00AB7A9E"/>
    <w:p w:rsidR="00506994" w:rsidRPr="004273C8" w:rsidRDefault="00506994" w:rsidP="00AB7A9E">
      <w:pPr>
        <w:rPr>
          <w:u w:val="single"/>
        </w:rPr>
      </w:pPr>
      <w:r w:rsidRPr="004273C8">
        <w:rPr>
          <w:rFonts w:eastAsia="Times New Roman"/>
          <w:i/>
          <w:iCs/>
          <w:u w:val="single"/>
        </w:rPr>
        <w:t>Thyroid disorders</w:t>
      </w:r>
    </w:p>
    <w:p w:rsidR="00506994" w:rsidRPr="00746107" w:rsidRDefault="00506994" w:rsidP="00AB7A9E">
      <w:pPr>
        <w:ind w:right="360"/>
      </w:pPr>
      <w:r w:rsidRPr="00746107">
        <w:rPr>
          <w:rFonts w:eastAsia="Times New Roman"/>
        </w:rPr>
        <w:t>Cases of hypothyroidism and cases of hyperthyroidism have been reported. Optimal control of co-morbid conditions influencing thyroid function is recommended before start of treatment. Baseline and ongoing monitoring of thyroid function is recommended.</w:t>
      </w:r>
    </w:p>
    <w:p w:rsidR="00506994" w:rsidRPr="00746107" w:rsidRDefault="00506994" w:rsidP="00AB7A9E"/>
    <w:p w:rsidR="00506994" w:rsidRPr="004273C8" w:rsidRDefault="00506994" w:rsidP="00AB7A9E">
      <w:pPr>
        <w:rPr>
          <w:u w:val="single"/>
        </w:rPr>
      </w:pPr>
      <w:r w:rsidRPr="004273C8">
        <w:rPr>
          <w:rFonts w:eastAsia="Times New Roman"/>
          <w:i/>
          <w:iCs/>
          <w:u w:val="single"/>
        </w:rPr>
        <w:t>Peripheral neuropathy</w:t>
      </w:r>
    </w:p>
    <w:p w:rsidR="00506994" w:rsidRDefault="00506994" w:rsidP="00AB7A9E">
      <w:pPr>
        <w:ind w:right="140"/>
        <w:rPr>
          <w:rFonts w:eastAsia="Times New Roman"/>
        </w:rPr>
      </w:pPr>
      <w:r w:rsidRPr="00746107">
        <w:rPr>
          <w:rFonts w:eastAsia="Times New Roman"/>
        </w:rPr>
        <w:t>Lenalidomide is structurally related to thalidomide, which is known to induce severe peripheral neuropathy. There was no increase in peripheral neuropathy observed with</w:t>
      </w:r>
      <w:r w:rsidR="002B784C">
        <w:rPr>
          <w:rFonts w:eastAsia="Times New Roman"/>
        </w:rPr>
        <w:t xml:space="preserve"> lenalidomide in combination with dexamethasone or melphalan and prednisone or lenalidomide monotherapy or with</w:t>
      </w:r>
      <w:r w:rsidRPr="00746107">
        <w:rPr>
          <w:rFonts w:eastAsia="Times New Roman"/>
        </w:rPr>
        <w:t xml:space="preserve"> long term use of lenalidomide for the treatment of newly diagnosed multiple myeloma.</w:t>
      </w:r>
    </w:p>
    <w:p w:rsidR="002B784C" w:rsidRDefault="002B784C" w:rsidP="00AB7A9E">
      <w:pPr>
        <w:ind w:right="140"/>
        <w:rPr>
          <w:rFonts w:eastAsia="Times New Roman"/>
        </w:rPr>
      </w:pPr>
    </w:p>
    <w:p w:rsidR="002B784C" w:rsidRPr="00746107" w:rsidRDefault="002B784C" w:rsidP="00AB7A9E">
      <w:pPr>
        <w:ind w:right="140"/>
      </w:pPr>
      <w:r>
        <w:t>The</w:t>
      </w:r>
      <w:r>
        <w:rPr>
          <w:spacing w:val="-2"/>
        </w:rPr>
        <w:t xml:space="preserve"> </w:t>
      </w:r>
      <w:r>
        <w:rPr>
          <w:spacing w:val="-1"/>
        </w:rPr>
        <w:t>combination</w:t>
      </w:r>
      <w:r>
        <w:rPr>
          <w:spacing w:val="-2"/>
        </w:rPr>
        <w:t xml:space="preserve"> </w:t>
      </w:r>
      <w:r>
        <w:t>of</w:t>
      </w:r>
      <w:r>
        <w:rPr>
          <w:spacing w:val="-1"/>
        </w:rPr>
        <w:t xml:space="preserve"> lenalidomide</w:t>
      </w:r>
      <w:r>
        <w:rPr>
          <w:spacing w:val="1"/>
        </w:rPr>
        <w:t xml:space="preserve"> </w:t>
      </w:r>
      <w:r>
        <w:t>with</w:t>
      </w:r>
      <w:r>
        <w:rPr>
          <w:spacing w:val="-2"/>
        </w:rPr>
        <w:t xml:space="preserve"> </w:t>
      </w:r>
      <w:r>
        <w:rPr>
          <w:spacing w:val="-1"/>
        </w:rPr>
        <w:t>intravenous</w:t>
      </w:r>
      <w:r>
        <w:rPr>
          <w:spacing w:val="-2"/>
        </w:rPr>
        <w:t xml:space="preserve"> </w:t>
      </w:r>
      <w:r>
        <w:rPr>
          <w:spacing w:val="-1"/>
        </w:rPr>
        <w:t>bortezomib</w:t>
      </w:r>
      <w:r>
        <w:t xml:space="preserve"> and </w:t>
      </w:r>
      <w:r>
        <w:rPr>
          <w:spacing w:val="-1"/>
        </w:rPr>
        <w:t>dexamethasone</w:t>
      </w:r>
      <w:r>
        <w:t xml:space="preserve"> in </w:t>
      </w:r>
      <w:r>
        <w:rPr>
          <w:spacing w:val="-1"/>
        </w:rPr>
        <w:t>multiple</w:t>
      </w:r>
      <w:r>
        <w:t xml:space="preserve"> </w:t>
      </w:r>
      <w:r>
        <w:rPr>
          <w:spacing w:val="-2"/>
        </w:rPr>
        <w:t>myeloma</w:t>
      </w:r>
      <w:r>
        <w:rPr>
          <w:spacing w:val="71"/>
        </w:rPr>
        <w:t xml:space="preserve"> </w:t>
      </w:r>
      <w:r>
        <w:rPr>
          <w:spacing w:val="-1"/>
        </w:rPr>
        <w:t>patients</w:t>
      </w:r>
      <w:r>
        <w:t xml:space="preserve"> </w:t>
      </w:r>
      <w:r>
        <w:rPr>
          <w:spacing w:val="-1"/>
        </w:rPr>
        <w:t>is</w:t>
      </w:r>
      <w:r>
        <w:t xml:space="preserve"> </w:t>
      </w:r>
      <w:r>
        <w:rPr>
          <w:spacing w:val="-1"/>
        </w:rPr>
        <w:t>associated</w:t>
      </w:r>
      <w:r>
        <w:t xml:space="preserve"> </w:t>
      </w:r>
      <w:r>
        <w:rPr>
          <w:spacing w:val="-1"/>
        </w:rPr>
        <w:t>with</w:t>
      </w:r>
      <w:r>
        <w:rPr>
          <w:spacing w:val="-2"/>
        </w:rPr>
        <w:t xml:space="preserve"> </w:t>
      </w:r>
      <w:r>
        <w:t>a</w:t>
      </w:r>
      <w:r>
        <w:rPr>
          <w:spacing w:val="-2"/>
        </w:rPr>
        <w:t xml:space="preserve"> </w:t>
      </w:r>
      <w:r>
        <w:rPr>
          <w:spacing w:val="-1"/>
        </w:rPr>
        <w:t>higher</w:t>
      </w:r>
      <w:r>
        <w:rPr>
          <w:spacing w:val="1"/>
        </w:rPr>
        <w:t xml:space="preserve"> </w:t>
      </w:r>
      <w:r>
        <w:rPr>
          <w:spacing w:val="-1"/>
        </w:rPr>
        <w:t>frequency</w:t>
      </w:r>
      <w:r>
        <w:rPr>
          <w:spacing w:val="-3"/>
        </w:rPr>
        <w:t xml:space="preserve"> </w:t>
      </w:r>
      <w:r>
        <w:t>of</w:t>
      </w:r>
      <w:r>
        <w:rPr>
          <w:spacing w:val="1"/>
        </w:rPr>
        <w:t xml:space="preserve"> </w:t>
      </w:r>
      <w:r>
        <w:rPr>
          <w:spacing w:val="-1"/>
        </w:rPr>
        <w:t>peripheral</w:t>
      </w:r>
      <w:r>
        <w:rPr>
          <w:spacing w:val="1"/>
        </w:rPr>
        <w:t xml:space="preserve"> </w:t>
      </w:r>
      <w:r>
        <w:rPr>
          <w:spacing w:val="-1"/>
        </w:rPr>
        <w:t>neuropathy.</w:t>
      </w:r>
      <w:r>
        <w:t xml:space="preserve"> The </w:t>
      </w:r>
      <w:r>
        <w:rPr>
          <w:spacing w:val="-1"/>
        </w:rPr>
        <w:t>frequency</w:t>
      </w:r>
      <w:r>
        <w:rPr>
          <w:spacing w:val="-2"/>
        </w:rPr>
        <w:t xml:space="preserve"> </w:t>
      </w:r>
      <w:r>
        <w:rPr>
          <w:spacing w:val="-1"/>
        </w:rPr>
        <w:t>was</w:t>
      </w:r>
      <w:r>
        <w:rPr>
          <w:spacing w:val="1"/>
        </w:rPr>
        <w:t xml:space="preserve"> </w:t>
      </w:r>
      <w:r>
        <w:rPr>
          <w:spacing w:val="-1"/>
        </w:rPr>
        <w:t>lower</w:t>
      </w:r>
      <w:r>
        <w:rPr>
          <w:spacing w:val="1"/>
        </w:rPr>
        <w:t xml:space="preserve"> </w:t>
      </w:r>
      <w:r>
        <w:rPr>
          <w:spacing w:val="-1"/>
        </w:rPr>
        <w:t>when</w:t>
      </w:r>
      <w:r>
        <w:rPr>
          <w:spacing w:val="71"/>
        </w:rPr>
        <w:t xml:space="preserve"> </w:t>
      </w:r>
      <w:r>
        <w:rPr>
          <w:spacing w:val="-1"/>
        </w:rPr>
        <w:t>bortezomib</w:t>
      </w:r>
      <w:r>
        <w:t xml:space="preserve"> </w:t>
      </w:r>
      <w:r>
        <w:rPr>
          <w:spacing w:val="-1"/>
        </w:rPr>
        <w:t>was</w:t>
      </w:r>
      <w:r>
        <w:rPr>
          <w:spacing w:val="1"/>
        </w:rPr>
        <w:t xml:space="preserve"> </w:t>
      </w:r>
      <w:r>
        <w:rPr>
          <w:spacing w:val="-1"/>
        </w:rPr>
        <w:t>administered</w:t>
      </w:r>
      <w:r>
        <w:t xml:space="preserve"> </w:t>
      </w:r>
      <w:r>
        <w:rPr>
          <w:spacing w:val="-1"/>
        </w:rPr>
        <w:t>subcutaneously.</w:t>
      </w:r>
      <w:r>
        <w:t xml:space="preserve"> </w:t>
      </w:r>
      <w:r>
        <w:rPr>
          <w:spacing w:val="-1"/>
        </w:rPr>
        <w:t>For additional</w:t>
      </w:r>
      <w:r>
        <w:rPr>
          <w:spacing w:val="1"/>
        </w:rPr>
        <w:t xml:space="preserve"> </w:t>
      </w:r>
      <w:r>
        <w:rPr>
          <w:spacing w:val="-1"/>
        </w:rPr>
        <w:t>information,</w:t>
      </w:r>
      <w:r>
        <w:rPr>
          <w:spacing w:val="-2"/>
        </w:rPr>
        <w:t xml:space="preserve"> </w:t>
      </w:r>
      <w:r>
        <w:t xml:space="preserve">see </w:t>
      </w:r>
      <w:r>
        <w:rPr>
          <w:spacing w:val="-1"/>
        </w:rPr>
        <w:t>Section</w:t>
      </w:r>
      <w:r>
        <w:rPr>
          <w:spacing w:val="-2"/>
        </w:rPr>
        <w:t xml:space="preserve"> </w:t>
      </w:r>
      <w:r>
        <w:t xml:space="preserve">4.8 </w:t>
      </w:r>
      <w:r>
        <w:rPr>
          <w:spacing w:val="-1"/>
        </w:rPr>
        <w:t>and</w:t>
      </w:r>
      <w:r>
        <w:t xml:space="preserve"> </w:t>
      </w:r>
      <w:r>
        <w:rPr>
          <w:spacing w:val="-1"/>
        </w:rPr>
        <w:t>the</w:t>
      </w:r>
      <w:r>
        <w:t xml:space="preserve"> </w:t>
      </w:r>
      <w:r>
        <w:rPr>
          <w:spacing w:val="-2"/>
        </w:rPr>
        <w:t>SmPC</w:t>
      </w:r>
      <w:r>
        <w:rPr>
          <w:spacing w:val="-1"/>
        </w:rPr>
        <w:t xml:space="preserve"> </w:t>
      </w:r>
      <w:r>
        <w:t>for</w:t>
      </w:r>
      <w:r>
        <w:rPr>
          <w:spacing w:val="69"/>
        </w:rPr>
        <w:t xml:space="preserve"> </w:t>
      </w:r>
      <w:r>
        <w:rPr>
          <w:spacing w:val="-1"/>
        </w:rPr>
        <w:t>bortezomib.</w:t>
      </w:r>
    </w:p>
    <w:p w:rsidR="00506994" w:rsidRPr="00746107" w:rsidRDefault="00506994" w:rsidP="00AB7A9E"/>
    <w:p w:rsidR="00506994" w:rsidRPr="004273C8" w:rsidRDefault="00506994" w:rsidP="00AB7A9E">
      <w:pPr>
        <w:rPr>
          <w:u w:val="single"/>
        </w:rPr>
      </w:pPr>
      <w:r w:rsidRPr="004273C8">
        <w:rPr>
          <w:rFonts w:eastAsia="Times New Roman"/>
          <w:i/>
          <w:iCs/>
          <w:u w:val="single"/>
        </w:rPr>
        <w:t>Tumour flare reaction and tumour lysis syndrome</w:t>
      </w:r>
    </w:p>
    <w:p w:rsidR="00506994" w:rsidRPr="00335062" w:rsidRDefault="00506994" w:rsidP="00AB7A9E">
      <w:pPr>
        <w:rPr>
          <w:rFonts w:eastAsia="Times New Roman"/>
        </w:rPr>
      </w:pPr>
      <w:r w:rsidRPr="00335062">
        <w:rPr>
          <w:rFonts w:eastAsia="Times New Roman"/>
        </w:rPr>
        <w:t>Because lenalidomide has anti-neoplastic activity the complications of tumour lysis syndrome (TLS) may occur. TLS and tumour flare reaction (TFR) have commonly been observed in patients with chronic lymphocytic leukemia (CLL), and uncommonly in patients with lymphomas, who were treated with lenalidomide. Fatal instances of TLS have been reported during treatment with lenalidomide. The patients at risk of TLS and TFR are those with high tumour burden prior to treatment. Caution should be practiced when introducing these patients to lenalidomide. These patients should be monitored closely, especially during the first cycle or dose-escalation, and appropriate precautions taken. There have been rare reports of TLS in patients with MM treated with lenalidomide</w:t>
      </w:r>
      <w:r w:rsidR="00DA1CF4">
        <w:t>, and no reports in patients with MDS treated with lenalidomide</w:t>
      </w:r>
      <w:r w:rsidRPr="00335062">
        <w:rPr>
          <w:rFonts w:eastAsia="Times New Roman"/>
        </w:rPr>
        <w:t>.</w:t>
      </w:r>
    </w:p>
    <w:p w:rsidR="00506994" w:rsidRDefault="00506994" w:rsidP="00AB7A9E"/>
    <w:p w:rsidR="004A5795" w:rsidRPr="004273C8" w:rsidRDefault="004A5795" w:rsidP="004A5795">
      <w:pPr>
        <w:numPr>
          <w:ilvl w:val="1"/>
          <w:numId w:val="61"/>
        </w:numPr>
        <w:ind w:left="709" w:hanging="283"/>
        <w:rPr>
          <w:u w:val="single"/>
        </w:rPr>
      </w:pPr>
      <w:r w:rsidRPr="004273C8">
        <w:rPr>
          <w:u w:val="single"/>
        </w:rPr>
        <w:t>Mantle cell lymphoma</w:t>
      </w:r>
    </w:p>
    <w:p w:rsidR="004A5795" w:rsidRDefault="004A5795" w:rsidP="004273C8">
      <w:r>
        <w:t>Careful monitoring and evaluation for TFR is recommended. Patients with high mantle cell lymphoma International Prognostic Index (MIPI) at diagnosis or bulky disease (at least one lesion that is ≥ 7 cm in the longest diameter) at baseline may be at risk of TFR. Tumour flare reaction may mimic progression of disease (PD). Patients in studies MCL-002 and MCL-001 that experienced Grade 1 and 2 TFR were treated with corticosteroids, NSAIDs and/or narcotic analgesics for management of TFR symptoms. The decision to take therapeutic measures for TFR should be made after careful clinical assessment of the individual patient (see section</w:t>
      </w:r>
      <w:r w:rsidR="00745A94">
        <w:t>s</w:t>
      </w:r>
      <w:r>
        <w:t xml:space="preserve"> 4.2</w:t>
      </w:r>
      <w:r w:rsidR="00745A94">
        <w:t xml:space="preserve"> and 4.8</w:t>
      </w:r>
      <w:r>
        <w:t>).</w:t>
      </w:r>
    </w:p>
    <w:p w:rsidR="004A5795" w:rsidRDefault="004A5795" w:rsidP="004A5795"/>
    <w:p w:rsidR="004A5795" w:rsidRPr="004273C8" w:rsidRDefault="004A5795" w:rsidP="004A5795">
      <w:pPr>
        <w:numPr>
          <w:ilvl w:val="1"/>
          <w:numId w:val="61"/>
        </w:numPr>
        <w:ind w:left="709" w:hanging="283"/>
        <w:rPr>
          <w:u w:val="single"/>
        </w:rPr>
      </w:pPr>
      <w:r w:rsidRPr="004273C8">
        <w:rPr>
          <w:u w:val="single"/>
        </w:rPr>
        <w:t>Follicular lymphoma</w:t>
      </w:r>
    </w:p>
    <w:p w:rsidR="004A5795" w:rsidRDefault="004A5795" w:rsidP="004A5795">
      <w:r>
        <w:t>Careful monitoring and evaluation for TFR is recommended. Tumour flare may mimic PD. Patients who experienced Grade 1 and 2 TFR were treated with corticosteroids, NSAIDs and/or narcotic analgesics for management of TFR symptoms. The decision to take therapeutic measures for TFR should be made after careful clinical assessment of the individual patient (see sections 4.2 and 4.8).</w:t>
      </w:r>
    </w:p>
    <w:p w:rsidR="004A5795" w:rsidRDefault="004A5795" w:rsidP="004A5795"/>
    <w:p w:rsidR="004A5795" w:rsidRDefault="004A5795" w:rsidP="004A5795">
      <w:r>
        <w:t>Careful monitoring and evaluation for TLS is recommended. Patients should be well hydrated and receive TLS prophylaxis, in addition to weekly chemistry panels during the first cycle or longer, as clinically indicated (see sections 4.2 and 4.8).</w:t>
      </w:r>
    </w:p>
    <w:p w:rsidR="004A5795" w:rsidRDefault="004A5795" w:rsidP="00AB7A9E"/>
    <w:p w:rsidR="00DA1CF4" w:rsidRPr="004273C8" w:rsidRDefault="00EE3678" w:rsidP="00DA1CF4">
      <w:pPr>
        <w:rPr>
          <w:i/>
          <w:u w:val="single"/>
        </w:rPr>
      </w:pPr>
      <w:r w:rsidRPr="004273C8">
        <w:rPr>
          <w:i/>
          <w:u w:val="single"/>
        </w:rPr>
        <w:t>Tumour burden</w:t>
      </w:r>
    </w:p>
    <w:p w:rsidR="000404D2" w:rsidRPr="004273C8" w:rsidRDefault="00EE3678">
      <w:pPr>
        <w:numPr>
          <w:ilvl w:val="1"/>
          <w:numId w:val="61"/>
        </w:numPr>
        <w:ind w:left="709" w:hanging="283"/>
        <w:rPr>
          <w:u w:val="single"/>
        </w:rPr>
      </w:pPr>
      <w:r w:rsidRPr="004273C8">
        <w:rPr>
          <w:u w:val="single"/>
        </w:rPr>
        <w:t>Mantle cell lymphoma</w:t>
      </w:r>
    </w:p>
    <w:p w:rsidR="00DA1CF4" w:rsidRDefault="00DA1CF4" w:rsidP="00DA1CF4">
      <w:r>
        <w:t>Lenalidomide is not recommended for the treatment of patients with high tumour burden if alternative treatment options are available.</w:t>
      </w:r>
    </w:p>
    <w:p w:rsidR="00DA1CF4" w:rsidRDefault="00DA1CF4" w:rsidP="00DA1CF4"/>
    <w:p w:rsidR="00DA1CF4" w:rsidRPr="00DA1CF4" w:rsidRDefault="00EE3678" w:rsidP="00DA1CF4">
      <w:pPr>
        <w:rPr>
          <w:i/>
        </w:rPr>
      </w:pPr>
      <w:r w:rsidRPr="00EE3678">
        <w:rPr>
          <w:i/>
        </w:rPr>
        <w:t>Early death</w:t>
      </w:r>
    </w:p>
    <w:p w:rsidR="00DA1CF4" w:rsidRDefault="00DA1CF4" w:rsidP="00DA1CF4">
      <w:r>
        <w:t>In study MCL-002 there was overall an apparent increase in early (within 20 weeks) deaths. Patients with high tumour burden at baseline are at increased risk of early death, there were 16/81 (20%) early deaths in the lenalidomide arm and 2/28 (7%) early deaths in the control arm. Within 52 weeks corresponding figures were 32/81 (40%) and 6/28 (21%) (See section 5.1).</w:t>
      </w:r>
    </w:p>
    <w:p w:rsidR="00DA1CF4" w:rsidRDefault="00DA1CF4" w:rsidP="00DA1CF4"/>
    <w:p w:rsidR="00DA1CF4" w:rsidRPr="00DA1CF4" w:rsidRDefault="00EE3678" w:rsidP="00DA1CF4">
      <w:pPr>
        <w:rPr>
          <w:i/>
        </w:rPr>
      </w:pPr>
      <w:r w:rsidRPr="00EE3678">
        <w:rPr>
          <w:i/>
        </w:rPr>
        <w:t>Adverse events</w:t>
      </w:r>
    </w:p>
    <w:p w:rsidR="00DA1CF4" w:rsidRDefault="00DA1CF4" w:rsidP="00DA1CF4">
      <w:r>
        <w:t>In study MCL-002, during treatment cycle 1, 11/81 (14%) patients with high tumour burden were withdrawn from therapy in the lenalidomide arm vs. 1/28 (4%) in the control group. The main reason for treatment withdrawal for patients with high tumour burden during treatment cycle 1 in the lenalidomide arm was adverse events, 7/11 (64%).</w:t>
      </w:r>
    </w:p>
    <w:p w:rsidR="00DA1CF4" w:rsidRDefault="00DA1CF4" w:rsidP="00DA1CF4">
      <w:r>
        <w:t>Patients with high tumour burden should therefore be closely monitored for adverse reactions (see Section 4.8) including signs of tumour flare reaction (TFR). Please refer to section 4.2 for dose adjustments for TFR. High tumour burden was defined as at least one lesion ≥5 cm in diameter or 3 lesions ≥3 cm.</w:t>
      </w:r>
    </w:p>
    <w:p w:rsidR="00DA1CF4" w:rsidRPr="00746107" w:rsidRDefault="00DA1CF4" w:rsidP="00AB7A9E"/>
    <w:p w:rsidR="000C50BB" w:rsidRPr="004273C8" w:rsidRDefault="000C50BB" w:rsidP="00AB7A9E">
      <w:pPr>
        <w:rPr>
          <w:u w:val="single"/>
        </w:rPr>
      </w:pPr>
      <w:r w:rsidRPr="004273C8">
        <w:rPr>
          <w:rFonts w:eastAsia="Times New Roman"/>
          <w:i/>
          <w:iCs/>
          <w:u w:val="single"/>
        </w:rPr>
        <w:t>Allergic reactions</w:t>
      </w:r>
      <w:r w:rsidR="008820D9">
        <w:rPr>
          <w:rFonts w:eastAsia="Times New Roman"/>
          <w:i/>
          <w:iCs/>
          <w:u w:val="single"/>
        </w:rPr>
        <w:t xml:space="preserve"> and severe skin reactions</w:t>
      </w:r>
    </w:p>
    <w:p w:rsidR="000C50BB" w:rsidRDefault="000C50BB" w:rsidP="004A3A6C">
      <w:pPr>
        <w:ind w:right="100"/>
      </w:pPr>
      <w:r w:rsidRPr="00746107">
        <w:rPr>
          <w:rFonts w:eastAsia="Times New Roman"/>
        </w:rPr>
        <w:t xml:space="preserve">Cases of allergic </w:t>
      </w:r>
      <w:r w:rsidR="008820D9">
        <w:rPr>
          <w:rFonts w:eastAsia="Times New Roman"/>
        </w:rPr>
        <w:t xml:space="preserve">reactions including angioedema, anaphylactic </w:t>
      </w:r>
      <w:r w:rsidRPr="00746107">
        <w:rPr>
          <w:rFonts w:eastAsia="Times New Roman"/>
        </w:rPr>
        <w:t>reaction</w:t>
      </w:r>
      <w:r w:rsidR="008820D9">
        <w:rPr>
          <w:rFonts w:eastAsia="Times New Roman"/>
        </w:rPr>
        <w:t xml:space="preserve"> </w:t>
      </w:r>
      <w:r w:rsidR="008820D9" w:rsidRPr="004A3A6C">
        <w:rPr>
          <w:rFonts w:eastAsia="Times New Roman"/>
          <w:iCs/>
        </w:rPr>
        <w:t>and s</w:t>
      </w:r>
      <w:r w:rsidR="002115F3" w:rsidRPr="008820D9">
        <w:rPr>
          <w:rFonts w:eastAsia="Times New Roman"/>
        </w:rPr>
        <w:t>evere</w:t>
      </w:r>
      <w:r w:rsidR="002115F3">
        <w:rPr>
          <w:rFonts w:eastAsia="Times New Roman"/>
        </w:rPr>
        <w:t xml:space="preserve"> cutaneous reactions including </w:t>
      </w:r>
      <w:r w:rsidRPr="00746107">
        <w:rPr>
          <w:rFonts w:eastAsia="Times New Roman"/>
        </w:rPr>
        <w:t>SJS</w:t>
      </w:r>
      <w:r w:rsidR="002115F3">
        <w:rPr>
          <w:rFonts w:eastAsia="Times New Roman"/>
        </w:rPr>
        <w:t>,</w:t>
      </w:r>
      <w:r w:rsidRPr="00746107">
        <w:rPr>
          <w:rFonts w:eastAsia="Times New Roman"/>
        </w:rPr>
        <w:t xml:space="preserve"> TEN </w:t>
      </w:r>
      <w:r w:rsidR="002115F3">
        <w:rPr>
          <w:rFonts w:eastAsia="Times New Roman"/>
        </w:rPr>
        <w:t xml:space="preserve">and DRESS </w:t>
      </w:r>
      <w:r w:rsidRPr="00746107">
        <w:rPr>
          <w:rFonts w:eastAsia="Times New Roman"/>
        </w:rPr>
        <w:t>have been reported</w:t>
      </w:r>
      <w:r w:rsidR="00521072">
        <w:rPr>
          <w:rFonts w:eastAsia="Times New Roman"/>
        </w:rPr>
        <w:t xml:space="preserve"> </w:t>
      </w:r>
      <w:r w:rsidR="008820D9">
        <w:rPr>
          <w:rFonts w:eastAsia="Times New Roman"/>
        </w:rPr>
        <w:t xml:space="preserve">in patients treated </w:t>
      </w:r>
      <w:r w:rsidR="00521072">
        <w:rPr>
          <w:rFonts w:eastAsia="Times New Roman"/>
        </w:rPr>
        <w:t>w</w:t>
      </w:r>
      <w:r w:rsidR="002115F3">
        <w:rPr>
          <w:rFonts w:eastAsia="Times New Roman"/>
        </w:rPr>
        <w:t>ith lenalidomide</w:t>
      </w:r>
      <w:r w:rsidR="008820D9">
        <w:rPr>
          <w:rFonts w:eastAsia="Times New Roman"/>
        </w:rPr>
        <w:t xml:space="preserve"> (see section 4.8)</w:t>
      </w:r>
      <w:r w:rsidR="002115F3">
        <w:rPr>
          <w:rFonts w:eastAsia="Times New Roman"/>
        </w:rPr>
        <w:t>. Patients should be advised of the signs and symptoms of these reactions by their prescribers and should be told to seek medical attention immediately if they develop these symptoms.</w:t>
      </w:r>
      <w:r w:rsidRPr="00746107">
        <w:rPr>
          <w:rFonts w:eastAsia="Times New Roman"/>
        </w:rPr>
        <w:t xml:space="preserve"> Lenalidomide must be discontinued for</w:t>
      </w:r>
      <w:r w:rsidR="008820D9">
        <w:rPr>
          <w:rFonts w:eastAsia="Times New Roman"/>
        </w:rPr>
        <w:t xml:space="preserve"> angioedema, anaphylactic reaction,</w:t>
      </w:r>
      <w:r w:rsidRPr="00746107">
        <w:rPr>
          <w:rFonts w:eastAsia="Times New Roman"/>
        </w:rPr>
        <w:t xml:space="preserve"> exfoliative or bullous rash, or if SJS</w:t>
      </w:r>
      <w:r w:rsidR="002115F3">
        <w:rPr>
          <w:rFonts w:eastAsia="Times New Roman"/>
        </w:rPr>
        <w:t>,</w:t>
      </w:r>
      <w:r w:rsidRPr="00746107">
        <w:rPr>
          <w:rFonts w:eastAsia="Times New Roman"/>
        </w:rPr>
        <w:t xml:space="preserve"> TEN</w:t>
      </w:r>
      <w:r w:rsidR="002115F3">
        <w:rPr>
          <w:rFonts w:eastAsia="Times New Roman"/>
        </w:rPr>
        <w:t xml:space="preserve"> or DRESS</w:t>
      </w:r>
      <w:r w:rsidRPr="00746107">
        <w:rPr>
          <w:rFonts w:eastAsia="Times New Roman"/>
        </w:rPr>
        <w:t xml:space="preserve"> is suspected, and should not be resumed following discontinuation for these reactions. Interruption or discontinuation of lenalidomide should be considered for other forms of skin reaction depending on severity. </w:t>
      </w:r>
      <w:r w:rsidR="008820D9" w:rsidRPr="00746107">
        <w:rPr>
          <w:rFonts w:eastAsia="Times New Roman"/>
        </w:rPr>
        <w:t>Patients who had previous allergic reactions while treated with thalidomide should be monitored closely, as a possible cross-reaction between lenalidomide and thalidomide has been reported in the literature.</w:t>
      </w:r>
      <w:r w:rsidR="008820D9">
        <w:rPr>
          <w:rFonts w:eastAsia="Times New Roman"/>
        </w:rPr>
        <w:t xml:space="preserve"> </w:t>
      </w:r>
      <w:r w:rsidRPr="00746107">
        <w:rPr>
          <w:rFonts w:eastAsia="Times New Roman"/>
        </w:rPr>
        <w:t>Patients with a history of severe rash associated with thalidomide treatment should not receive lenalidomide.</w:t>
      </w:r>
    </w:p>
    <w:p w:rsidR="000C50BB" w:rsidRDefault="000C50BB" w:rsidP="00AB7A9E"/>
    <w:p w:rsidR="000C50BB" w:rsidRPr="004273C8" w:rsidRDefault="000C50BB" w:rsidP="00AB7A9E">
      <w:pPr>
        <w:rPr>
          <w:u w:val="single"/>
        </w:rPr>
      </w:pPr>
      <w:r w:rsidRPr="004273C8">
        <w:rPr>
          <w:rFonts w:eastAsia="Times New Roman"/>
          <w:i/>
          <w:iCs/>
          <w:u w:val="single"/>
        </w:rPr>
        <w:t>Lactose intolerance</w:t>
      </w:r>
    </w:p>
    <w:p w:rsidR="000C50BB" w:rsidRDefault="000C50BB" w:rsidP="00AB7A9E">
      <w:pPr>
        <w:ind w:right="160"/>
      </w:pPr>
      <w:r w:rsidRPr="00746107">
        <w:rPr>
          <w:rFonts w:eastAsia="Times New Roman"/>
        </w:rPr>
        <w:t xml:space="preserve">[Product name] capsules contain lactose. Patients with rare hereditary problems of galactose intolerance, </w:t>
      </w:r>
      <w:r w:rsidR="008D189D">
        <w:rPr>
          <w:rFonts w:eastAsia="Times New Roman"/>
        </w:rPr>
        <w:t>total</w:t>
      </w:r>
      <w:r w:rsidR="008D189D" w:rsidRPr="00746107">
        <w:rPr>
          <w:rFonts w:eastAsia="Times New Roman"/>
        </w:rPr>
        <w:t xml:space="preserve"> </w:t>
      </w:r>
      <w:r w:rsidRPr="00746107">
        <w:rPr>
          <w:rFonts w:eastAsia="Times New Roman"/>
        </w:rPr>
        <w:t>lactase deficiency or glucose-galactose malabsorption should not take this medicin</w:t>
      </w:r>
      <w:r w:rsidR="008D189D">
        <w:rPr>
          <w:rFonts w:eastAsia="Times New Roman"/>
        </w:rPr>
        <w:t>e</w:t>
      </w:r>
      <w:r w:rsidRPr="00746107">
        <w:rPr>
          <w:rFonts w:eastAsia="Times New Roman"/>
        </w:rPr>
        <w:t>.</w:t>
      </w:r>
    </w:p>
    <w:p w:rsidR="000C50BB" w:rsidRDefault="000C50BB" w:rsidP="00AB7A9E"/>
    <w:p w:rsidR="000C50BB" w:rsidRPr="004273C8" w:rsidRDefault="000C50BB" w:rsidP="00AB7A9E">
      <w:pPr>
        <w:rPr>
          <w:u w:val="single"/>
        </w:rPr>
      </w:pPr>
      <w:r w:rsidRPr="004273C8">
        <w:rPr>
          <w:rFonts w:eastAsia="Times New Roman"/>
          <w:i/>
          <w:iCs/>
          <w:u w:val="single"/>
        </w:rPr>
        <w:t>Second primary malignancies</w:t>
      </w:r>
    </w:p>
    <w:p w:rsidR="000C50BB" w:rsidRDefault="000C50BB" w:rsidP="00AB7A9E">
      <w:pPr>
        <w:rPr>
          <w:rFonts w:eastAsia="Times New Roman"/>
        </w:rPr>
      </w:pPr>
      <w:r w:rsidRPr="00746107">
        <w:rPr>
          <w:rFonts w:eastAsia="Times New Roman"/>
        </w:rPr>
        <w:t>An increase of second primary malignancies (SPM) has been observed in clinical trials in previously treated myeloma patients receiving lenalidomide/dexamethasone (3.98 per 100 person-years) compared to controls</w:t>
      </w:r>
    </w:p>
    <w:p w:rsidR="000C50BB" w:rsidRDefault="000C50BB" w:rsidP="00AB7A9E">
      <w:pPr>
        <w:ind w:right="200"/>
      </w:pPr>
      <w:r w:rsidRPr="00746107">
        <w:rPr>
          <w:rFonts w:eastAsia="Times New Roman"/>
        </w:rPr>
        <w:t>(1.38 per 100 person-years). Non-invasive SPM comprise basal cell or squamous cell skin cancers. Most of the invasive SPMs were solid tumour malignancies.</w:t>
      </w:r>
    </w:p>
    <w:p w:rsidR="000C50BB" w:rsidRDefault="000C50BB" w:rsidP="00AB7A9E"/>
    <w:p w:rsidR="000C50BB" w:rsidRDefault="000C50BB" w:rsidP="00AB7A9E">
      <w:pPr>
        <w:ind w:right="60"/>
      </w:pPr>
      <w:r w:rsidRPr="00746107">
        <w:rPr>
          <w:rFonts w:eastAsia="Times New Roman"/>
        </w:rPr>
        <w:t>In clinical trials of newly diagnosed multiple myeloma patients not eligible for transplant, a 4.9-fold increase in incidence rate o</w:t>
      </w:r>
      <w:r w:rsidR="00D7652D">
        <w:rPr>
          <w:rFonts w:eastAsia="Times New Roman"/>
        </w:rPr>
        <w:t>f hematologic SPM (cases of AML</w:t>
      </w:r>
      <w:r w:rsidR="00571C30">
        <w:rPr>
          <w:rFonts w:eastAsia="Times New Roman"/>
        </w:rPr>
        <w:t>, MDS</w:t>
      </w:r>
      <w:r w:rsidRPr="00746107">
        <w:rPr>
          <w:rFonts w:eastAsia="Times New Roman"/>
        </w:rPr>
        <w:t>) has been observed in patients receiving lenalidomide in combination with melphalan and prednisone until progression (1.75 per 100 person-years) compared with melphalan in combination with predni</w:t>
      </w:r>
      <w:r w:rsidRPr="00335062">
        <w:rPr>
          <w:rFonts w:eastAsia="Times New Roman"/>
        </w:rPr>
        <w:t>sone (0.36 per 100 person-years).</w:t>
      </w:r>
    </w:p>
    <w:p w:rsidR="000C50BB" w:rsidRDefault="000C50BB" w:rsidP="00AB7A9E"/>
    <w:p w:rsidR="000C50BB" w:rsidRDefault="000C50BB" w:rsidP="00AB7A9E">
      <w:pPr>
        <w:ind w:right="900"/>
        <w:jc w:val="both"/>
      </w:pPr>
      <w:r w:rsidRPr="00335062">
        <w:rPr>
          <w:rFonts w:eastAsia="Times New Roman"/>
        </w:rPr>
        <w:t>A 2.12-fold increase in incidence rate of solid tumour SPM has been observed in patients receiving lenalidomide (9 cycles) in combination with melphalan and prednisone (1.57 per 100 person-years) compared with melphalan in combination with prednisone (0.74 per 100 person-years).</w:t>
      </w:r>
    </w:p>
    <w:p w:rsidR="000C50BB" w:rsidRDefault="000C50BB" w:rsidP="00AB7A9E"/>
    <w:p w:rsidR="000C50BB" w:rsidRDefault="000C50BB" w:rsidP="00AB7A9E">
      <w:pPr>
        <w:ind w:right="280"/>
      </w:pPr>
      <w:r w:rsidRPr="00335062">
        <w:rPr>
          <w:rFonts w:eastAsia="Times New Roman"/>
        </w:rPr>
        <w:t>In patients receiving lenalidomide in combination with dexamethasone until progression or for 18 months, the hematologic SPM incidence rate (0.16 per 100 person-years) was not increased as compared to thalidomide in combination with melphalan and prednisone (0.79 per 100 person-years).</w:t>
      </w:r>
    </w:p>
    <w:p w:rsidR="000C50BB" w:rsidRDefault="000C50BB" w:rsidP="00AB7A9E"/>
    <w:p w:rsidR="000C50BB" w:rsidRDefault="000C50BB" w:rsidP="00AB7A9E">
      <w:pPr>
        <w:ind w:right="100"/>
      </w:pPr>
      <w:r w:rsidRPr="00335062">
        <w:rPr>
          <w:rFonts w:eastAsia="Times New Roman"/>
        </w:rPr>
        <w:t>A 1.3-fold increase in incidence rate of solid tumour SPM has been observed in patients receiving lenalidomide in combination with dexamethasone until progression or for 18 months (1.58 per 100 person-years) compared to thalidomide in combination with melphalan and prednisone (1.19 per 100 person-years).</w:t>
      </w:r>
    </w:p>
    <w:p w:rsidR="000C50BB" w:rsidRDefault="000C50BB" w:rsidP="00AB7A9E"/>
    <w:p w:rsidR="00571C30" w:rsidRPr="00571C30" w:rsidRDefault="00571C30" w:rsidP="00571C30">
      <w:r w:rsidRPr="00571C30">
        <w:t xml:space="preserve">In newly diagnosed multiple myeloma patients receiving lenalidomide in combination with bortezomib and dexamethasone, the hematologic SPM incidence rate was 0.00 – 0.16 per 100 person-years and the incidence rate of solid tumour SPM </w:t>
      </w:r>
      <w:r w:rsidR="00745A94">
        <w:t xml:space="preserve">was </w:t>
      </w:r>
      <w:r w:rsidRPr="00571C30">
        <w:t>0.21 – 1.04 per 100 person-years.</w:t>
      </w:r>
    </w:p>
    <w:p w:rsidR="00571C30" w:rsidRDefault="00571C30" w:rsidP="00AB7A9E"/>
    <w:p w:rsidR="000C50BB" w:rsidRPr="00AA3E7D" w:rsidRDefault="000C50BB" w:rsidP="00AB7A9E">
      <w:r w:rsidRPr="00AA3E7D">
        <w:t xml:space="preserve">The increased risk of secondary primary malignancies associated with lenalidomide is relevant also in the context of NDMM after stem cell transplantation. Though this risk is not yet fully characterized, it should be kept in mind when considering and using </w:t>
      </w:r>
      <w:r w:rsidR="009A50F0" w:rsidRPr="004B5089">
        <w:rPr>
          <w:rFonts w:eastAsia="Times New Roman"/>
        </w:rPr>
        <w:t>[Product name]</w:t>
      </w:r>
      <w:r w:rsidRPr="00AA3E7D">
        <w:t xml:space="preserve"> in this setting.</w:t>
      </w:r>
    </w:p>
    <w:p w:rsidR="000C50BB" w:rsidRPr="00AA3E7D" w:rsidRDefault="000C50BB" w:rsidP="00AB7A9E"/>
    <w:p w:rsidR="000C50BB" w:rsidRDefault="000C50BB" w:rsidP="00AB7A9E">
      <w:r w:rsidRPr="00AA3E7D">
        <w:t xml:space="preserve">The incidence rate of hematologic </w:t>
      </w:r>
      <w:r w:rsidR="00D7652D">
        <w:t>malignancies, most notably AML</w:t>
      </w:r>
      <w:r w:rsidR="00DA1CF4">
        <w:t>, MDS</w:t>
      </w:r>
      <w:r w:rsidR="00D7652D">
        <w:t xml:space="preserve"> </w:t>
      </w:r>
      <w:r w:rsidRPr="00AA3E7D">
        <w:t>and B-cell malignancies (including Hodgkin’s lymphoma), was 1.31 per 100 person-years for the lenalidomide arms and 0.58 per 100 person-years for the placebo arms (1.02 per 100 person-years for patients exposed to lenalidomide after ASCT and 0.60 per 100 person-years for patients not-exposed to lenalidomide after ASCT). The incidence rate of solid tumour SPMs was 1.36 per 100 person-years for the lenalidomide arms and 1.05 per 100 person- years for the placebo arms (1.26 per 100 person-years for patients exposed to lenalidomide after ASCT and</w:t>
      </w:r>
      <w:r w:rsidR="008A4E20">
        <w:t xml:space="preserve"> </w:t>
      </w:r>
      <w:r w:rsidR="00816DE5">
        <w:t>0</w:t>
      </w:r>
      <w:r w:rsidRPr="00AA3E7D">
        <w:t>.60</w:t>
      </w:r>
      <w:r w:rsidR="008A4E20">
        <w:t xml:space="preserve"> </w:t>
      </w:r>
      <w:r w:rsidRPr="00AA3E7D">
        <w:t>per 100 person-years for patients not-exposed to lenalidomide after ASCT).</w:t>
      </w:r>
    </w:p>
    <w:p w:rsidR="000C50BB" w:rsidRDefault="000C50BB" w:rsidP="00AB7A9E"/>
    <w:p w:rsidR="000C50BB" w:rsidRDefault="000C50BB" w:rsidP="00AB7A9E">
      <w:pPr>
        <w:ind w:right="20"/>
        <w:rPr>
          <w:rFonts w:eastAsia="Times New Roman"/>
        </w:rPr>
      </w:pPr>
      <w:r w:rsidRPr="00335062">
        <w:rPr>
          <w:rFonts w:eastAsia="Times New Roman"/>
        </w:rPr>
        <w:t xml:space="preserve">The risk of occurrence of hematologic SPM must be taken into account before initiating treatment with </w:t>
      </w:r>
      <w:r w:rsidR="008A4E20">
        <w:rPr>
          <w:rFonts w:eastAsia="Times New Roman"/>
        </w:rPr>
        <w:t>lenalidomide</w:t>
      </w:r>
      <w:r w:rsidRPr="00335062">
        <w:rPr>
          <w:rFonts w:eastAsia="Times New Roman"/>
        </w:rPr>
        <w:t xml:space="preserve"> either in combination with melphalan or immediately following high-dose melphalan and ASCT. Physicians should carefully evaluate patients before and during treatment using standard cancer screening for occurrence of SPM and institute treatment as indicated.</w:t>
      </w:r>
    </w:p>
    <w:p w:rsidR="00DA1CF4" w:rsidRDefault="00DA1CF4" w:rsidP="00AB7A9E">
      <w:pPr>
        <w:ind w:right="20"/>
        <w:rPr>
          <w:rFonts w:eastAsia="Times New Roman"/>
        </w:rPr>
      </w:pPr>
    </w:p>
    <w:p w:rsidR="00DA1CF4" w:rsidRPr="004273C8" w:rsidRDefault="00EE3678" w:rsidP="00DA1CF4">
      <w:pPr>
        <w:ind w:right="20"/>
        <w:rPr>
          <w:i/>
          <w:u w:val="single"/>
        </w:rPr>
      </w:pPr>
      <w:r w:rsidRPr="004273C8">
        <w:rPr>
          <w:i/>
          <w:u w:val="single"/>
        </w:rPr>
        <w:t>Progression to acute myeloid leukaemia in low- and intermediate-1-risk MDS</w:t>
      </w:r>
    </w:p>
    <w:p w:rsidR="000404D2" w:rsidRPr="004273C8" w:rsidRDefault="00EE3678">
      <w:pPr>
        <w:numPr>
          <w:ilvl w:val="1"/>
          <w:numId w:val="61"/>
        </w:numPr>
        <w:ind w:left="709" w:hanging="283"/>
        <w:rPr>
          <w:u w:val="single"/>
        </w:rPr>
      </w:pPr>
      <w:r w:rsidRPr="004273C8">
        <w:rPr>
          <w:u w:val="single"/>
        </w:rPr>
        <w:t>Karyotype</w:t>
      </w:r>
    </w:p>
    <w:p w:rsidR="00DA1CF4" w:rsidRDefault="00DA1CF4" w:rsidP="00DA1CF4">
      <w:pPr>
        <w:ind w:right="20"/>
      </w:pPr>
      <w:r>
        <w:t>Baseline variables including complex cytogenetics are associated with progression to AML in subjects who are transfusion dependent and have a Del (5q) abnormality. In a combined analysis of two clinical trials of lenalidomide in low- or intermediate-1-risk myelodysplastic syndromes, subjects who had a complex cytogenetics had the highest estimated 2-year cumulative risk of progression to AML (38.6%). The estimated 2-year rate of progression to AML in patients with an isolated Del (5q) abnormality was 13.8%, compared to 17.3% for patients with Del (5q) and one additional cytogenetic abnormality.</w:t>
      </w:r>
    </w:p>
    <w:p w:rsidR="00DA1CF4" w:rsidRDefault="00DA1CF4" w:rsidP="00DA1CF4">
      <w:pPr>
        <w:ind w:right="20"/>
      </w:pPr>
    </w:p>
    <w:p w:rsidR="00DA1CF4" w:rsidRDefault="00DA1CF4" w:rsidP="00DA1CF4">
      <w:pPr>
        <w:ind w:right="20"/>
      </w:pPr>
      <w:r>
        <w:t>As a consequence, the benefit/risk ratio of lenalidomide when MDS is associated with Del (5q) and complex cytogenetics is unknown.</w:t>
      </w:r>
    </w:p>
    <w:p w:rsidR="00DA1CF4" w:rsidRDefault="00DA1CF4" w:rsidP="00DA1CF4">
      <w:pPr>
        <w:ind w:right="20"/>
      </w:pPr>
    </w:p>
    <w:p w:rsidR="000404D2" w:rsidRPr="004273C8" w:rsidRDefault="00EE3678">
      <w:pPr>
        <w:numPr>
          <w:ilvl w:val="1"/>
          <w:numId w:val="61"/>
        </w:numPr>
        <w:ind w:left="709" w:hanging="283"/>
        <w:rPr>
          <w:u w:val="single"/>
        </w:rPr>
      </w:pPr>
      <w:r w:rsidRPr="004273C8">
        <w:rPr>
          <w:u w:val="single"/>
        </w:rPr>
        <w:t>TP53</w:t>
      </w:r>
      <w:r w:rsidR="00DA1CF4" w:rsidRPr="004273C8">
        <w:rPr>
          <w:u w:val="single"/>
        </w:rPr>
        <w:t xml:space="preserve"> status</w:t>
      </w:r>
    </w:p>
    <w:p w:rsidR="00DA1CF4" w:rsidRDefault="00DA1CF4" w:rsidP="00DA1CF4">
      <w:pPr>
        <w:ind w:right="20"/>
      </w:pPr>
      <w:r>
        <w:t>A TP53 mutation is present in 20 to 25% of lower-risk MDS Del 5q patients and is associated with a higher risk of progression to acute myeloid leukaemia (AML). In a post-hoc analysis of a clinical trial of lenalidomide in low- or intermediate-1-risk myelodysplastic syndromes (MDS-004), the estimated 2-year rate of progression to AML was 27.5 % in patients with IHC-p53 positivity (1% cut-off level of strong nuclear staining, using immunohistochemical assessment of p53 protein as a surrogate for TP53 mutation status) and 3.6% in patients with IHC-p53 negativity (p=0.0038) (see section 4.8)</w:t>
      </w:r>
    </w:p>
    <w:p w:rsidR="00DA1CF4" w:rsidRDefault="00DA1CF4" w:rsidP="00DA1CF4">
      <w:pPr>
        <w:ind w:right="20"/>
      </w:pPr>
    </w:p>
    <w:p w:rsidR="00DA1CF4" w:rsidRPr="004273C8" w:rsidRDefault="00EE3678" w:rsidP="00DA1CF4">
      <w:pPr>
        <w:ind w:right="20"/>
        <w:rPr>
          <w:i/>
          <w:u w:val="single"/>
        </w:rPr>
      </w:pPr>
      <w:r w:rsidRPr="004273C8">
        <w:rPr>
          <w:i/>
          <w:u w:val="single"/>
        </w:rPr>
        <w:t>Progression to other malignancies in mantle cell lymphoma</w:t>
      </w:r>
    </w:p>
    <w:p w:rsidR="00261E52" w:rsidRDefault="00DA1CF4" w:rsidP="00DA1CF4">
      <w:pPr>
        <w:ind w:right="20"/>
      </w:pPr>
      <w:r>
        <w:t xml:space="preserve">In mantle cell lymphoma, AML, B-cell malignancies and non-melanoma skin cancer (NMSC) are </w:t>
      </w:r>
      <w:r w:rsidR="00571C30">
        <w:t xml:space="preserve">identified </w:t>
      </w:r>
      <w:r>
        <w:t>risks.</w:t>
      </w:r>
    </w:p>
    <w:p w:rsidR="00571C30" w:rsidRDefault="00571C30" w:rsidP="00DA1CF4">
      <w:pPr>
        <w:ind w:right="20"/>
      </w:pPr>
    </w:p>
    <w:p w:rsidR="00571C30" w:rsidRPr="004273C8" w:rsidRDefault="00571C30" w:rsidP="00571C30">
      <w:pPr>
        <w:rPr>
          <w:rFonts w:eastAsia="Times New Roman"/>
          <w:u w:val="single"/>
        </w:rPr>
      </w:pPr>
      <w:r w:rsidRPr="004560FA">
        <w:rPr>
          <w:i/>
          <w:u w:val="single"/>
        </w:rPr>
        <w:t>Second</w:t>
      </w:r>
      <w:r w:rsidRPr="004560FA">
        <w:rPr>
          <w:i/>
          <w:spacing w:val="-2"/>
          <w:u w:val="single"/>
        </w:rPr>
        <w:t xml:space="preserve"> </w:t>
      </w:r>
      <w:r w:rsidRPr="004560FA">
        <w:rPr>
          <w:i/>
          <w:spacing w:val="-1"/>
          <w:u w:val="single"/>
        </w:rPr>
        <w:t>primary</w:t>
      </w:r>
      <w:r w:rsidRPr="004560FA">
        <w:rPr>
          <w:i/>
          <w:u w:val="single"/>
        </w:rPr>
        <w:t xml:space="preserve"> </w:t>
      </w:r>
      <w:r w:rsidRPr="004560FA">
        <w:rPr>
          <w:i/>
          <w:spacing w:val="-1"/>
          <w:u w:val="single"/>
        </w:rPr>
        <w:t>malignancies</w:t>
      </w:r>
      <w:r w:rsidRPr="004560FA">
        <w:rPr>
          <w:i/>
          <w:u w:val="single"/>
        </w:rPr>
        <w:t xml:space="preserve"> in</w:t>
      </w:r>
      <w:r w:rsidRPr="004560FA">
        <w:rPr>
          <w:i/>
          <w:spacing w:val="-3"/>
          <w:u w:val="single"/>
        </w:rPr>
        <w:t xml:space="preserve"> </w:t>
      </w:r>
      <w:r w:rsidRPr="004560FA">
        <w:rPr>
          <w:i/>
          <w:spacing w:val="-1"/>
          <w:u w:val="single"/>
        </w:rPr>
        <w:t>follicular</w:t>
      </w:r>
      <w:r w:rsidRPr="004560FA">
        <w:rPr>
          <w:i/>
          <w:spacing w:val="-2"/>
          <w:u w:val="single"/>
        </w:rPr>
        <w:t xml:space="preserve"> </w:t>
      </w:r>
      <w:r w:rsidRPr="004560FA">
        <w:rPr>
          <w:i/>
          <w:spacing w:val="-1"/>
          <w:u w:val="single"/>
        </w:rPr>
        <w:t>lymphoma</w:t>
      </w:r>
    </w:p>
    <w:p w:rsidR="00571C30" w:rsidRDefault="00571C30" w:rsidP="00571C30">
      <w:pPr>
        <w:pStyle w:val="BodyText"/>
        <w:spacing w:before="1"/>
        <w:ind w:right="179"/>
      </w:pPr>
      <w:r>
        <w:rPr>
          <w:spacing w:val="-3"/>
        </w:rPr>
        <w:t>In</w:t>
      </w:r>
      <w:r>
        <w:t xml:space="preserve"> a </w:t>
      </w:r>
      <w:r>
        <w:rPr>
          <w:spacing w:val="-1"/>
        </w:rPr>
        <w:t>relapsed/refractory</w:t>
      </w:r>
      <w:r>
        <w:rPr>
          <w:spacing w:val="-3"/>
        </w:rPr>
        <w:t xml:space="preserve"> </w:t>
      </w:r>
      <w:r>
        <w:rPr>
          <w:spacing w:val="-1"/>
        </w:rPr>
        <w:t xml:space="preserve">iNHL </w:t>
      </w:r>
      <w:r>
        <w:t>study</w:t>
      </w:r>
      <w:r>
        <w:rPr>
          <w:spacing w:val="-2"/>
        </w:rPr>
        <w:t xml:space="preserve"> </w:t>
      </w:r>
      <w:r>
        <w:t>which</w:t>
      </w:r>
      <w:r>
        <w:rPr>
          <w:spacing w:val="-2"/>
        </w:rPr>
        <w:t xml:space="preserve"> </w:t>
      </w:r>
      <w:r>
        <w:rPr>
          <w:spacing w:val="-1"/>
        </w:rPr>
        <w:t>included</w:t>
      </w:r>
      <w:r>
        <w:t xml:space="preserve"> </w:t>
      </w:r>
      <w:r>
        <w:rPr>
          <w:spacing w:val="-1"/>
        </w:rPr>
        <w:t>follicular</w:t>
      </w:r>
      <w:r>
        <w:rPr>
          <w:spacing w:val="1"/>
        </w:rPr>
        <w:t xml:space="preserve"> </w:t>
      </w:r>
      <w:r>
        <w:rPr>
          <w:spacing w:val="-2"/>
        </w:rPr>
        <w:t>lymphoma</w:t>
      </w:r>
      <w:r>
        <w:t xml:space="preserve"> </w:t>
      </w:r>
      <w:r>
        <w:rPr>
          <w:spacing w:val="-1"/>
        </w:rPr>
        <w:t>patients,</w:t>
      </w:r>
      <w:r>
        <w:t xml:space="preserve"> no </w:t>
      </w:r>
      <w:r>
        <w:rPr>
          <w:spacing w:val="-1"/>
        </w:rPr>
        <w:t>increased</w:t>
      </w:r>
      <w:r>
        <w:t xml:space="preserve"> </w:t>
      </w:r>
      <w:r>
        <w:rPr>
          <w:spacing w:val="-1"/>
        </w:rPr>
        <w:t>risk</w:t>
      </w:r>
      <w:r>
        <w:rPr>
          <w:spacing w:val="-2"/>
        </w:rPr>
        <w:t xml:space="preserve"> </w:t>
      </w:r>
      <w:r>
        <w:t>of</w:t>
      </w:r>
      <w:r>
        <w:rPr>
          <w:spacing w:val="1"/>
        </w:rPr>
        <w:t xml:space="preserve"> </w:t>
      </w:r>
      <w:r>
        <w:rPr>
          <w:spacing w:val="-2"/>
        </w:rPr>
        <w:t>SPMs</w:t>
      </w:r>
      <w:r>
        <w:rPr>
          <w:spacing w:val="91"/>
        </w:rPr>
        <w:t xml:space="preserve"> </w:t>
      </w:r>
      <w:r>
        <w:t xml:space="preserve">in </w:t>
      </w:r>
      <w:r>
        <w:rPr>
          <w:spacing w:val="-1"/>
        </w:rPr>
        <w:t>the</w:t>
      </w:r>
      <w:r>
        <w:t xml:space="preserve"> </w:t>
      </w:r>
      <w:r>
        <w:rPr>
          <w:spacing w:val="-1"/>
        </w:rPr>
        <w:t>lenalidomide/rituximab</w:t>
      </w:r>
      <w:r>
        <w:t xml:space="preserve"> </w:t>
      </w:r>
      <w:r>
        <w:rPr>
          <w:spacing w:val="-1"/>
        </w:rPr>
        <w:t>arm,</w:t>
      </w:r>
      <w:r>
        <w:t xml:space="preserve"> </w:t>
      </w:r>
      <w:r>
        <w:rPr>
          <w:spacing w:val="-1"/>
        </w:rPr>
        <w:t>compared</w:t>
      </w:r>
      <w:r>
        <w:t xml:space="preserve"> </w:t>
      </w:r>
      <w:r>
        <w:rPr>
          <w:spacing w:val="-1"/>
        </w:rPr>
        <w:t>to</w:t>
      </w:r>
      <w:r>
        <w:t xml:space="preserve"> </w:t>
      </w:r>
      <w:r>
        <w:rPr>
          <w:spacing w:val="-1"/>
        </w:rPr>
        <w:t>the</w:t>
      </w:r>
      <w:r>
        <w:t xml:space="preserve"> </w:t>
      </w:r>
      <w:r>
        <w:rPr>
          <w:spacing w:val="-1"/>
        </w:rPr>
        <w:t>placebo/rituximab</w:t>
      </w:r>
      <w:r>
        <w:t xml:space="preserve"> </w:t>
      </w:r>
      <w:r>
        <w:rPr>
          <w:spacing w:val="-1"/>
        </w:rPr>
        <w:t>arm,</w:t>
      </w:r>
      <w:r>
        <w:t xml:space="preserve"> </w:t>
      </w:r>
      <w:r>
        <w:rPr>
          <w:spacing w:val="-1"/>
        </w:rPr>
        <w:t>was</w:t>
      </w:r>
      <w:r>
        <w:t xml:space="preserve"> </w:t>
      </w:r>
      <w:r>
        <w:rPr>
          <w:spacing w:val="-1"/>
        </w:rPr>
        <w:t>observed.</w:t>
      </w:r>
      <w:r>
        <w:t xml:space="preserve"> </w:t>
      </w:r>
      <w:r>
        <w:rPr>
          <w:spacing w:val="-1"/>
        </w:rPr>
        <w:t>Hematologic</w:t>
      </w:r>
      <w:r>
        <w:rPr>
          <w:spacing w:val="-2"/>
        </w:rPr>
        <w:t xml:space="preserve"> </w:t>
      </w:r>
      <w:r>
        <w:rPr>
          <w:spacing w:val="-1"/>
        </w:rPr>
        <w:t>SPM</w:t>
      </w:r>
      <w:r>
        <w:rPr>
          <w:spacing w:val="57"/>
        </w:rPr>
        <w:t xml:space="preserve"> </w:t>
      </w:r>
      <w:r>
        <w:t>of</w:t>
      </w:r>
      <w:r>
        <w:rPr>
          <w:spacing w:val="1"/>
        </w:rPr>
        <w:t xml:space="preserve"> </w:t>
      </w:r>
      <w:r>
        <w:rPr>
          <w:spacing w:val="-1"/>
        </w:rPr>
        <w:t>AML occurred</w:t>
      </w:r>
      <w:r>
        <w:rPr>
          <w:spacing w:val="-3"/>
        </w:rPr>
        <w:t xml:space="preserve"> </w:t>
      </w:r>
      <w:r>
        <w:t xml:space="preserve">in </w:t>
      </w:r>
      <w:r>
        <w:rPr>
          <w:spacing w:val="-1"/>
        </w:rPr>
        <w:t>0.29</w:t>
      </w:r>
      <w:r>
        <w:t xml:space="preserve"> </w:t>
      </w:r>
      <w:r>
        <w:rPr>
          <w:spacing w:val="-1"/>
        </w:rPr>
        <w:t>per</w:t>
      </w:r>
      <w:r>
        <w:rPr>
          <w:spacing w:val="1"/>
        </w:rPr>
        <w:t xml:space="preserve"> </w:t>
      </w:r>
      <w:r>
        <w:t>100</w:t>
      </w:r>
      <w:r>
        <w:rPr>
          <w:spacing w:val="-2"/>
        </w:rPr>
        <w:t xml:space="preserve"> </w:t>
      </w:r>
      <w:r>
        <w:rPr>
          <w:spacing w:val="-1"/>
        </w:rPr>
        <w:t>person-years</w:t>
      </w:r>
      <w:r>
        <w:rPr>
          <w:spacing w:val="1"/>
        </w:rPr>
        <w:t xml:space="preserve"> </w:t>
      </w:r>
      <w:r>
        <w:t xml:space="preserve">in </w:t>
      </w:r>
      <w:r>
        <w:rPr>
          <w:spacing w:val="-1"/>
        </w:rPr>
        <w:t>the</w:t>
      </w:r>
      <w:r>
        <w:rPr>
          <w:spacing w:val="-2"/>
        </w:rPr>
        <w:t xml:space="preserve"> </w:t>
      </w:r>
      <w:r>
        <w:rPr>
          <w:spacing w:val="-1"/>
        </w:rPr>
        <w:t>lenalidomide/rituximab</w:t>
      </w:r>
      <w:r>
        <w:t xml:space="preserve"> arm</w:t>
      </w:r>
      <w:r>
        <w:rPr>
          <w:spacing w:val="-4"/>
        </w:rPr>
        <w:t xml:space="preserve"> </w:t>
      </w:r>
      <w:r>
        <w:rPr>
          <w:spacing w:val="-1"/>
        </w:rPr>
        <w:t>compared</w:t>
      </w:r>
      <w:r>
        <w:t xml:space="preserve"> </w:t>
      </w:r>
      <w:r>
        <w:rPr>
          <w:spacing w:val="-1"/>
        </w:rPr>
        <w:t>with</w:t>
      </w:r>
      <w:r>
        <w:t xml:space="preserve"> 0.29</w:t>
      </w:r>
      <w:r>
        <w:rPr>
          <w:spacing w:val="-3"/>
        </w:rPr>
        <w:t xml:space="preserve"> </w:t>
      </w:r>
      <w:r>
        <w:t>per</w:t>
      </w:r>
      <w:r>
        <w:rPr>
          <w:spacing w:val="45"/>
        </w:rPr>
        <w:t xml:space="preserve"> </w:t>
      </w:r>
      <w:r>
        <w:t xml:space="preserve">100 </w:t>
      </w:r>
      <w:r>
        <w:rPr>
          <w:spacing w:val="-1"/>
        </w:rPr>
        <w:t>person-years</w:t>
      </w:r>
      <w:r>
        <w:rPr>
          <w:spacing w:val="1"/>
        </w:rPr>
        <w:t xml:space="preserve"> </w:t>
      </w:r>
      <w:r>
        <w:t xml:space="preserve">in </w:t>
      </w:r>
      <w:r>
        <w:rPr>
          <w:spacing w:val="-1"/>
        </w:rPr>
        <w:t>patients</w:t>
      </w:r>
      <w:r>
        <w:t xml:space="preserve"> </w:t>
      </w:r>
      <w:r>
        <w:rPr>
          <w:spacing w:val="-1"/>
        </w:rPr>
        <w:t>receiving</w:t>
      </w:r>
      <w:r>
        <w:rPr>
          <w:spacing w:val="-3"/>
        </w:rPr>
        <w:t xml:space="preserve"> </w:t>
      </w:r>
      <w:r>
        <w:rPr>
          <w:spacing w:val="-1"/>
        </w:rPr>
        <w:t>placebo/rituximab.</w:t>
      </w:r>
      <w:r>
        <w:rPr>
          <w:spacing w:val="-3"/>
        </w:rPr>
        <w:t xml:space="preserve"> </w:t>
      </w:r>
      <w:r>
        <w:t>The</w:t>
      </w:r>
      <w:r>
        <w:rPr>
          <w:spacing w:val="-2"/>
        </w:rPr>
        <w:t xml:space="preserve"> </w:t>
      </w:r>
      <w:r>
        <w:rPr>
          <w:spacing w:val="-1"/>
        </w:rPr>
        <w:t>incidence</w:t>
      </w:r>
      <w:r>
        <w:rPr>
          <w:spacing w:val="-2"/>
        </w:rPr>
        <w:t xml:space="preserve"> </w:t>
      </w:r>
      <w:r>
        <w:rPr>
          <w:spacing w:val="-1"/>
        </w:rPr>
        <w:t>rate</w:t>
      </w:r>
      <w:r>
        <w:t xml:space="preserve"> of</w:t>
      </w:r>
      <w:r>
        <w:rPr>
          <w:spacing w:val="-2"/>
        </w:rPr>
        <w:t xml:space="preserve"> </w:t>
      </w:r>
      <w:r>
        <w:rPr>
          <w:spacing w:val="-1"/>
        </w:rPr>
        <w:t>hematologic</w:t>
      </w:r>
      <w:r>
        <w:t xml:space="preserve"> </w:t>
      </w:r>
      <w:r>
        <w:rPr>
          <w:spacing w:val="-1"/>
        </w:rPr>
        <w:t>plus</w:t>
      </w:r>
      <w:r>
        <w:t xml:space="preserve"> </w:t>
      </w:r>
      <w:r>
        <w:rPr>
          <w:spacing w:val="-1"/>
        </w:rPr>
        <w:t>solid</w:t>
      </w:r>
      <w:r>
        <w:rPr>
          <w:spacing w:val="75"/>
        </w:rPr>
        <w:t xml:space="preserve"> </w:t>
      </w:r>
      <w:r>
        <w:rPr>
          <w:spacing w:val="-1"/>
        </w:rPr>
        <w:t>tumour</w:t>
      </w:r>
      <w:r>
        <w:rPr>
          <w:spacing w:val="1"/>
        </w:rPr>
        <w:t xml:space="preserve"> </w:t>
      </w:r>
      <w:r>
        <w:rPr>
          <w:spacing w:val="-1"/>
        </w:rPr>
        <w:t>SPMs</w:t>
      </w:r>
      <w:r>
        <w:rPr>
          <w:spacing w:val="-2"/>
        </w:rPr>
        <w:t xml:space="preserve"> </w:t>
      </w:r>
      <w:r>
        <w:rPr>
          <w:spacing w:val="-1"/>
        </w:rPr>
        <w:t>(excluding</w:t>
      </w:r>
      <w:r>
        <w:rPr>
          <w:spacing w:val="-3"/>
        </w:rPr>
        <w:t xml:space="preserve"> </w:t>
      </w:r>
      <w:r>
        <w:rPr>
          <w:spacing w:val="-1"/>
        </w:rPr>
        <w:t>non-melanoma</w:t>
      </w:r>
      <w:r>
        <w:t xml:space="preserve"> </w:t>
      </w:r>
      <w:r>
        <w:rPr>
          <w:spacing w:val="-1"/>
        </w:rPr>
        <w:t>skin</w:t>
      </w:r>
      <w:r>
        <w:t xml:space="preserve"> </w:t>
      </w:r>
      <w:r>
        <w:rPr>
          <w:spacing w:val="-1"/>
        </w:rPr>
        <w:t>cancers)</w:t>
      </w:r>
      <w:r>
        <w:rPr>
          <w:spacing w:val="-2"/>
        </w:rPr>
        <w:t xml:space="preserve"> </w:t>
      </w:r>
      <w:r>
        <w:rPr>
          <w:spacing w:val="-1"/>
        </w:rPr>
        <w:t>was</w:t>
      </w:r>
      <w:r>
        <w:rPr>
          <w:spacing w:val="1"/>
        </w:rPr>
        <w:t xml:space="preserve"> </w:t>
      </w:r>
      <w:r>
        <w:t xml:space="preserve">0.87 </w:t>
      </w:r>
      <w:r>
        <w:rPr>
          <w:spacing w:val="-1"/>
        </w:rPr>
        <w:t>per</w:t>
      </w:r>
      <w:r>
        <w:rPr>
          <w:spacing w:val="1"/>
        </w:rPr>
        <w:t xml:space="preserve"> </w:t>
      </w:r>
      <w:r>
        <w:rPr>
          <w:spacing w:val="-1"/>
        </w:rPr>
        <w:t>100</w:t>
      </w:r>
      <w:r>
        <w:t xml:space="preserve"> </w:t>
      </w:r>
      <w:r>
        <w:rPr>
          <w:spacing w:val="-1"/>
        </w:rPr>
        <w:t>person-years</w:t>
      </w:r>
      <w:r>
        <w:rPr>
          <w:spacing w:val="-2"/>
        </w:rPr>
        <w:t xml:space="preserve"> </w:t>
      </w:r>
      <w:r>
        <w:t>in</w:t>
      </w:r>
      <w:r>
        <w:rPr>
          <w:spacing w:val="-2"/>
        </w:rPr>
        <w:t xml:space="preserve"> </w:t>
      </w:r>
      <w:r>
        <w:t>the</w:t>
      </w:r>
      <w:r>
        <w:rPr>
          <w:spacing w:val="67"/>
        </w:rPr>
        <w:t xml:space="preserve"> </w:t>
      </w:r>
      <w:r>
        <w:rPr>
          <w:spacing w:val="-1"/>
        </w:rPr>
        <w:t>lenalidomide/rituximab</w:t>
      </w:r>
      <w:r>
        <w:t xml:space="preserve"> </w:t>
      </w:r>
      <w:r>
        <w:rPr>
          <w:spacing w:val="-2"/>
        </w:rPr>
        <w:t>arm,</w:t>
      </w:r>
      <w:r>
        <w:t xml:space="preserve"> </w:t>
      </w:r>
      <w:r>
        <w:rPr>
          <w:spacing w:val="-1"/>
        </w:rPr>
        <w:t>compared</w:t>
      </w:r>
      <w:r>
        <w:t xml:space="preserve"> to </w:t>
      </w:r>
      <w:r>
        <w:rPr>
          <w:spacing w:val="-1"/>
        </w:rPr>
        <w:t>1.17</w:t>
      </w:r>
      <w:r>
        <w:t xml:space="preserve"> </w:t>
      </w:r>
      <w:r>
        <w:rPr>
          <w:spacing w:val="-1"/>
        </w:rPr>
        <w:t>per</w:t>
      </w:r>
      <w:r>
        <w:rPr>
          <w:spacing w:val="1"/>
        </w:rPr>
        <w:t xml:space="preserve"> </w:t>
      </w:r>
      <w:r>
        <w:rPr>
          <w:spacing w:val="-1"/>
        </w:rPr>
        <w:t>100</w:t>
      </w:r>
      <w:r>
        <w:t xml:space="preserve"> </w:t>
      </w:r>
      <w:r>
        <w:rPr>
          <w:spacing w:val="-1"/>
        </w:rPr>
        <w:t>person-years</w:t>
      </w:r>
      <w:r>
        <w:rPr>
          <w:spacing w:val="-2"/>
        </w:rPr>
        <w:t xml:space="preserve"> </w:t>
      </w:r>
      <w:r>
        <w:t xml:space="preserve">in </w:t>
      </w:r>
      <w:r>
        <w:rPr>
          <w:spacing w:val="-1"/>
        </w:rPr>
        <w:t>patients</w:t>
      </w:r>
      <w:r>
        <w:t xml:space="preserve"> </w:t>
      </w:r>
      <w:r>
        <w:rPr>
          <w:spacing w:val="-1"/>
        </w:rPr>
        <w:t>receiving</w:t>
      </w:r>
      <w:r>
        <w:rPr>
          <w:spacing w:val="-3"/>
        </w:rPr>
        <w:t xml:space="preserve"> </w:t>
      </w:r>
      <w:r>
        <w:rPr>
          <w:spacing w:val="-1"/>
        </w:rPr>
        <w:t>placebo/rituximab</w:t>
      </w:r>
      <w:r>
        <w:rPr>
          <w:spacing w:val="77"/>
        </w:rPr>
        <w:t xml:space="preserve"> </w:t>
      </w:r>
      <w:r>
        <w:rPr>
          <w:spacing w:val="-1"/>
        </w:rPr>
        <w:t>with</w:t>
      </w:r>
      <w:r>
        <w:t xml:space="preserve"> a </w:t>
      </w:r>
      <w:r>
        <w:rPr>
          <w:spacing w:val="-1"/>
        </w:rPr>
        <w:t>median</w:t>
      </w:r>
      <w:r>
        <w:t xml:space="preserve"> </w:t>
      </w:r>
      <w:r>
        <w:rPr>
          <w:spacing w:val="-1"/>
        </w:rPr>
        <w:t>follow-up</w:t>
      </w:r>
      <w:r>
        <w:t xml:space="preserve"> of</w:t>
      </w:r>
      <w:r>
        <w:rPr>
          <w:spacing w:val="1"/>
        </w:rPr>
        <w:t xml:space="preserve"> </w:t>
      </w:r>
      <w:r>
        <w:t xml:space="preserve">30.59 </w:t>
      </w:r>
      <w:r>
        <w:rPr>
          <w:spacing w:val="-1"/>
        </w:rPr>
        <w:t>months</w:t>
      </w:r>
      <w:r>
        <w:rPr>
          <w:spacing w:val="1"/>
        </w:rPr>
        <w:t xml:space="preserve"> </w:t>
      </w:r>
      <w:r>
        <w:rPr>
          <w:spacing w:val="-1"/>
        </w:rPr>
        <w:t>(range</w:t>
      </w:r>
      <w:r>
        <w:t xml:space="preserve"> 0.6</w:t>
      </w:r>
      <w:r>
        <w:rPr>
          <w:spacing w:val="-3"/>
        </w:rPr>
        <w:t xml:space="preserve"> </w:t>
      </w:r>
      <w:r>
        <w:t>to</w:t>
      </w:r>
      <w:r>
        <w:rPr>
          <w:spacing w:val="-2"/>
        </w:rPr>
        <w:t xml:space="preserve"> </w:t>
      </w:r>
      <w:r>
        <w:t xml:space="preserve">50.9 </w:t>
      </w:r>
      <w:r>
        <w:rPr>
          <w:spacing w:val="-1"/>
        </w:rPr>
        <w:t>months).</w:t>
      </w:r>
    </w:p>
    <w:p w:rsidR="00571C30" w:rsidRDefault="00571C30" w:rsidP="00571C30">
      <w:pPr>
        <w:rPr>
          <w:rFonts w:eastAsia="Times New Roman"/>
        </w:rPr>
      </w:pPr>
    </w:p>
    <w:p w:rsidR="00571C30" w:rsidRDefault="00571C30" w:rsidP="00571C30">
      <w:pPr>
        <w:pStyle w:val="BodyText"/>
        <w:ind w:right="133"/>
      </w:pPr>
      <w:r>
        <w:rPr>
          <w:spacing w:val="-1"/>
        </w:rPr>
        <w:t>Non-melanoma</w:t>
      </w:r>
      <w:r>
        <w:t xml:space="preserve"> </w:t>
      </w:r>
      <w:r>
        <w:rPr>
          <w:spacing w:val="-1"/>
        </w:rPr>
        <w:t>skin</w:t>
      </w:r>
      <w:r>
        <w:t xml:space="preserve"> </w:t>
      </w:r>
      <w:r>
        <w:rPr>
          <w:spacing w:val="-1"/>
        </w:rPr>
        <w:t>cancers</w:t>
      </w:r>
      <w:r>
        <w:t xml:space="preserve"> are</w:t>
      </w:r>
      <w:r>
        <w:rPr>
          <w:spacing w:val="-2"/>
        </w:rPr>
        <w:t xml:space="preserve"> </w:t>
      </w:r>
      <w:r>
        <w:rPr>
          <w:spacing w:val="-1"/>
        </w:rPr>
        <w:t>identified</w:t>
      </w:r>
      <w:r>
        <w:rPr>
          <w:spacing w:val="-2"/>
        </w:rPr>
        <w:t xml:space="preserve"> </w:t>
      </w:r>
      <w:r>
        <w:rPr>
          <w:spacing w:val="-1"/>
        </w:rPr>
        <w:t>risks</w:t>
      </w:r>
      <w:r>
        <w:t xml:space="preserve"> and </w:t>
      </w:r>
      <w:r>
        <w:rPr>
          <w:spacing w:val="-1"/>
        </w:rPr>
        <w:t>comprise</w:t>
      </w:r>
      <w:r>
        <w:t xml:space="preserve"> </w:t>
      </w:r>
      <w:r>
        <w:rPr>
          <w:spacing w:val="-1"/>
        </w:rPr>
        <w:t>squamous</w:t>
      </w:r>
      <w:r>
        <w:t xml:space="preserve"> </w:t>
      </w:r>
      <w:r>
        <w:rPr>
          <w:spacing w:val="-1"/>
        </w:rPr>
        <w:t>cell</w:t>
      </w:r>
      <w:r>
        <w:rPr>
          <w:spacing w:val="1"/>
        </w:rPr>
        <w:t xml:space="preserve"> </w:t>
      </w:r>
      <w:r>
        <w:rPr>
          <w:spacing w:val="-1"/>
        </w:rPr>
        <w:t>carcinomas</w:t>
      </w:r>
      <w:r>
        <w:rPr>
          <w:spacing w:val="1"/>
        </w:rPr>
        <w:t xml:space="preserve"> </w:t>
      </w:r>
      <w:r>
        <w:t>of</w:t>
      </w:r>
      <w:r>
        <w:rPr>
          <w:spacing w:val="1"/>
        </w:rPr>
        <w:t xml:space="preserve"> </w:t>
      </w:r>
      <w:r>
        <w:rPr>
          <w:spacing w:val="-1"/>
        </w:rPr>
        <w:t>skin</w:t>
      </w:r>
      <w:r>
        <w:t xml:space="preserve"> or</w:t>
      </w:r>
      <w:r>
        <w:rPr>
          <w:spacing w:val="-1"/>
        </w:rPr>
        <w:t xml:space="preserve"> basal</w:t>
      </w:r>
      <w:r>
        <w:rPr>
          <w:spacing w:val="1"/>
        </w:rPr>
        <w:t xml:space="preserve"> </w:t>
      </w:r>
      <w:r>
        <w:rPr>
          <w:spacing w:val="-2"/>
        </w:rPr>
        <w:t>cell</w:t>
      </w:r>
      <w:r>
        <w:rPr>
          <w:spacing w:val="61"/>
        </w:rPr>
        <w:t xml:space="preserve"> </w:t>
      </w:r>
      <w:r>
        <w:rPr>
          <w:spacing w:val="-1"/>
        </w:rPr>
        <w:t>carcinomas.</w:t>
      </w:r>
    </w:p>
    <w:p w:rsidR="00571C30" w:rsidRDefault="00571C30" w:rsidP="00571C30">
      <w:pPr>
        <w:rPr>
          <w:rFonts w:eastAsia="Times New Roman"/>
        </w:rPr>
      </w:pPr>
    </w:p>
    <w:p w:rsidR="003B743C" w:rsidRDefault="00571C30" w:rsidP="004560FA">
      <w:pPr>
        <w:pStyle w:val="BodyText"/>
        <w:ind w:right="133"/>
      </w:pPr>
      <w:r>
        <w:rPr>
          <w:spacing w:val="-1"/>
        </w:rPr>
        <w:t>Physicians</w:t>
      </w:r>
      <w:r>
        <w:t xml:space="preserve"> </w:t>
      </w:r>
      <w:r>
        <w:rPr>
          <w:spacing w:val="-1"/>
        </w:rPr>
        <w:t>should</w:t>
      </w:r>
      <w:r>
        <w:rPr>
          <w:spacing w:val="-2"/>
        </w:rPr>
        <w:t xml:space="preserve"> </w:t>
      </w:r>
      <w:r>
        <w:rPr>
          <w:spacing w:val="-1"/>
        </w:rPr>
        <w:t>monitor patients</w:t>
      </w:r>
      <w:r>
        <w:t xml:space="preserve"> </w:t>
      </w:r>
      <w:r>
        <w:rPr>
          <w:spacing w:val="-1"/>
        </w:rPr>
        <w:t>for</w:t>
      </w:r>
      <w:r>
        <w:rPr>
          <w:spacing w:val="-2"/>
        </w:rPr>
        <w:t xml:space="preserve"> </w:t>
      </w:r>
      <w:r>
        <w:t xml:space="preserve">the </w:t>
      </w:r>
      <w:r>
        <w:rPr>
          <w:spacing w:val="-1"/>
        </w:rPr>
        <w:t>development</w:t>
      </w:r>
      <w:r>
        <w:rPr>
          <w:spacing w:val="1"/>
        </w:rPr>
        <w:t xml:space="preserve"> </w:t>
      </w:r>
      <w:r>
        <w:t>of</w:t>
      </w:r>
      <w:r>
        <w:rPr>
          <w:spacing w:val="1"/>
        </w:rPr>
        <w:t xml:space="preserve"> </w:t>
      </w:r>
      <w:r>
        <w:rPr>
          <w:spacing w:val="-1"/>
        </w:rPr>
        <w:t>SPMs.</w:t>
      </w:r>
      <w:r>
        <w:t xml:space="preserve"> </w:t>
      </w:r>
      <w:r>
        <w:rPr>
          <w:spacing w:val="-1"/>
        </w:rPr>
        <w:t>Both</w:t>
      </w:r>
      <w:r>
        <w:rPr>
          <w:spacing w:val="-2"/>
        </w:rPr>
        <w:t xml:space="preserve"> </w:t>
      </w:r>
      <w:r>
        <w:t xml:space="preserve">the </w:t>
      </w:r>
      <w:r>
        <w:rPr>
          <w:spacing w:val="-1"/>
        </w:rPr>
        <w:t>potential</w:t>
      </w:r>
      <w:r>
        <w:rPr>
          <w:spacing w:val="1"/>
        </w:rPr>
        <w:t xml:space="preserve"> </w:t>
      </w:r>
      <w:r>
        <w:rPr>
          <w:spacing w:val="-1"/>
        </w:rPr>
        <w:t>benefit</w:t>
      </w:r>
      <w:r>
        <w:rPr>
          <w:spacing w:val="-2"/>
        </w:rPr>
        <w:t xml:space="preserve"> </w:t>
      </w:r>
      <w:r>
        <w:t>of</w:t>
      </w:r>
      <w:r>
        <w:rPr>
          <w:spacing w:val="-2"/>
        </w:rPr>
        <w:t xml:space="preserve"> </w:t>
      </w:r>
      <w:r>
        <w:rPr>
          <w:spacing w:val="-1"/>
        </w:rPr>
        <w:t>lenalidomide</w:t>
      </w:r>
      <w:r>
        <w:rPr>
          <w:spacing w:val="69"/>
        </w:rPr>
        <w:t xml:space="preserve"> </w:t>
      </w:r>
      <w:r>
        <w:t xml:space="preserve">and </w:t>
      </w:r>
      <w:r>
        <w:rPr>
          <w:spacing w:val="-1"/>
        </w:rPr>
        <w:t>the</w:t>
      </w:r>
      <w:r>
        <w:t xml:space="preserve"> </w:t>
      </w:r>
      <w:r>
        <w:rPr>
          <w:spacing w:val="-1"/>
        </w:rPr>
        <w:t>risk</w:t>
      </w:r>
      <w:r>
        <w:rPr>
          <w:spacing w:val="-2"/>
        </w:rPr>
        <w:t xml:space="preserve"> </w:t>
      </w:r>
      <w:r>
        <w:t>of</w:t>
      </w:r>
      <w:r>
        <w:rPr>
          <w:spacing w:val="1"/>
        </w:rPr>
        <w:t xml:space="preserve"> </w:t>
      </w:r>
      <w:r>
        <w:rPr>
          <w:spacing w:val="-1"/>
        </w:rPr>
        <w:t>SPMs</w:t>
      </w:r>
      <w:r>
        <w:t xml:space="preserve"> </w:t>
      </w:r>
      <w:r>
        <w:rPr>
          <w:spacing w:val="-1"/>
        </w:rPr>
        <w:t>should</w:t>
      </w:r>
      <w:r>
        <w:t xml:space="preserve"> be </w:t>
      </w:r>
      <w:r>
        <w:rPr>
          <w:spacing w:val="-1"/>
        </w:rPr>
        <w:t>considered</w:t>
      </w:r>
      <w:r>
        <w:t xml:space="preserve"> </w:t>
      </w:r>
      <w:r>
        <w:rPr>
          <w:spacing w:val="-1"/>
        </w:rPr>
        <w:t>when</w:t>
      </w:r>
      <w:r>
        <w:rPr>
          <w:spacing w:val="-3"/>
        </w:rPr>
        <w:t xml:space="preserve"> </w:t>
      </w:r>
      <w:r>
        <w:rPr>
          <w:spacing w:val="-1"/>
        </w:rPr>
        <w:t>considering</w:t>
      </w:r>
      <w:r>
        <w:rPr>
          <w:spacing w:val="-2"/>
        </w:rPr>
        <w:t xml:space="preserve"> </w:t>
      </w:r>
      <w:r>
        <w:rPr>
          <w:spacing w:val="-1"/>
        </w:rPr>
        <w:t>treatment</w:t>
      </w:r>
      <w:r>
        <w:rPr>
          <w:spacing w:val="1"/>
        </w:rPr>
        <w:t xml:space="preserve"> </w:t>
      </w:r>
      <w:r>
        <w:rPr>
          <w:spacing w:val="-1"/>
        </w:rPr>
        <w:t>with</w:t>
      </w:r>
      <w:r>
        <w:t xml:space="preserve"> </w:t>
      </w:r>
      <w:r>
        <w:rPr>
          <w:spacing w:val="-1"/>
        </w:rPr>
        <w:t>lenalidomide.</w:t>
      </w:r>
    </w:p>
    <w:p w:rsidR="00DA1CF4" w:rsidRDefault="00DA1CF4" w:rsidP="00DA1CF4">
      <w:pPr>
        <w:ind w:right="20"/>
      </w:pPr>
    </w:p>
    <w:p w:rsidR="000C50BB" w:rsidRPr="004273C8" w:rsidRDefault="000C50BB" w:rsidP="00AB7A9E">
      <w:pPr>
        <w:rPr>
          <w:rFonts w:eastAsia="Times New Roman"/>
          <w:i/>
          <w:iCs/>
          <w:u w:val="single"/>
        </w:rPr>
      </w:pPr>
      <w:r w:rsidRPr="004273C8">
        <w:rPr>
          <w:rFonts w:eastAsia="Times New Roman"/>
          <w:i/>
          <w:iCs/>
          <w:u w:val="single"/>
        </w:rPr>
        <w:t>Hepatic disorders</w:t>
      </w:r>
    </w:p>
    <w:p w:rsidR="000C50BB" w:rsidRDefault="000C50BB" w:rsidP="00AB7A9E">
      <w:pPr>
        <w:jc w:val="both"/>
      </w:pPr>
      <w:r w:rsidRPr="00746107">
        <w:rPr>
          <w:rFonts w:eastAsia="Times New Roman"/>
        </w:rPr>
        <w:t>Hepatic failure, including fatal cases, has been reported in patients treated with lenalidomide in combination therapy: acute hepatic failure, toxic hepatitis, cytolytic hepatitis, cholestatic hepatitis, and mixed cytolytic/cholestatic hepatitis have been reported. The mechanisms of severe drug-induced hepatotoxicity remain unknown although, in some cases, pre-existing viral liver disease, elevated baseline liver enzymes, and possibly treatment with antibiotics might be risk factors.</w:t>
      </w:r>
    </w:p>
    <w:p w:rsidR="000C50BB" w:rsidRDefault="000C50BB" w:rsidP="00AB7A9E"/>
    <w:p w:rsidR="000C50BB" w:rsidRDefault="000C50BB" w:rsidP="00AB7A9E">
      <w:pPr>
        <w:jc w:val="both"/>
      </w:pPr>
      <w:r w:rsidRPr="00746107">
        <w:rPr>
          <w:rFonts w:eastAsia="Times New Roman"/>
        </w:rPr>
        <w:t>Abnormal liver function tests were commonly reported and were generally asymptomatic and reversible upon dosing interruption. Once parameters have returned to baseline, treatment at a lower dose may be considered.</w:t>
      </w:r>
    </w:p>
    <w:p w:rsidR="000C50BB" w:rsidRDefault="000C50BB" w:rsidP="00AB7A9E"/>
    <w:p w:rsidR="000C50BB" w:rsidRDefault="000C50BB" w:rsidP="00AB7A9E">
      <w:pPr>
        <w:ind w:right="480"/>
      </w:pPr>
      <w:r w:rsidRPr="00746107">
        <w:rPr>
          <w:rFonts w:eastAsia="Times New Roman"/>
        </w:rPr>
        <w:t>Lenalidomide is excreted by the kidneys. It is important to dose adjust patients with renal impairment in order to avoid plasma levels which may increase the risk for higher haematological adverse reactions or hepatotoxicity. Monitoring of liver function is recommended, particularly when there is a history of or concurrent viral liver infection or when lenalidomide is combined with medicinal products known to be associated with liver dysfunction.</w:t>
      </w:r>
    </w:p>
    <w:p w:rsidR="00506994" w:rsidRDefault="00506994" w:rsidP="00AB7A9E"/>
    <w:p w:rsidR="00506994" w:rsidRPr="004273C8" w:rsidRDefault="00506994" w:rsidP="00AB7A9E">
      <w:pPr>
        <w:rPr>
          <w:rFonts w:eastAsia="Times New Roman"/>
          <w:i/>
          <w:u w:val="single"/>
        </w:rPr>
      </w:pPr>
      <w:r w:rsidRPr="004273C8">
        <w:rPr>
          <w:i/>
          <w:spacing w:val="-1"/>
          <w:u w:val="single"/>
        </w:rPr>
        <w:t>Infection</w:t>
      </w:r>
      <w:r w:rsidRPr="004273C8">
        <w:rPr>
          <w:i/>
          <w:u w:val="single"/>
        </w:rPr>
        <w:t xml:space="preserve"> </w:t>
      </w:r>
      <w:r w:rsidRPr="004273C8">
        <w:rPr>
          <w:i/>
          <w:spacing w:val="-1"/>
          <w:u w:val="single"/>
        </w:rPr>
        <w:t>with</w:t>
      </w:r>
      <w:r w:rsidRPr="004273C8">
        <w:rPr>
          <w:i/>
          <w:spacing w:val="-3"/>
          <w:u w:val="single"/>
        </w:rPr>
        <w:t xml:space="preserve"> </w:t>
      </w:r>
      <w:r w:rsidRPr="004273C8">
        <w:rPr>
          <w:i/>
          <w:u w:val="single"/>
        </w:rPr>
        <w:t>or</w:t>
      </w:r>
      <w:r w:rsidRPr="004273C8">
        <w:rPr>
          <w:i/>
          <w:spacing w:val="1"/>
          <w:u w:val="single"/>
        </w:rPr>
        <w:t xml:space="preserve"> </w:t>
      </w:r>
      <w:r w:rsidRPr="004273C8">
        <w:rPr>
          <w:i/>
          <w:spacing w:val="-1"/>
          <w:u w:val="single"/>
        </w:rPr>
        <w:t>without</w:t>
      </w:r>
      <w:r w:rsidRPr="004273C8">
        <w:rPr>
          <w:i/>
          <w:spacing w:val="1"/>
          <w:u w:val="single"/>
        </w:rPr>
        <w:t xml:space="preserve"> </w:t>
      </w:r>
      <w:r w:rsidRPr="004273C8">
        <w:rPr>
          <w:i/>
          <w:spacing w:val="-1"/>
          <w:u w:val="single"/>
        </w:rPr>
        <w:t>neutropenia</w:t>
      </w:r>
    </w:p>
    <w:p w:rsidR="00506994" w:rsidRDefault="00506994" w:rsidP="00AB7A9E">
      <w:r>
        <w:rPr>
          <w:spacing w:val="-1"/>
        </w:rPr>
        <w:t>Patients</w:t>
      </w:r>
      <w:r>
        <w:t xml:space="preserve"> </w:t>
      </w:r>
      <w:r>
        <w:rPr>
          <w:spacing w:val="-1"/>
        </w:rPr>
        <w:t>with</w:t>
      </w:r>
      <w:r>
        <w:t xml:space="preserve"> </w:t>
      </w:r>
      <w:r>
        <w:rPr>
          <w:spacing w:val="-1"/>
        </w:rPr>
        <w:t>multiple</w:t>
      </w:r>
      <w:r>
        <w:t xml:space="preserve"> </w:t>
      </w:r>
      <w:r>
        <w:rPr>
          <w:spacing w:val="-2"/>
        </w:rPr>
        <w:t>myeloma</w:t>
      </w:r>
      <w:r>
        <w:t xml:space="preserve"> are </w:t>
      </w:r>
      <w:r>
        <w:rPr>
          <w:spacing w:val="-1"/>
        </w:rPr>
        <w:t>prone</w:t>
      </w:r>
      <w:r>
        <w:t xml:space="preserve"> to</w:t>
      </w:r>
      <w:r>
        <w:rPr>
          <w:spacing w:val="-3"/>
        </w:rPr>
        <w:t xml:space="preserve"> </w:t>
      </w:r>
      <w:r>
        <w:rPr>
          <w:spacing w:val="-1"/>
        </w:rPr>
        <w:t>develop</w:t>
      </w:r>
      <w:r>
        <w:rPr>
          <w:spacing w:val="-3"/>
        </w:rPr>
        <w:t xml:space="preserve"> </w:t>
      </w:r>
      <w:r>
        <w:rPr>
          <w:spacing w:val="-1"/>
        </w:rPr>
        <w:t>infections</w:t>
      </w:r>
      <w:r>
        <w:rPr>
          <w:spacing w:val="-2"/>
        </w:rPr>
        <w:t xml:space="preserve"> </w:t>
      </w:r>
      <w:r>
        <w:rPr>
          <w:spacing w:val="-1"/>
        </w:rPr>
        <w:t>including</w:t>
      </w:r>
      <w:r>
        <w:rPr>
          <w:spacing w:val="-2"/>
        </w:rPr>
        <w:t xml:space="preserve"> </w:t>
      </w:r>
      <w:r>
        <w:rPr>
          <w:spacing w:val="-1"/>
        </w:rPr>
        <w:t>pneumonia.</w:t>
      </w:r>
      <w:r>
        <w:t xml:space="preserve"> A</w:t>
      </w:r>
      <w:r>
        <w:rPr>
          <w:spacing w:val="-1"/>
        </w:rPr>
        <w:t xml:space="preserve"> higher</w:t>
      </w:r>
      <w:r>
        <w:rPr>
          <w:spacing w:val="1"/>
        </w:rPr>
        <w:t xml:space="preserve"> </w:t>
      </w:r>
      <w:r>
        <w:rPr>
          <w:spacing w:val="-1"/>
        </w:rPr>
        <w:t>rate</w:t>
      </w:r>
      <w:r>
        <w:t xml:space="preserve"> of</w:t>
      </w:r>
      <w:r>
        <w:rPr>
          <w:spacing w:val="73"/>
        </w:rPr>
        <w:t xml:space="preserve"> </w:t>
      </w:r>
      <w:r>
        <w:rPr>
          <w:spacing w:val="-1"/>
        </w:rPr>
        <w:t>infections</w:t>
      </w:r>
      <w:r>
        <w:rPr>
          <w:spacing w:val="-2"/>
        </w:rPr>
        <w:t xml:space="preserve"> </w:t>
      </w:r>
      <w:r>
        <w:rPr>
          <w:spacing w:val="-1"/>
        </w:rPr>
        <w:t>was</w:t>
      </w:r>
      <w:r>
        <w:t xml:space="preserve"> </w:t>
      </w:r>
      <w:r>
        <w:rPr>
          <w:spacing w:val="-1"/>
        </w:rPr>
        <w:t>observed</w:t>
      </w:r>
      <w:r>
        <w:t xml:space="preserve"> </w:t>
      </w:r>
      <w:r>
        <w:rPr>
          <w:spacing w:val="-1"/>
        </w:rPr>
        <w:t>with</w:t>
      </w:r>
      <w:r>
        <w:t xml:space="preserve"> </w:t>
      </w:r>
      <w:r>
        <w:rPr>
          <w:spacing w:val="-1"/>
        </w:rPr>
        <w:t>lenalidomide</w:t>
      </w:r>
      <w:r>
        <w:t xml:space="preserve"> in</w:t>
      </w:r>
      <w:r>
        <w:rPr>
          <w:spacing w:val="-3"/>
        </w:rPr>
        <w:t xml:space="preserve"> </w:t>
      </w:r>
      <w:r>
        <w:rPr>
          <w:spacing w:val="-1"/>
        </w:rPr>
        <w:t>combination</w:t>
      </w:r>
      <w:r>
        <w:t xml:space="preserve"> </w:t>
      </w:r>
      <w:r>
        <w:rPr>
          <w:spacing w:val="-1"/>
        </w:rPr>
        <w:t>with</w:t>
      </w:r>
      <w:r>
        <w:t xml:space="preserve"> </w:t>
      </w:r>
      <w:r>
        <w:rPr>
          <w:spacing w:val="-1"/>
        </w:rPr>
        <w:t>dexamethasone</w:t>
      </w:r>
      <w:r>
        <w:rPr>
          <w:spacing w:val="-2"/>
        </w:rPr>
        <w:t xml:space="preserve"> </w:t>
      </w:r>
      <w:r>
        <w:rPr>
          <w:spacing w:val="-1"/>
        </w:rPr>
        <w:t>than</w:t>
      </w:r>
      <w:r>
        <w:t xml:space="preserve"> </w:t>
      </w:r>
      <w:r>
        <w:rPr>
          <w:spacing w:val="-1"/>
        </w:rPr>
        <w:t>with</w:t>
      </w:r>
      <w:r>
        <w:t xml:space="preserve"> </w:t>
      </w:r>
      <w:r>
        <w:rPr>
          <w:spacing w:val="-1"/>
        </w:rPr>
        <w:t xml:space="preserve">MPT </w:t>
      </w:r>
      <w:r w:rsidRPr="00CA7797">
        <w:rPr>
          <w:spacing w:val="-1"/>
        </w:rPr>
        <w:t>in patients with NDMM who are not eligible for transplant, and with lenalidomide maintenance compared to placebo in patients with NDMM who had undergone ASCT.</w:t>
      </w:r>
      <w:r>
        <w:t xml:space="preserve"> </w:t>
      </w:r>
      <w:r>
        <w:rPr>
          <w:spacing w:val="-1"/>
        </w:rPr>
        <w:t>Grade</w:t>
      </w:r>
      <w:r>
        <w:rPr>
          <w:spacing w:val="-2"/>
        </w:rPr>
        <w:t xml:space="preserve"> </w:t>
      </w:r>
      <w:r>
        <w:t>≥</w:t>
      </w:r>
      <w:r>
        <w:rPr>
          <w:spacing w:val="1"/>
        </w:rPr>
        <w:t xml:space="preserve"> </w:t>
      </w:r>
      <w:r>
        <w:t>3</w:t>
      </w:r>
      <w:r>
        <w:rPr>
          <w:spacing w:val="73"/>
        </w:rPr>
        <w:t xml:space="preserve"> </w:t>
      </w:r>
      <w:r>
        <w:rPr>
          <w:spacing w:val="-1"/>
        </w:rPr>
        <w:t>infections</w:t>
      </w:r>
      <w:r>
        <w:rPr>
          <w:spacing w:val="-2"/>
        </w:rPr>
        <w:t xml:space="preserve"> </w:t>
      </w:r>
      <w:r>
        <w:rPr>
          <w:spacing w:val="-1"/>
        </w:rPr>
        <w:t>occurred</w:t>
      </w:r>
      <w:r>
        <w:t xml:space="preserve"> </w:t>
      </w:r>
      <w:r>
        <w:rPr>
          <w:spacing w:val="-1"/>
        </w:rPr>
        <w:t>within</w:t>
      </w:r>
      <w:r>
        <w:t xml:space="preserve"> </w:t>
      </w:r>
      <w:r>
        <w:rPr>
          <w:spacing w:val="-1"/>
        </w:rPr>
        <w:t>the</w:t>
      </w:r>
      <w:r>
        <w:t xml:space="preserve"> </w:t>
      </w:r>
      <w:r>
        <w:rPr>
          <w:spacing w:val="-1"/>
        </w:rPr>
        <w:t>context</w:t>
      </w:r>
      <w:r>
        <w:rPr>
          <w:spacing w:val="1"/>
        </w:rPr>
        <w:t xml:space="preserve"> </w:t>
      </w:r>
      <w:r>
        <w:t>of</w:t>
      </w:r>
      <w:r>
        <w:rPr>
          <w:spacing w:val="-2"/>
        </w:rPr>
        <w:t xml:space="preserve"> </w:t>
      </w:r>
      <w:r>
        <w:rPr>
          <w:spacing w:val="-1"/>
        </w:rPr>
        <w:t>neutropenia</w:t>
      </w:r>
      <w:r>
        <w:t xml:space="preserve"> </w:t>
      </w:r>
      <w:r>
        <w:rPr>
          <w:spacing w:val="-1"/>
        </w:rPr>
        <w:t>in</w:t>
      </w:r>
      <w:r>
        <w:t xml:space="preserve"> </w:t>
      </w:r>
      <w:r>
        <w:rPr>
          <w:spacing w:val="-1"/>
        </w:rPr>
        <w:t>less</w:t>
      </w:r>
      <w:r>
        <w:t xml:space="preserve"> </w:t>
      </w:r>
      <w:r>
        <w:rPr>
          <w:spacing w:val="-1"/>
        </w:rPr>
        <w:t>than</w:t>
      </w:r>
      <w:r>
        <w:t xml:space="preserve"> </w:t>
      </w:r>
      <w:r>
        <w:rPr>
          <w:spacing w:val="-1"/>
        </w:rPr>
        <w:t>one-third</w:t>
      </w:r>
      <w:r>
        <w:t xml:space="preserve"> </w:t>
      </w:r>
      <w:r>
        <w:rPr>
          <w:spacing w:val="-2"/>
        </w:rPr>
        <w:t>of</w:t>
      </w:r>
      <w:r>
        <w:rPr>
          <w:spacing w:val="1"/>
        </w:rPr>
        <w:t xml:space="preserve"> </w:t>
      </w:r>
      <w:r>
        <w:rPr>
          <w:spacing w:val="-1"/>
        </w:rPr>
        <w:t>the</w:t>
      </w:r>
      <w:r>
        <w:rPr>
          <w:spacing w:val="-2"/>
        </w:rPr>
        <w:t xml:space="preserve"> </w:t>
      </w:r>
      <w:r>
        <w:rPr>
          <w:spacing w:val="-1"/>
        </w:rPr>
        <w:t>patients.</w:t>
      </w:r>
      <w:r>
        <w:t xml:space="preserve"> </w:t>
      </w:r>
      <w:r>
        <w:rPr>
          <w:spacing w:val="-1"/>
        </w:rPr>
        <w:t>Patients</w:t>
      </w:r>
      <w:r>
        <w:t xml:space="preserve"> </w:t>
      </w:r>
      <w:r>
        <w:rPr>
          <w:spacing w:val="-1"/>
        </w:rPr>
        <w:t>with</w:t>
      </w:r>
      <w:r>
        <w:rPr>
          <w:spacing w:val="81"/>
        </w:rPr>
        <w:t xml:space="preserve"> </w:t>
      </w:r>
      <w:r>
        <w:rPr>
          <w:spacing w:val="-1"/>
        </w:rPr>
        <w:t>known</w:t>
      </w:r>
      <w:r>
        <w:t xml:space="preserve"> risk</w:t>
      </w:r>
      <w:r>
        <w:rPr>
          <w:spacing w:val="-2"/>
        </w:rPr>
        <w:t xml:space="preserve"> </w:t>
      </w:r>
      <w:r>
        <w:rPr>
          <w:spacing w:val="-1"/>
        </w:rPr>
        <w:t>factors</w:t>
      </w:r>
      <w:r>
        <w:t xml:space="preserve"> </w:t>
      </w:r>
      <w:r>
        <w:rPr>
          <w:spacing w:val="-1"/>
        </w:rPr>
        <w:t>for</w:t>
      </w:r>
      <w:r>
        <w:rPr>
          <w:spacing w:val="1"/>
        </w:rPr>
        <w:t xml:space="preserve"> </w:t>
      </w:r>
      <w:r>
        <w:rPr>
          <w:spacing w:val="-1"/>
        </w:rPr>
        <w:t>infections</w:t>
      </w:r>
      <w:r>
        <w:t xml:space="preserve"> </w:t>
      </w:r>
      <w:r>
        <w:rPr>
          <w:spacing w:val="-1"/>
        </w:rPr>
        <w:t>should</w:t>
      </w:r>
      <w:r>
        <w:rPr>
          <w:spacing w:val="-2"/>
        </w:rPr>
        <w:t xml:space="preserve"> </w:t>
      </w:r>
      <w:r>
        <w:t>be</w:t>
      </w:r>
      <w:r>
        <w:rPr>
          <w:spacing w:val="1"/>
        </w:rPr>
        <w:t xml:space="preserve"> </w:t>
      </w:r>
      <w:r>
        <w:rPr>
          <w:spacing w:val="-1"/>
        </w:rPr>
        <w:t>closely</w:t>
      </w:r>
      <w:r>
        <w:rPr>
          <w:spacing w:val="-2"/>
        </w:rPr>
        <w:t xml:space="preserve"> </w:t>
      </w:r>
      <w:r>
        <w:rPr>
          <w:spacing w:val="-1"/>
        </w:rPr>
        <w:t>monitored.</w:t>
      </w:r>
      <w:r>
        <w:t xml:space="preserve"> </w:t>
      </w:r>
      <w:r>
        <w:rPr>
          <w:spacing w:val="-1"/>
        </w:rPr>
        <w:t>All patients</w:t>
      </w:r>
      <w:r>
        <w:rPr>
          <w:spacing w:val="-2"/>
        </w:rPr>
        <w:t xml:space="preserve"> </w:t>
      </w:r>
      <w:r>
        <w:rPr>
          <w:spacing w:val="-1"/>
        </w:rPr>
        <w:t>should</w:t>
      </w:r>
      <w:r>
        <w:rPr>
          <w:spacing w:val="-2"/>
        </w:rPr>
        <w:t xml:space="preserve"> </w:t>
      </w:r>
      <w:r>
        <w:t xml:space="preserve">be </w:t>
      </w:r>
      <w:r>
        <w:rPr>
          <w:spacing w:val="-1"/>
        </w:rPr>
        <w:t>advised</w:t>
      </w:r>
      <w:r>
        <w:t xml:space="preserve"> to</w:t>
      </w:r>
      <w:r>
        <w:rPr>
          <w:spacing w:val="-2"/>
        </w:rPr>
        <w:t xml:space="preserve"> </w:t>
      </w:r>
      <w:r>
        <w:t>seek</w:t>
      </w:r>
      <w:r>
        <w:rPr>
          <w:spacing w:val="-3"/>
        </w:rPr>
        <w:t xml:space="preserve"> </w:t>
      </w:r>
      <w:r>
        <w:rPr>
          <w:spacing w:val="-1"/>
        </w:rPr>
        <w:t>medical</w:t>
      </w:r>
      <w:r>
        <w:rPr>
          <w:spacing w:val="77"/>
        </w:rPr>
        <w:t xml:space="preserve"> </w:t>
      </w:r>
      <w:r>
        <w:rPr>
          <w:spacing w:val="-1"/>
        </w:rPr>
        <w:t>attention</w:t>
      </w:r>
      <w:r>
        <w:t xml:space="preserve"> </w:t>
      </w:r>
      <w:r>
        <w:rPr>
          <w:spacing w:val="-1"/>
        </w:rPr>
        <w:t>promptly</w:t>
      </w:r>
      <w:r>
        <w:rPr>
          <w:spacing w:val="-3"/>
        </w:rPr>
        <w:t xml:space="preserve"> </w:t>
      </w:r>
      <w:r>
        <w:t>at</w:t>
      </w:r>
      <w:r>
        <w:rPr>
          <w:spacing w:val="-1"/>
        </w:rPr>
        <w:t xml:space="preserve"> </w:t>
      </w:r>
      <w:r>
        <w:t>the</w:t>
      </w:r>
      <w:r>
        <w:rPr>
          <w:spacing w:val="-2"/>
        </w:rPr>
        <w:t xml:space="preserve"> </w:t>
      </w:r>
      <w:r>
        <w:rPr>
          <w:spacing w:val="-1"/>
        </w:rPr>
        <w:t>first</w:t>
      </w:r>
      <w:r>
        <w:rPr>
          <w:spacing w:val="1"/>
        </w:rPr>
        <w:t xml:space="preserve"> </w:t>
      </w:r>
      <w:r>
        <w:rPr>
          <w:spacing w:val="-2"/>
        </w:rPr>
        <w:t>sign</w:t>
      </w:r>
      <w:r>
        <w:t xml:space="preserve"> of</w:t>
      </w:r>
      <w:r>
        <w:rPr>
          <w:spacing w:val="1"/>
        </w:rPr>
        <w:t xml:space="preserve"> </w:t>
      </w:r>
      <w:r>
        <w:rPr>
          <w:spacing w:val="-1"/>
        </w:rPr>
        <w:t>infection</w:t>
      </w:r>
      <w:r>
        <w:rPr>
          <w:spacing w:val="-2"/>
        </w:rPr>
        <w:t xml:space="preserve"> </w:t>
      </w:r>
      <w:r>
        <w:rPr>
          <w:spacing w:val="-1"/>
        </w:rPr>
        <w:t>(eg,</w:t>
      </w:r>
      <w:r>
        <w:t xml:space="preserve"> </w:t>
      </w:r>
      <w:r>
        <w:rPr>
          <w:spacing w:val="-1"/>
        </w:rPr>
        <w:t>cough,</w:t>
      </w:r>
      <w:r>
        <w:t xml:space="preserve"> </w:t>
      </w:r>
      <w:r>
        <w:rPr>
          <w:spacing w:val="-1"/>
        </w:rPr>
        <w:t>fever,</w:t>
      </w:r>
      <w:r>
        <w:t xml:space="preserve"> </w:t>
      </w:r>
      <w:r>
        <w:rPr>
          <w:spacing w:val="-1"/>
        </w:rPr>
        <w:t>etc)</w:t>
      </w:r>
      <w:r>
        <w:rPr>
          <w:spacing w:val="-2"/>
        </w:rPr>
        <w:t xml:space="preserve"> </w:t>
      </w:r>
      <w:r>
        <w:rPr>
          <w:spacing w:val="-1"/>
        </w:rPr>
        <w:t>thereby</w:t>
      </w:r>
      <w:r>
        <w:rPr>
          <w:spacing w:val="-2"/>
        </w:rPr>
        <w:t xml:space="preserve"> </w:t>
      </w:r>
      <w:r>
        <w:rPr>
          <w:spacing w:val="-1"/>
        </w:rPr>
        <w:t>allowing</w:t>
      </w:r>
      <w:r>
        <w:rPr>
          <w:spacing w:val="-3"/>
        </w:rPr>
        <w:t xml:space="preserve"> </w:t>
      </w:r>
      <w:r>
        <w:t>for</w:t>
      </w:r>
      <w:r>
        <w:rPr>
          <w:spacing w:val="1"/>
        </w:rPr>
        <w:t xml:space="preserve"> </w:t>
      </w:r>
      <w:r>
        <w:rPr>
          <w:spacing w:val="-1"/>
        </w:rPr>
        <w:t>early</w:t>
      </w:r>
      <w:r>
        <w:t xml:space="preserve"> </w:t>
      </w:r>
      <w:r>
        <w:rPr>
          <w:spacing w:val="-1"/>
        </w:rPr>
        <w:t>management</w:t>
      </w:r>
      <w:r>
        <w:rPr>
          <w:spacing w:val="85"/>
        </w:rPr>
        <w:t xml:space="preserve"> </w:t>
      </w:r>
      <w:r>
        <w:t xml:space="preserve">to </w:t>
      </w:r>
      <w:r>
        <w:rPr>
          <w:spacing w:val="-1"/>
        </w:rPr>
        <w:t>reduce</w:t>
      </w:r>
      <w:r>
        <w:t xml:space="preserve"> </w:t>
      </w:r>
      <w:r>
        <w:rPr>
          <w:spacing w:val="-1"/>
        </w:rPr>
        <w:t>severity.</w:t>
      </w:r>
    </w:p>
    <w:p w:rsidR="00571C30" w:rsidRDefault="00571C30" w:rsidP="00AB7A9E"/>
    <w:p w:rsidR="00571C30" w:rsidRPr="004273C8" w:rsidRDefault="00571C30" w:rsidP="00AB7A9E">
      <w:pPr>
        <w:rPr>
          <w:i/>
          <w:u w:val="single"/>
        </w:rPr>
      </w:pPr>
      <w:r w:rsidRPr="004273C8">
        <w:rPr>
          <w:i/>
          <w:u w:val="single"/>
        </w:rPr>
        <w:t>Viral reactivation</w:t>
      </w:r>
    </w:p>
    <w:p w:rsidR="00506994" w:rsidRDefault="00506994" w:rsidP="00AB7A9E">
      <w:r>
        <w:t>Cases of viral reactivation have been reported in patients receiving lenalidomide, including serious cases of herpes zoster or hepatitis B virus (HBV) reactivation.</w:t>
      </w:r>
    </w:p>
    <w:p w:rsidR="00506994" w:rsidRDefault="00506994" w:rsidP="00AB7A9E"/>
    <w:p w:rsidR="00506994" w:rsidRDefault="00506994" w:rsidP="00AB7A9E">
      <w:r>
        <w:t>Some of the cases of viral reactivation had a fatal outcome.</w:t>
      </w:r>
    </w:p>
    <w:p w:rsidR="00506994" w:rsidRDefault="00506994" w:rsidP="00AB7A9E"/>
    <w:p w:rsidR="00506994" w:rsidRDefault="00506994" w:rsidP="00AB7A9E">
      <w:r>
        <w:t>Some of the cases of herpes zoster reactivation resulted in disseminated herpes zoster, meningitis herpes zoster or ophthalmic herpes zoster requiring a temporary hold or permanent discontinuation of the treatment with lenalidomide and adequate antiviral treatment.</w:t>
      </w:r>
    </w:p>
    <w:p w:rsidR="00506994" w:rsidRDefault="00506994" w:rsidP="00AB7A9E"/>
    <w:p w:rsidR="00506994" w:rsidRDefault="00506994" w:rsidP="00AB7A9E">
      <w:r>
        <w:t>Reactivation of hepatitis B has been reported rarely in patients receiving lenalidomide who have previously been infected with the hepatitis B virus. Some of these cases have progressed to acute hepatic failure resulting in discontinuation of lenalidomide and adequate antiviral treatment. Hepatitis B virus status should be established before initiating treatment with lenalidomide. For patients who test positive for HBV infection, consultation with a physician with expertise in the treatment of hepatitis B is recommended.</w:t>
      </w:r>
    </w:p>
    <w:p w:rsidR="00506994" w:rsidRDefault="00506994" w:rsidP="00AB7A9E">
      <w:r>
        <w:t>Caution should be exercised when lenalidomide is used in patients previously infected with HBV, including patients who are anti-HBc positive but HBsAg negative. These patients should be closely monitored for signs and symptoms of active HBV infection throughout therapy.</w:t>
      </w:r>
    </w:p>
    <w:p w:rsidR="00497387" w:rsidRDefault="00497387" w:rsidP="00AB7A9E">
      <w:pPr>
        <w:ind w:right="280"/>
        <w:rPr>
          <w:rFonts w:eastAsia="Times New Roman"/>
        </w:rPr>
      </w:pPr>
    </w:p>
    <w:p w:rsidR="00497387" w:rsidRPr="004273C8" w:rsidRDefault="00F34136" w:rsidP="00AB7A9E">
      <w:pPr>
        <w:ind w:right="280"/>
        <w:rPr>
          <w:rFonts w:eastAsia="Times New Roman"/>
          <w:i/>
          <w:u w:val="single"/>
        </w:rPr>
      </w:pPr>
      <w:r w:rsidRPr="004273C8">
        <w:rPr>
          <w:rFonts w:eastAsia="Times New Roman"/>
          <w:i/>
          <w:u w:val="single"/>
        </w:rPr>
        <w:t>Progressive multifocal leukoencephalopathy</w:t>
      </w:r>
    </w:p>
    <w:p w:rsidR="00497387" w:rsidRDefault="00497387" w:rsidP="00497387">
      <w:pPr>
        <w:ind w:right="280"/>
      </w:pPr>
      <w:r>
        <w:t>Cases of progressive multifocal leukoencephalopathy (PML), including fatal cases, have been reported with lenalidomide. PML was reported several months to several years after starting the treatment with lenalidomide. Cases have generally been reported in patients taking concomitant dexamethasone or prior treatment with other immunosuppressive chemotherapy. Physicians should monitor patients at regular intervals and should consider PML in the differential diagnosis in patients with new or worsening neurological symptoms, cognitive or behavioural signs or symptoms. Patients should also be advised to inform their partner or caregivers about their treatment, since they may notice symptoms that the patient is not aware of.</w:t>
      </w:r>
    </w:p>
    <w:p w:rsidR="00497387" w:rsidRDefault="00497387" w:rsidP="00497387">
      <w:pPr>
        <w:ind w:right="280"/>
      </w:pPr>
      <w:r>
        <w:t>The evaluation for PML should be based on neurological examination, magnetic resonance imaging of the brain, and cerebrospinal fluid analysis for JC virus (JCV) DNA by polymerase chain reaction (PCR) or a brain biopsy with testing for JCV. A negative JCV PCR does not exclude PML. Additional follow-up and evaluation may be warranted if no alternative diagnosis can be established.</w:t>
      </w:r>
    </w:p>
    <w:p w:rsidR="00497387" w:rsidRDefault="00497387" w:rsidP="00497387">
      <w:pPr>
        <w:ind w:right="280"/>
      </w:pPr>
      <w:r>
        <w:t>If PML is suspected, further dosing must be suspended until PML has been excluded. If PML is confirmed, lenalidomide must be permanently discontinued.</w:t>
      </w:r>
    </w:p>
    <w:p w:rsidR="00AD3C2C" w:rsidRDefault="00AD3C2C" w:rsidP="00497387">
      <w:pPr>
        <w:ind w:right="280"/>
      </w:pPr>
    </w:p>
    <w:p w:rsidR="00AD3C2C" w:rsidRPr="004273C8" w:rsidRDefault="00AD3C2C" w:rsidP="004560FA">
      <w:pPr>
        <w:rPr>
          <w:u w:val="single"/>
        </w:rPr>
      </w:pPr>
      <w:r w:rsidRPr="004273C8">
        <w:rPr>
          <w:rFonts w:eastAsia="Times New Roman"/>
          <w:i/>
          <w:iCs/>
          <w:u w:val="single"/>
        </w:rPr>
        <w:t>Newly diagnosed multiple myeloma patients</w:t>
      </w:r>
    </w:p>
    <w:p w:rsidR="00AD3C2C" w:rsidRPr="00335062" w:rsidRDefault="00AD3C2C" w:rsidP="00AD3C2C">
      <w:pPr>
        <w:ind w:right="120"/>
      </w:pPr>
      <w:r w:rsidRPr="00335062">
        <w:rPr>
          <w:rFonts w:eastAsia="Times New Roman"/>
        </w:rPr>
        <w:t>There was a higher rate of intolerance (grade 3 or 4 adverse events, serious adverse events, discontinuation) in patients with age &gt; 75 years, ISS stage III, ECOG PS</w:t>
      </w:r>
      <w:r w:rsidR="00DC3D17" w:rsidRPr="00E802D0">
        <w:rPr>
          <w:rFonts w:eastAsia="Times New Roman"/>
        </w:rPr>
        <w:t>≥</w:t>
      </w:r>
      <w:r w:rsidRPr="00335062">
        <w:rPr>
          <w:rFonts w:eastAsia="Times New Roman"/>
        </w:rPr>
        <w:t>2 or CLcr&lt;60 mL/min when lenalidomide is given in combination. Patients should be carefully assessed for their ability to tolerate lenalidomide in combination, with consideration to age, ISS stage III, ECOG PS</w:t>
      </w:r>
      <w:r w:rsidR="00DC3D17" w:rsidRPr="00E802D0">
        <w:rPr>
          <w:rFonts w:eastAsia="Times New Roman"/>
        </w:rPr>
        <w:t>≥</w:t>
      </w:r>
      <w:r w:rsidRPr="00335062">
        <w:rPr>
          <w:rFonts w:eastAsia="Times New Roman"/>
        </w:rPr>
        <w:t>2 or CLcr&lt;60 mL/min (see section</w:t>
      </w:r>
      <w:r w:rsidR="00745A94">
        <w:rPr>
          <w:rFonts w:eastAsia="Times New Roman"/>
        </w:rPr>
        <w:t>s</w:t>
      </w:r>
      <w:r w:rsidRPr="00335062">
        <w:rPr>
          <w:rFonts w:eastAsia="Times New Roman"/>
        </w:rPr>
        <w:t xml:space="preserve"> 4.2 and 4.8).</w:t>
      </w:r>
    </w:p>
    <w:p w:rsidR="00AD3C2C" w:rsidRPr="00335062" w:rsidRDefault="00AD3C2C" w:rsidP="00AD3C2C"/>
    <w:p w:rsidR="00AD3C2C" w:rsidRPr="004273C8" w:rsidRDefault="00AD3C2C" w:rsidP="00AD3C2C">
      <w:pPr>
        <w:rPr>
          <w:i/>
          <w:u w:val="single"/>
        </w:rPr>
      </w:pPr>
      <w:r w:rsidRPr="004273C8">
        <w:rPr>
          <w:rFonts w:eastAsia="Times New Roman"/>
          <w:i/>
          <w:u w:val="single"/>
        </w:rPr>
        <w:t>Cataract</w:t>
      </w:r>
    </w:p>
    <w:p w:rsidR="00AD3C2C" w:rsidRDefault="00AD3C2C" w:rsidP="00AD3C2C">
      <w:pPr>
        <w:ind w:right="280"/>
        <w:rPr>
          <w:rFonts w:eastAsia="Times New Roman"/>
        </w:rPr>
      </w:pPr>
      <w:r w:rsidRPr="00335062">
        <w:rPr>
          <w:rFonts w:eastAsia="Times New Roman"/>
        </w:rPr>
        <w:t>Cataract has been reported with a higher frequency in patients receiving lenalidomide in combination with dexamethasone particularly when used for a prolonged time. Regular monitoring of visual ability is recommended.</w:t>
      </w:r>
    </w:p>
    <w:p w:rsidR="00AD3C2C" w:rsidRDefault="00AD3C2C" w:rsidP="00497387">
      <w:pPr>
        <w:ind w:right="280"/>
      </w:pPr>
    </w:p>
    <w:p w:rsidR="001E627A" w:rsidRPr="00335062" w:rsidRDefault="001E627A" w:rsidP="00497387">
      <w:pPr>
        <w:ind w:right="280"/>
      </w:pPr>
      <w:r w:rsidRPr="00471005">
        <w:t>This medicine contains less than 1 mmol sodium (23 mg) per</w:t>
      </w:r>
      <w:r>
        <w:t xml:space="preserve"> capsule</w:t>
      </w:r>
      <w:r w:rsidRPr="00471005">
        <w:t>, that is to say essentially ‘sodium-free’</w:t>
      </w:r>
      <w:r w:rsidR="00BE67D7">
        <w:t>.</w:t>
      </w:r>
    </w:p>
    <w:p w:rsidR="00506994" w:rsidRPr="00335062" w:rsidRDefault="00506994" w:rsidP="00AB7A9E"/>
    <w:p w:rsidR="00506994" w:rsidRPr="00335062" w:rsidRDefault="00506994" w:rsidP="00AB7A9E">
      <w:pPr>
        <w:tabs>
          <w:tab w:val="left" w:pos="540"/>
        </w:tabs>
      </w:pPr>
      <w:r w:rsidRPr="00335062">
        <w:rPr>
          <w:rFonts w:eastAsia="Times New Roman"/>
          <w:b/>
          <w:bCs/>
        </w:rPr>
        <w:t>4.5</w:t>
      </w:r>
      <w:r w:rsidRPr="00335062">
        <w:rPr>
          <w:rFonts w:eastAsia="Times New Roman"/>
          <w:b/>
          <w:bCs/>
        </w:rPr>
        <w:tab/>
        <w:t>Interaction with other medicinal products and other forms of interaction</w:t>
      </w:r>
    </w:p>
    <w:p w:rsidR="00506994" w:rsidRPr="00335062" w:rsidRDefault="00506994" w:rsidP="00AB7A9E"/>
    <w:p w:rsidR="00506994" w:rsidRPr="00335062" w:rsidRDefault="00506994" w:rsidP="00AB7A9E">
      <w:pPr>
        <w:ind w:right="40"/>
      </w:pPr>
      <w:r w:rsidRPr="00335062">
        <w:rPr>
          <w:rFonts w:eastAsia="Times New Roman"/>
        </w:rPr>
        <w:t>Erythropoietic agents, or other agents that may increase the risk of thrombosis, such as hormone replacement therapy, should be used with caution in multiple myeloma patients receiving lenalidomide with dexamethasone (see sections 4.4 and 4.8).</w:t>
      </w:r>
    </w:p>
    <w:p w:rsidR="00506994" w:rsidRPr="00335062" w:rsidRDefault="00506994" w:rsidP="00AB7A9E"/>
    <w:p w:rsidR="00506994" w:rsidRPr="00335062" w:rsidRDefault="00506994" w:rsidP="00AB7A9E">
      <w:r w:rsidRPr="00335062">
        <w:rPr>
          <w:rFonts w:eastAsia="Times New Roman"/>
          <w:u w:val="single"/>
        </w:rPr>
        <w:t>Oral contraceptives</w:t>
      </w:r>
    </w:p>
    <w:p w:rsidR="00506994" w:rsidRPr="00335062" w:rsidRDefault="00506994" w:rsidP="00AB7A9E">
      <w:r w:rsidRPr="00335062">
        <w:rPr>
          <w:rFonts w:eastAsia="Times New Roman"/>
        </w:rPr>
        <w:t xml:space="preserve">No interaction study has been performed with oral contraceptives. Lenalidomide is not an enzyme inducer. In an </w:t>
      </w:r>
      <w:r w:rsidRPr="00335062">
        <w:rPr>
          <w:rFonts w:eastAsia="Times New Roman"/>
          <w:i/>
          <w:iCs/>
        </w:rPr>
        <w:t>in vitro</w:t>
      </w:r>
      <w:r w:rsidRPr="00335062">
        <w:rPr>
          <w:rFonts w:eastAsia="Times New Roman"/>
        </w:rPr>
        <w:t xml:space="preserve"> study with human hepatocytes, lenalidomide, at various concentrations tested did not induce CYP1A2, CYP2B6, CYP2C9, CYP2C19 and CYP3A4/5. Therefore, induction leading to reduced efficacy of medicinal products, including hormonal contraceptives, is not expected if lenalidomide is administered alone. However, dexamethasone is known to be a weak to moderate inducer of CYP3A4 and is likely to also affect other enzymes as well as transporters. It may not be excluded that the efficacy of oral contraceptives may be reduced during treatment. Effective measures to avoid pregnancy must be taken (see sections 4.4 and 4.6).</w:t>
      </w:r>
    </w:p>
    <w:p w:rsidR="00506994" w:rsidRPr="00335062" w:rsidRDefault="00506994" w:rsidP="00AB7A9E"/>
    <w:p w:rsidR="00506994" w:rsidRPr="00335062" w:rsidRDefault="00506994" w:rsidP="00AB7A9E">
      <w:r w:rsidRPr="00335062">
        <w:rPr>
          <w:rFonts w:eastAsia="Times New Roman"/>
          <w:u w:val="single"/>
        </w:rPr>
        <w:t>Warfarin</w:t>
      </w:r>
    </w:p>
    <w:p w:rsidR="00506994" w:rsidRPr="00335062" w:rsidRDefault="00506994" w:rsidP="00AB7A9E">
      <w:pPr>
        <w:ind w:right="140"/>
      </w:pPr>
      <w:r w:rsidRPr="00335062">
        <w:rPr>
          <w:rFonts w:eastAsia="Times New Roman"/>
        </w:rPr>
        <w:t xml:space="preserve">Co-administration of multiple </w:t>
      </w:r>
      <w:r w:rsidR="00C938ED">
        <w:rPr>
          <w:rFonts w:eastAsia="Times New Roman"/>
        </w:rPr>
        <w:t xml:space="preserve">10 mg </w:t>
      </w:r>
      <w:r w:rsidRPr="00335062">
        <w:rPr>
          <w:rFonts w:eastAsia="Times New Roman"/>
        </w:rPr>
        <w:t>doses</w:t>
      </w:r>
      <w:r w:rsidR="00AD3C2C">
        <w:rPr>
          <w:rFonts w:eastAsia="Times New Roman"/>
        </w:rPr>
        <w:t xml:space="preserve"> </w:t>
      </w:r>
      <w:r w:rsidRPr="00335062">
        <w:rPr>
          <w:rFonts w:eastAsia="Times New Roman"/>
        </w:rPr>
        <w:t>of lenalidomide had no effect on the single dose pharmacokinetics of R- and S- warfarin. Co-administration of a single 25 mg dose of warfarin had no effect on the pharmacokinetics of lenalidomide. However, it is not known whether there is an interaction during clinical use (concomitant treatment with dexamethasone). Dexamethasone is a weak to moderate enzyme inducer and its effect on warfarin is unknown. Close monitoring of warfarin concentration is advised during the treatment.</w:t>
      </w:r>
    </w:p>
    <w:p w:rsidR="00506994" w:rsidRPr="00335062" w:rsidRDefault="00506994" w:rsidP="00AB7A9E"/>
    <w:p w:rsidR="00506994" w:rsidRPr="00335062" w:rsidRDefault="00506994" w:rsidP="00AB7A9E">
      <w:r w:rsidRPr="00335062">
        <w:rPr>
          <w:rFonts w:eastAsia="Times New Roman"/>
          <w:u w:val="single"/>
        </w:rPr>
        <w:t>Digoxin</w:t>
      </w:r>
    </w:p>
    <w:p w:rsidR="00506994" w:rsidRPr="00335062" w:rsidRDefault="00506994" w:rsidP="00AB7A9E">
      <w:r w:rsidRPr="00335062">
        <w:rPr>
          <w:rFonts w:eastAsia="Times New Roman"/>
        </w:rPr>
        <w:t>Concomitant administration with lenalidomide 10 mg</w:t>
      </w:r>
      <w:r w:rsidR="00426F01">
        <w:rPr>
          <w:rFonts w:eastAsia="Times New Roman"/>
        </w:rPr>
        <w:t xml:space="preserve"> once daily</w:t>
      </w:r>
      <w:r w:rsidRPr="00335062">
        <w:rPr>
          <w:rFonts w:eastAsia="Times New Roman"/>
        </w:rPr>
        <w:t xml:space="preserve"> increased the plasma exposure of digoxin (0.5 mg, single dose) by 14% with a 90% CI (confidence interval) [0.52%-28.2%]. It is not known whether the effect will be different in the </w:t>
      </w:r>
      <w:r w:rsidR="00426F01">
        <w:rPr>
          <w:rFonts w:eastAsia="Times New Roman"/>
        </w:rPr>
        <w:t>clinical use</w:t>
      </w:r>
      <w:r w:rsidRPr="00335062">
        <w:rPr>
          <w:rFonts w:eastAsia="Times New Roman"/>
        </w:rPr>
        <w:t xml:space="preserve"> (higher lenalidomide doses and concomitant treatment with</w:t>
      </w:r>
      <w:r w:rsidR="00087A44">
        <w:rPr>
          <w:rFonts w:eastAsia="Times New Roman"/>
        </w:rPr>
        <w:t xml:space="preserve"> </w:t>
      </w:r>
      <w:r w:rsidRPr="00335062">
        <w:rPr>
          <w:rFonts w:eastAsia="Times New Roman"/>
        </w:rPr>
        <w:t>dexamethasone). Therefore, monitoring of the digoxin concentration is advised during lenalidomide treatment.</w:t>
      </w:r>
    </w:p>
    <w:p w:rsidR="00506994" w:rsidRPr="00335062" w:rsidRDefault="00506994" w:rsidP="00AB7A9E"/>
    <w:p w:rsidR="00506994" w:rsidRPr="00335062" w:rsidRDefault="00506994" w:rsidP="00AB7A9E">
      <w:r w:rsidRPr="00335062">
        <w:rPr>
          <w:rFonts w:eastAsia="Times New Roman"/>
          <w:u w:val="single"/>
        </w:rPr>
        <w:t>Statins</w:t>
      </w:r>
    </w:p>
    <w:p w:rsidR="00506994" w:rsidRPr="00335062" w:rsidRDefault="00506994" w:rsidP="00AB7A9E">
      <w:r w:rsidRPr="00335062">
        <w:rPr>
          <w:rFonts w:eastAsia="Times New Roman"/>
        </w:rPr>
        <w:t>There is an increased risk of rhabdomyolysis when statins are administered with lenalidomide, which may be simply additive. Enhanced clinical and laboratory monitoring is warranted notably during the first weeks of treatment.</w:t>
      </w:r>
    </w:p>
    <w:p w:rsidR="00506994" w:rsidRPr="00335062" w:rsidRDefault="00506994" w:rsidP="00AB7A9E"/>
    <w:p w:rsidR="00506994" w:rsidRPr="00335062" w:rsidRDefault="00506994" w:rsidP="00AB7A9E">
      <w:r w:rsidRPr="00335062">
        <w:rPr>
          <w:rFonts w:eastAsia="Times New Roman"/>
          <w:u w:val="single"/>
        </w:rPr>
        <w:t>Dexamethasone</w:t>
      </w:r>
    </w:p>
    <w:p w:rsidR="00506994" w:rsidRPr="00335062" w:rsidRDefault="00506994" w:rsidP="00AB7A9E">
      <w:pPr>
        <w:ind w:right="500"/>
      </w:pPr>
      <w:r w:rsidRPr="00335062">
        <w:rPr>
          <w:rFonts w:eastAsia="Times New Roman"/>
        </w:rPr>
        <w:t>Co-administration of single or multiple doses of dexamethasone (40 mg</w:t>
      </w:r>
      <w:r w:rsidR="00C938ED">
        <w:rPr>
          <w:rFonts w:eastAsia="Times New Roman"/>
        </w:rPr>
        <w:t xml:space="preserve"> once daily</w:t>
      </w:r>
      <w:r w:rsidRPr="00335062">
        <w:rPr>
          <w:rFonts w:eastAsia="Times New Roman"/>
        </w:rPr>
        <w:t>) has no clinically relevant effect on the multiple dose pharmacokinetics of lenalidomide (25 mg</w:t>
      </w:r>
      <w:r w:rsidR="00C938ED">
        <w:rPr>
          <w:rFonts w:eastAsia="Times New Roman"/>
        </w:rPr>
        <w:t xml:space="preserve"> once daily</w:t>
      </w:r>
      <w:r w:rsidRPr="00335062">
        <w:rPr>
          <w:rFonts w:eastAsia="Times New Roman"/>
        </w:rPr>
        <w:t>).</w:t>
      </w:r>
    </w:p>
    <w:p w:rsidR="00506994" w:rsidRPr="00335062" w:rsidRDefault="00506994" w:rsidP="00AB7A9E"/>
    <w:p w:rsidR="00506994" w:rsidRPr="00335062" w:rsidRDefault="00506994" w:rsidP="00AB7A9E">
      <w:r w:rsidRPr="00335062">
        <w:rPr>
          <w:rFonts w:eastAsia="Times New Roman"/>
          <w:u w:val="single"/>
        </w:rPr>
        <w:t>Interactions with P-glycoprotein (P-gp) inhibitors</w:t>
      </w:r>
    </w:p>
    <w:p w:rsidR="00506994" w:rsidRPr="00335062" w:rsidRDefault="00506994" w:rsidP="00AB7A9E">
      <w:pPr>
        <w:ind w:right="140"/>
      </w:pPr>
      <w:r w:rsidRPr="00335062">
        <w:rPr>
          <w:rFonts w:eastAsia="Times New Roman"/>
          <w:i/>
          <w:iCs/>
        </w:rPr>
        <w:t>In vitro</w:t>
      </w:r>
      <w:r w:rsidRPr="00335062">
        <w:rPr>
          <w:rFonts w:eastAsia="Times New Roman"/>
        </w:rPr>
        <w:t>, lenalidomide is a substrate of P-gp, but is not a P-gp inhibitor. Co-administration of multiple doses</w:t>
      </w:r>
      <w:r w:rsidRPr="00335062">
        <w:rPr>
          <w:rFonts w:eastAsia="Times New Roman"/>
          <w:i/>
          <w:iCs/>
        </w:rPr>
        <w:t xml:space="preserve"> </w:t>
      </w:r>
      <w:r w:rsidRPr="00335062">
        <w:rPr>
          <w:rFonts w:eastAsia="Times New Roman"/>
        </w:rPr>
        <w:t>of the strong P-gp inhibitor quinidine (600 mg, twice daily) or the moderate P-gp inhibitor/substrate temsirolimus (25 mg) has no clinically relevant effect on the pharmacokinetics of lenalidomide (25 mg). Co-administration of lenalidomide does not alter the pharmacokinetics of temsirolimus.</w:t>
      </w:r>
    </w:p>
    <w:p w:rsidR="00506994" w:rsidRPr="00335062" w:rsidRDefault="00506994" w:rsidP="00AB7A9E"/>
    <w:p w:rsidR="00506994" w:rsidRPr="00335062" w:rsidRDefault="00506994" w:rsidP="00AB7A9E">
      <w:pPr>
        <w:tabs>
          <w:tab w:val="left" w:pos="540"/>
        </w:tabs>
      </w:pPr>
      <w:r w:rsidRPr="00335062">
        <w:rPr>
          <w:rFonts w:eastAsia="Times New Roman"/>
          <w:b/>
          <w:bCs/>
        </w:rPr>
        <w:t>4.6</w:t>
      </w:r>
      <w:r w:rsidRPr="00335062">
        <w:rPr>
          <w:rFonts w:eastAsia="Times New Roman"/>
          <w:b/>
          <w:bCs/>
        </w:rPr>
        <w:tab/>
        <w:t>Fertility, pregnancy and lactation</w:t>
      </w:r>
    </w:p>
    <w:p w:rsidR="00087A44" w:rsidRDefault="00087A44" w:rsidP="00AB7A9E">
      <w:pPr>
        <w:autoSpaceDE w:val="0"/>
        <w:autoSpaceDN w:val="0"/>
        <w:adjustRightInd w:val="0"/>
        <w:rPr>
          <w:rFonts w:eastAsia="Times New Roman"/>
        </w:rPr>
      </w:pPr>
      <w:r>
        <w:rPr>
          <w:rFonts w:eastAsia="Times New Roman"/>
        </w:rPr>
        <w:t>Due to the teratogenic potential, lenalidomide must be prescribed under a Pregnancy Prevention Programme</w:t>
      </w:r>
    </w:p>
    <w:p w:rsidR="00506994" w:rsidRDefault="00087A44" w:rsidP="00AB7A9E">
      <w:pPr>
        <w:rPr>
          <w:rFonts w:eastAsia="Times New Roman"/>
        </w:rPr>
      </w:pPr>
      <w:r>
        <w:rPr>
          <w:rFonts w:eastAsia="Times New Roman"/>
        </w:rPr>
        <w:t>(see section 4.4) unless there is reliable evidence that the patient does not have childbearing potential.</w:t>
      </w:r>
    </w:p>
    <w:p w:rsidR="00087A44" w:rsidRPr="00335062" w:rsidRDefault="00087A44" w:rsidP="00AB7A9E"/>
    <w:p w:rsidR="00506994" w:rsidRPr="00335062" w:rsidRDefault="00506994" w:rsidP="00AB7A9E">
      <w:r w:rsidRPr="00335062">
        <w:rPr>
          <w:rFonts w:eastAsia="Times New Roman"/>
          <w:u w:val="single"/>
        </w:rPr>
        <w:t>Women of childbearing potential / Contraception in males and females</w:t>
      </w:r>
    </w:p>
    <w:p w:rsidR="00506994" w:rsidRPr="00335062" w:rsidRDefault="00506994" w:rsidP="00AB7A9E">
      <w:r w:rsidRPr="00335062">
        <w:rPr>
          <w:rFonts w:eastAsia="Times New Roman"/>
        </w:rPr>
        <w:t>Women of childbearing potential should use effective method of contraception. If pregnancy occurs in a woman treated with lenalidomide, treatment must be stopped and the patient should be referred to a physician specialised or experienced in teratology for evaluation and advice. If pregnancy occurs in a partner of a male patient taking lenalidomide, it is recommended to refer the female partner to a physician specialised or experienced in teratology for evaluation and advice.</w:t>
      </w:r>
    </w:p>
    <w:p w:rsidR="00506994" w:rsidRPr="00335062" w:rsidRDefault="00506994" w:rsidP="00AB7A9E"/>
    <w:p w:rsidR="00506994" w:rsidRPr="00335062" w:rsidRDefault="00506994" w:rsidP="00AB7A9E">
      <w:pPr>
        <w:ind w:right="300"/>
      </w:pPr>
      <w:r w:rsidRPr="00335062">
        <w:rPr>
          <w:rFonts w:eastAsia="Times New Roman"/>
        </w:rPr>
        <w:t>Lenalidomide is present in human semen at extremely low levels during treatment and is undetectable in human semen 3 days after stopping the substance in the healthy subject (see section 5.2). As a precaution, and taking into account special populations with prolonged elimination time such as renal impairment, all male patients taking lenalidomide should use condoms throughout treatment duration, during dose interruption and for 1 week after cessation of treatment if their partner is pregnant or of childbearing potential and has no contraception.</w:t>
      </w:r>
    </w:p>
    <w:p w:rsidR="00506994" w:rsidRPr="00335062" w:rsidRDefault="00506994" w:rsidP="00AB7A9E"/>
    <w:p w:rsidR="00506994" w:rsidRPr="00335062" w:rsidRDefault="00506994" w:rsidP="00AB7A9E">
      <w:r w:rsidRPr="00335062">
        <w:rPr>
          <w:rFonts w:eastAsia="Times New Roman"/>
          <w:u w:val="single"/>
        </w:rPr>
        <w:t>Pregnancy</w:t>
      </w:r>
    </w:p>
    <w:p w:rsidR="00506994" w:rsidRPr="00335062" w:rsidRDefault="00506994" w:rsidP="00AB7A9E">
      <w:pPr>
        <w:ind w:right="620"/>
      </w:pPr>
      <w:r w:rsidRPr="00335062">
        <w:rPr>
          <w:rFonts w:eastAsia="Times New Roman"/>
        </w:rPr>
        <w:t>Lenalidomide is structurally related to thalidomide. Thalidomide is a known human teratogenic active substance that causes severe life-threatening birth defects.</w:t>
      </w:r>
    </w:p>
    <w:p w:rsidR="00506994" w:rsidRPr="00335062" w:rsidRDefault="00506994" w:rsidP="00AB7A9E"/>
    <w:p w:rsidR="00506994" w:rsidRPr="00335062" w:rsidRDefault="00506994" w:rsidP="00AB7A9E">
      <w:r w:rsidRPr="00335062">
        <w:rPr>
          <w:rFonts w:eastAsia="Times New Roman"/>
        </w:rPr>
        <w:t xml:space="preserve">Lenalidomide induced </w:t>
      </w:r>
      <w:r w:rsidR="00AD3C2C" w:rsidRPr="00335062">
        <w:rPr>
          <w:rFonts w:eastAsia="Times New Roman"/>
        </w:rPr>
        <w:t xml:space="preserve">malformations </w:t>
      </w:r>
      <w:r w:rsidRPr="00335062">
        <w:rPr>
          <w:rFonts w:eastAsia="Times New Roman"/>
        </w:rPr>
        <w:t>in monkeys similar to those described with thalidomide (see</w:t>
      </w:r>
      <w:r>
        <w:rPr>
          <w:rFonts w:eastAsia="Times New Roman"/>
        </w:rPr>
        <w:t xml:space="preserve"> </w:t>
      </w:r>
      <w:r w:rsidRPr="00335062">
        <w:rPr>
          <w:rFonts w:eastAsia="Times New Roman"/>
        </w:rPr>
        <w:t>section 5.3). Therefore, a teratogenic effect of lenalidomide is expected and lenalidomide is contraindicated during pregnancy (see section 4.3).</w:t>
      </w:r>
    </w:p>
    <w:p w:rsidR="00506994" w:rsidRPr="00335062" w:rsidRDefault="00506994" w:rsidP="00AB7A9E"/>
    <w:p w:rsidR="00506994" w:rsidRPr="00335062" w:rsidRDefault="00506994" w:rsidP="00AB7A9E">
      <w:r w:rsidRPr="00335062">
        <w:rPr>
          <w:rFonts w:eastAsia="Times New Roman"/>
          <w:u w:val="single"/>
        </w:rPr>
        <w:t>Breast-feeding</w:t>
      </w:r>
    </w:p>
    <w:p w:rsidR="00506994" w:rsidRPr="00335062" w:rsidRDefault="00506994" w:rsidP="00AB7A9E">
      <w:pPr>
        <w:ind w:right="760"/>
      </w:pPr>
      <w:r w:rsidRPr="00335062">
        <w:rPr>
          <w:rFonts w:eastAsia="Times New Roman"/>
        </w:rPr>
        <w:t xml:space="preserve">It is not known whether lenalidomide is excreted in </w:t>
      </w:r>
      <w:r w:rsidR="00AD3C2C">
        <w:rPr>
          <w:rFonts w:eastAsia="Times New Roman"/>
        </w:rPr>
        <w:t>breast</w:t>
      </w:r>
      <w:r w:rsidR="00AD3C2C" w:rsidRPr="00335062">
        <w:rPr>
          <w:rFonts w:eastAsia="Times New Roman"/>
        </w:rPr>
        <w:t xml:space="preserve"> </w:t>
      </w:r>
      <w:r w:rsidRPr="00335062">
        <w:rPr>
          <w:rFonts w:eastAsia="Times New Roman"/>
        </w:rPr>
        <w:t>milk. Therefore</w:t>
      </w:r>
      <w:r w:rsidR="00AD3C2C">
        <w:rPr>
          <w:rFonts w:eastAsia="Times New Roman"/>
        </w:rPr>
        <w:t>,</w:t>
      </w:r>
      <w:r w:rsidRPr="00335062">
        <w:rPr>
          <w:rFonts w:eastAsia="Times New Roman"/>
        </w:rPr>
        <w:t xml:space="preserve"> breast-feeding should be discontinued during therapy with lenalidomide.</w:t>
      </w:r>
    </w:p>
    <w:p w:rsidR="00506994" w:rsidRPr="00335062" w:rsidRDefault="00506994" w:rsidP="00AB7A9E"/>
    <w:p w:rsidR="00506994" w:rsidRPr="00335062" w:rsidRDefault="00506994" w:rsidP="00AB7A9E">
      <w:r w:rsidRPr="00335062">
        <w:rPr>
          <w:rFonts w:eastAsia="Times New Roman"/>
          <w:u w:val="single"/>
        </w:rPr>
        <w:t>Fertility</w:t>
      </w:r>
    </w:p>
    <w:p w:rsidR="00506994" w:rsidRPr="00335062" w:rsidRDefault="00506994" w:rsidP="00AB7A9E">
      <w:pPr>
        <w:jc w:val="both"/>
      </w:pPr>
      <w:r w:rsidRPr="00335062">
        <w:rPr>
          <w:rFonts w:eastAsia="Times New Roman"/>
        </w:rPr>
        <w:t>A fertility study in rats with lenalidomide doses up to 500 mg/kg (approximately 200 to 500 times the human doses of 25 mg and 10 mg, respectively, based on body surface area) produced no adverse effects on fertility and no parental toxicity.</w:t>
      </w:r>
    </w:p>
    <w:p w:rsidR="00506994" w:rsidRPr="00335062" w:rsidRDefault="00506994" w:rsidP="00AB7A9E"/>
    <w:p w:rsidR="00506994" w:rsidRPr="00335062" w:rsidRDefault="00506994" w:rsidP="00AB7A9E">
      <w:pPr>
        <w:tabs>
          <w:tab w:val="left" w:pos="540"/>
        </w:tabs>
      </w:pPr>
      <w:r w:rsidRPr="00335062">
        <w:rPr>
          <w:rFonts w:eastAsia="Times New Roman"/>
          <w:b/>
          <w:bCs/>
        </w:rPr>
        <w:t>4.7</w:t>
      </w:r>
      <w:r w:rsidRPr="00335062">
        <w:rPr>
          <w:rFonts w:eastAsia="Times New Roman"/>
          <w:b/>
          <w:bCs/>
        </w:rPr>
        <w:tab/>
        <w:t>Effects on ability to drive and use machines</w:t>
      </w:r>
    </w:p>
    <w:p w:rsidR="00506994" w:rsidRPr="00335062" w:rsidRDefault="00506994" w:rsidP="00AB7A9E"/>
    <w:p w:rsidR="00506994" w:rsidRPr="00335062" w:rsidRDefault="00506994" w:rsidP="00AB7A9E">
      <w:pPr>
        <w:rPr>
          <w:rFonts w:eastAsia="Times New Roman"/>
        </w:rPr>
      </w:pPr>
      <w:r w:rsidRPr="00335062">
        <w:rPr>
          <w:rFonts w:eastAsia="Times New Roman"/>
        </w:rPr>
        <w:t>Lenalidomide has minor or moderate influence on the ability to drive and use machines. Fatigue, dizziness, somnolence, vertigo and blurred vision have been reported with the use of lenalidomide. Therefore, caution is recommended when driving or operating machines.</w:t>
      </w:r>
    </w:p>
    <w:p w:rsidR="00506994" w:rsidRPr="00335062" w:rsidRDefault="00506994" w:rsidP="00AB7A9E">
      <w:pPr>
        <w:rPr>
          <w:rFonts w:eastAsia="Times New Roman"/>
        </w:rPr>
      </w:pPr>
    </w:p>
    <w:p w:rsidR="00506994" w:rsidRPr="00335062" w:rsidRDefault="00506994" w:rsidP="00AB7A9E">
      <w:pPr>
        <w:tabs>
          <w:tab w:val="left" w:pos="541"/>
        </w:tabs>
      </w:pPr>
      <w:r w:rsidRPr="00335062">
        <w:rPr>
          <w:rFonts w:eastAsia="Times New Roman"/>
          <w:b/>
          <w:bCs/>
        </w:rPr>
        <w:t>4.8</w:t>
      </w:r>
      <w:r w:rsidRPr="00335062">
        <w:rPr>
          <w:rFonts w:eastAsia="Times New Roman"/>
          <w:b/>
          <w:bCs/>
        </w:rPr>
        <w:tab/>
        <w:t>Undesirable effects</w:t>
      </w:r>
    </w:p>
    <w:p w:rsidR="00506994" w:rsidRPr="00335062" w:rsidRDefault="00506994" w:rsidP="00AB7A9E"/>
    <w:p w:rsidR="00506994" w:rsidRPr="00746107" w:rsidRDefault="00506994" w:rsidP="00AB7A9E">
      <w:pPr>
        <w:rPr>
          <w:u w:val="single"/>
        </w:rPr>
      </w:pPr>
      <w:r w:rsidRPr="00746107">
        <w:rPr>
          <w:rFonts w:eastAsia="Times New Roman"/>
          <w:u w:val="single"/>
        </w:rPr>
        <w:t>Summary of the safety profile</w:t>
      </w:r>
    </w:p>
    <w:p w:rsidR="00506994" w:rsidRPr="004273C8" w:rsidRDefault="00506994" w:rsidP="00AB7A9E">
      <w:pPr>
        <w:ind w:right="540"/>
        <w:rPr>
          <w:u w:val="single"/>
        </w:rPr>
      </w:pPr>
      <w:r w:rsidRPr="004273C8">
        <w:rPr>
          <w:rFonts w:eastAsia="Times New Roman"/>
          <w:i/>
          <w:iCs/>
          <w:u w:val="single"/>
        </w:rPr>
        <w:t>Newly diagnosed multiple myeloma: patients who have undergone ASCT treated with lenalidomide maintenance</w:t>
      </w:r>
    </w:p>
    <w:p w:rsidR="00506994" w:rsidRPr="0012235F" w:rsidRDefault="00506994" w:rsidP="00AB7A9E">
      <w:pPr>
        <w:ind w:right="540"/>
        <w:rPr>
          <w:rFonts w:eastAsia="Times New Roman"/>
          <w:iCs/>
        </w:rPr>
      </w:pPr>
      <w:r w:rsidRPr="0012235F">
        <w:rPr>
          <w:rFonts w:eastAsia="Times New Roman"/>
          <w:iCs/>
        </w:rPr>
        <w:t>A conservative approach was applied to determine the adverse reactions from CALGB 100104. The adverse reactions described in Table 1 included events reported post-HDM/ASCT as well as events from the maintenance treatment period. A second analysis that identified events that occurred after the start of maintenance treatment suggests that the frequencies described in Table 1 may be higher than actually observed during the maintenance treatment period. In IFM 2005-02, the adverse reactions were from the maintenance treatment period only.</w:t>
      </w:r>
    </w:p>
    <w:p w:rsidR="00506994" w:rsidRPr="0012235F" w:rsidRDefault="00506994" w:rsidP="00AB7A9E">
      <w:pPr>
        <w:ind w:right="540"/>
        <w:rPr>
          <w:rFonts w:eastAsia="Times New Roman"/>
          <w:iCs/>
        </w:rPr>
      </w:pPr>
    </w:p>
    <w:p w:rsidR="00506994" w:rsidRPr="0012235F" w:rsidRDefault="00506994" w:rsidP="00AB7A9E">
      <w:pPr>
        <w:ind w:right="540"/>
        <w:rPr>
          <w:rFonts w:eastAsia="Times New Roman"/>
          <w:iCs/>
        </w:rPr>
      </w:pPr>
      <w:r w:rsidRPr="0012235F">
        <w:rPr>
          <w:rFonts w:eastAsia="Times New Roman"/>
          <w:iCs/>
        </w:rPr>
        <w:t>The serious adverse reactions observed more frequently (≥</w:t>
      </w:r>
      <w:r>
        <w:rPr>
          <w:rFonts w:eastAsia="Times New Roman"/>
          <w:iCs/>
        </w:rPr>
        <w:t xml:space="preserve"> </w:t>
      </w:r>
      <w:r w:rsidRPr="0012235F">
        <w:rPr>
          <w:rFonts w:eastAsia="Times New Roman"/>
          <w:iCs/>
        </w:rPr>
        <w:t>5%) with lenalidomide maintenance than placebo</w:t>
      </w:r>
      <w:r>
        <w:rPr>
          <w:rFonts w:eastAsia="Times New Roman"/>
          <w:iCs/>
        </w:rPr>
        <w:t xml:space="preserve"> </w:t>
      </w:r>
      <w:r w:rsidRPr="0012235F">
        <w:rPr>
          <w:rFonts w:eastAsia="Times New Roman"/>
          <w:iCs/>
        </w:rPr>
        <w:t>were:</w:t>
      </w:r>
    </w:p>
    <w:p w:rsidR="00506994" w:rsidRPr="0012235F" w:rsidRDefault="00506994" w:rsidP="00AB7A9E">
      <w:pPr>
        <w:ind w:right="540"/>
        <w:rPr>
          <w:rFonts w:eastAsia="Times New Roman"/>
          <w:iCs/>
        </w:rPr>
      </w:pPr>
      <w:r w:rsidRPr="0012235F">
        <w:rPr>
          <w:rFonts w:eastAsia="Times New Roman"/>
          <w:iCs/>
        </w:rPr>
        <w:t>•</w:t>
      </w:r>
      <w:r w:rsidRPr="0012235F">
        <w:rPr>
          <w:rFonts w:eastAsia="Times New Roman"/>
          <w:iCs/>
        </w:rPr>
        <w:tab/>
        <w:t>Pneumonia (10.6%; combined term) from IFM 2005-02</w:t>
      </w:r>
    </w:p>
    <w:p w:rsidR="00506994" w:rsidRPr="0012235F" w:rsidRDefault="00506994" w:rsidP="00AB7A9E">
      <w:pPr>
        <w:ind w:right="540"/>
        <w:rPr>
          <w:rFonts w:eastAsia="Times New Roman"/>
          <w:iCs/>
        </w:rPr>
      </w:pPr>
      <w:r w:rsidRPr="0012235F">
        <w:rPr>
          <w:rFonts w:eastAsia="Times New Roman"/>
          <w:iCs/>
        </w:rPr>
        <w:t>•</w:t>
      </w:r>
      <w:r w:rsidRPr="0012235F">
        <w:rPr>
          <w:rFonts w:eastAsia="Times New Roman"/>
          <w:iCs/>
        </w:rPr>
        <w:tab/>
        <w:t>Lung infection (9.4% [9.4% after the start of maintenance treatment]) from CALGB 100104</w:t>
      </w:r>
    </w:p>
    <w:p w:rsidR="00506994" w:rsidRPr="0012235F" w:rsidRDefault="00506994" w:rsidP="00AB7A9E">
      <w:pPr>
        <w:ind w:right="540"/>
        <w:rPr>
          <w:rFonts w:eastAsia="Times New Roman"/>
          <w:iCs/>
        </w:rPr>
      </w:pPr>
    </w:p>
    <w:p w:rsidR="00506994" w:rsidRPr="0012235F" w:rsidRDefault="00506994" w:rsidP="00AB7A9E">
      <w:pPr>
        <w:ind w:right="540"/>
        <w:rPr>
          <w:rFonts w:eastAsia="Times New Roman"/>
          <w:iCs/>
        </w:rPr>
      </w:pPr>
      <w:r w:rsidRPr="0012235F">
        <w:rPr>
          <w:rFonts w:eastAsia="Times New Roman"/>
          <w:iCs/>
        </w:rPr>
        <w:t>In the IFM 2005-02 study, the adverse reactions observed more frequently with lenalidomide maintenance than placebo were neutropenia (60.8%), bronchitis (47.4%), diarrhoea (38.9%), nasopharyngitis (34.8%),</w:t>
      </w:r>
    </w:p>
    <w:p w:rsidR="00506994" w:rsidRPr="0012235F" w:rsidRDefault="00506994" w:rsidP="00AB7A9E">
      <w:pPr>
        <w:ind w:right="540"/>
        <w:rPr>
          <w:rFonts w:eastAsia="Times New Roman"/>
          <w:iCs/>
        </w:rPr>
      </w:pPr>
      <w:r w:rsidRPr="0012235F">
        <w:rPr>
          <w:rFonts w:eastAsia="Times New Roman"/>
          <w:iCs/>
        </w:rPr>
        <w:t>muscle spasms (33.4%), leucopenia (31.7%), asthenia (29.7%), cough (27.3%), thrombocytopenia (23.5%),</w:t>
      </w:r>
      <w:r>
        <w:rPr>
          <w:rFonts w:eastAsia="Times New Roman"/>
          <w:iCs/>
        </w:rPr>
        <w:t xml:space="preserve"> </w:t>
      </w:r>
      <w:r w:rsidRPr="0012235F">
        <w:rPr>
          <w:rFonts w:eastAsia="Times New Roman"/>
          <w:iCs/>
        </w:rPr>
        <w:t>gastroenteritis (22.5%) and pyrexia (20.5%).</w:t>
      </w:r>
    </w:p>
    <w:p w:rsidR="00506994" w:rsidRPr="0012235F" w:rsidRDefault="00506994" w:rsidP="00AB7A9E">
      <w:pPr>
        <w:ind w:right="540"/>
        <w:rPr>
          <w:rFonts w:eastAsia="Times New Roman"/>
          <w:iCs/>
        </w:rPr>
      </w:pPr>
      <w:r w:rsidRPr="0012235F">
        <w:rPr>
          <w:rFonts w:eastAsia="Times New Roman"/>
          <w:iCs/>
        </w:rPr>
        <w:t xml:space="preserve"> </w:t>
      </w:r>
    </w:p>
    <w:p w:rsidR="00506994" w:rsidRPr="0012235F" w:rsidRDefault="00506994" w:rsidP="00AB7A9E">
      <w:pPr>
        <w:ind w:right="540"/>
        <w:rPr>
          <w:rFonts w:eastAsia="Times New Roman"/>
          <w:iCs/>
        </w:rPr>
      </w:pPr>
      <w:r w:rsidRPr="0012235F">
        <w:rPr>
          <w:rFonts w:eastAsia="Times New Roman"/>
          <w:iCs/>
        </w:rPr>
        <w:t>In the CALGB 100104 study, the adverse reactions observed more frequently with lenalidomide maintenance than placebo were neutropenia (79.0% [71.9% after the start of maintenance treatment]), thrombocytopenia (72.3% [61.6%]), diarrhoea (54.5% [46.4%]), rash (31.7% [25.0%]), upper respiratory</w:t>
      </w:r>
    </w:p>
    <w:p w:rsidR="00506994" w:rsidRDefault="00506994" w:rsidP="00AB7A9E">
      <w:pPr>
        <w:ind w:right="540"/>
        <w:rPr>
          <w:rFonts w:eastAsia="Times New Roman"/>
          <w:iCs/>
        </w:rPr>
      </w:pPr>
      <w:r w:rsidRPr="0012235F">
        <w:rPr>
          <w:rFonts w:eastAsia="Times New Roman"/>
          <w:iCs/>
        </w:rPr>
        <w:t>tract infection (26.8% [26.8%]), fatigue (22.8% [17.9%]), leucopenia (22.8% [18.8%]) and an</w:t>
      </w:r>
      <w:r w:rsidR="00AD3C2C">
        <w:rPr>
          <w:rFonts w:eastAsia="Times New Roman"/>
          <w:iCs/>
        </w:rPr>
        <w:t>a</w:t>
      </w:r>
      <w:r w:rsidRPr="0012235F">
        <w:rPr>
          <w:rFonts w:eastAsia="Times New Roman"/>
          <w:iCs/>
        </w:rPr>
        <w:t>emia (21.0%</w:t>
      </w:r>
      <w:r>
        <w:rPr>
          <w:rFonts w:eastAsia="Times New Roman"/>
          <w:iCs/>
        </w:rPr>
        <w:t xml:space="preserve"> </w:t>
      </w:r>
      <w:r w:rsidRPr="0012235F">
        <w:rPr>
          <w:rFonts w:eastAsia="Times New Roman"/>
          <w:iCs/>
        </w:rPr>
        <w:t>[13.8%]).</w:t>
      </w:r>
    </w:p>
    <w:p w:rsidR="00AD3C2C" w:rsidRDefault="00AD3C2C" w:rsidP="00AB7A9E">
      <w:pPr>
        <w:ind w:right="540"/>
        <w:rPr>
          <w:rFonts w:eastAsia="Times New Roman"/>
          <w:iCs/>
        </w:rPr>
      </w:pPr>
    </w:p>
    <w:p w:rsidR="00AD3C2C" w:rsidRDefault="00AD3C2C" w:rsidP="00AD3C2C">
      <w:pPr>
        <w:ind w:right="525"/>
        <w:rPr>
          <w:rFonts w:eastAsia="Times New Roman"/>
        </w:rPr>
      </w:pPr>
      <w:r>
        <w:rPr>
          <w:i/>
          <w:spacing w:val="-1"/>
          <w:u w:val="single" w:color="000000"/>
        </w:rPr>
        <w:t>Newly</w:t>
      </w:r>
      <w:r>
        <w:rPr>
          <w:i/>
          <w:u w:val="single" w:color="000000"/>
        </w:rPr>
        <w:t xml:space="preserve"> </w:t>
      </w:r>
      <w:r>
        <w:rPr>
          <w:i/>
          <w:spacing w:val="-1"/>
          <w:u w:val="single" w:color="000000"/>
        </w:rPr>
        <w:t>diagnosed</w:t>
      </w:r>
      <w:r>
        <w:rPr>
          <w:i/>
          <w:u w:val="single" w:color="000000"/>
        </w:rPr>
        <w:t xml:space="preserve"> </w:t>
      </w:r>
      <w:r>
        <w:rPr>
          <w:i/>
          <w:spacing w:val="-1"/>
          <w:u w:val="single" w:color="000000"/>
        </w:rPr>
        <w:t>multiple</w:t>
      </w:r>
      <w:r>
        <w:rPr>
          <w:i/>
          <w:spacing w:val="-2"/>
          <w:u w:val="single" w:color="000000"/>
        </w:rPr>
        <w:t xml:space="preserve"> </w:t>
      </w:r>
      <w:r>
        <w:rPr>
          <w:i/>
          <w:spacing w:val="-1"/>
          <w:u w:val="single" w:color="000000"/>
        </w:rPr>
        <w:t>myeloma</w:t>
      </w:r>
      <w:r>
        <w:rPr>
          <w:i/>
          <w:u w:val="single" w:color="000000"/>
        </w:rPr>
        <w:t xml:space="preserve"> </w:t>
      </w:r>
      <w:r>
        <w:rPr>
          <w:i/>
          <w:spacing w:val="-1"/>
          <w:u w:val="single" w:color="000000"/>
        </w:rPr>
        <w:t>patients</w:t>
      </w:r>
      <w:r>
        <w:rPr>
          <w:i/>
          <w:u w:val="single" w:color="000000"/>
        </w:rPr>
        <w:t xml:space="preserve"> </w:t>
      </w:r>
      <w:r>
        <w:rPr>
          <w:i/>
          <w:spacing w:val="-1"/>
          <w:u w:val="single" w:color="000000"/>
        </w:rPr>
        <w:t>who</w:t>
      </w:r>
      <w:r>
        <w:rPr>
          <w:i/>
          <w:u w:val="single" w:color="000000"/>
        </w:rPr>
        <w:t xml:space="preserve"> </w:t>
      </w:r>
      <w:r>
        <w:rPr>
          <w:i/>
          <w:spacing w:val="-1"/>
          <w:u w:val="single" w:color="000000"/>
        </w:rPr>
        <w:t>are</w:t>
      </w:r>
      <w:r>
        <w:rPr>
          <w:i/>
          <w:spacing w:val="-2"/>
          <w:u w:val="single" w:color="000000"/>
        </w:rPr>
        <w:t xml:space="preserve"> </w:t>
      </w:r>
      <w:r>
        <w:rPr>
          <w:i/>
          <w:u w:val="single" w:color="000000"/>
        </w:rPr>
        <w:t>not</w:t>
      </w:r>
      <w:r>
        <w:rPr>
          <w:i/>
          <w:spacing w:val="1"/>
          <w:u w:val="single" w:color="000000"/>
        </w:rPr>
        <w:t xml:space="preserve"> </w:t>
      </w:r>
      <w:r>
        <w:rPr>
          <w:i/>
          <w:spacing w:val="-1"/>
          <w:u w:val="single" w:color="000000"/>
        </w:rPr>
        <w:t>eligible</w:t>
      </w:r>
      <w:r>
        <w:rPr>
          <w:i/>
          <w:spacing w:val="-3"/>
          <w:u w:val="single" w:color="000000"/>
        </w:rPr>
        <w:t xml:space="preserve"> </w:t>
      </w:r>
      <w:r>
        <w:rPr>
          <w:i/>
          <w:u w:val="single" w:color="000000"/>
        </w:rPr>
        <w:t>for</w:t>
      </w:r>
      <w:r>
        <w:rPr>
          <w:i/>
          <w:spacing w:val="-2"/>
          <w:u w:val="single" w:color="000000"/>
        </w:rPr>
        <w:t xml:space="preserve"> </w:t>
      </w:r>
      <w:r>
        <w:rPr>
          <w:i/>
          <w:spacing w:val="-1"/>
          <w:u w:val="single" w:color="000000"/>
        </w:rPr>
        <w:t>transplant receiving</w:t>
      </w:r>
      <w:r>
        <w:rPr>
          <w:i/>
          <w:u w:val="single" w:color="000000"/>
        </w:rPr>
        <w:t xml:space="preserve"> </w:t>
      </w:r>
      <w:r>
        <w:rPr>
          <w:i/>
          <w:spacing w:val="-1"/>
          <w:u w:val="single" w:color="000000"/>
        </w:rPr>
        <w:t>lenalidomide</w:t>
      </w:r>
      <w:r>
        <w:rPr>
          <w:i/>
          <w:spacing w:val="-2"/>
          <w:u w:val="single" w:color="000000"/>
        </w:rPr>
        <w:t xml:space="preserve"> </w:t>
      </w:r>
      <w:r>
        <w:rPr>
          <w:i/>
          <w:u w:val="single" w:color="000000"/>
        </w:rPr>
        <w:t>in</w:t>
      </w:r>
      <w:r>
        <w:rPr>
          <w:i/>
          <w:spacing w:val="73"/>
        </w:rPr>
        <w:t xml:space="preserve"> </w:t>
      </w:r>
      <w:r>
        <w:rPr>
          <w:i/>
          <w:spacing w:val="-1"/>
          <w:u w:val="single" w:color="000000"/>
        </w:rPr>
        <w:t>combination</w:t>
      </w:r>
      <w:r>
        <w:rPr>
          <w:i/>
          <w:u w:val="single" w:color="000000"/>
        </w:rPr>
        <w:t xml:space="preserve"> </w:t>
      </w:r>
      <w:r>
        <w:rPr>
          <w:i/>
          <w:spacing w:val="-1"/>
          <w:u w:val="single" w:color="000000"/>
        </w:rPr>
        <w:t>with</w:t>
      </w:r>
      <w:r>
        <w:rPr>
          <w:i/>
          <w:u w:val="single" w:color="000000"/>
        </w:rPr>
        <w:t xml:space="preserve"> </w:t>
      </w:r>
      <w:r>
        <w:rPr>
          <w:i/>
          <w:spacing w:val="-1"/>
          <w:u w:val="single" w:color="000000"/>
        </w:rPr>
        <w:t>bortezomib</w:t>
      </w:r>
      <w:r>
        <w:rPr>
          <w:i/>
          <w:u w:val="single" w:color="000000"/>
        </w:rPr>
        <w:t xml:space="preserve"> and</w:t>
      </w:r>
      <w:r>
        <w:rPr>
          <w:i/>
          <w:spacing w:val="-3"/>
          <w:u w:val="single" w:color="000000"/>
        </w:rPr>
        <w:t xml:space="preserve"> </w:t>
      </w:r>
      <w:r>
        <w:rPr>
          <w:i/>
          <w:spacing w:val="-1"/>
          <w:u w:val="single" w:color="000000"/>
        </w:rPr>
        <w:t>dexamethasone</w:t>
      </w:r>
    </w:p>
    <w:p w:rsidR="00AD3C2C" w:rsidRDefault="00AD3C2C" w:rsidP="00AD3C2C">
      <w:pPr>
        <w:pStyle w:val="BodyText"/>
        <w:spacing w:before="1"/>
        <w:ind w:right="115"/>
        <w:jc w:val="both"/>
      </w:pPr>
      <w:r>
        <w:rPr>
          <w:spacing w:val="-3"/>
        </w:rPr>
        <w:t>In</w:t>
      </w:r>
      <w:r>
        <w:t xml:space="preserve"> the </w:t>
      </w:r>
      <w:r>
        <w:rPr>
          <w:spacing w:val="-1"/>
        </w:rPr>
        <w:t>SWOG S0777</w:t>
      </w:r>
      <w:r>
        <w:t xml:space="preserve"> </w:t>
      </w:r>
      <w:r>
        <w:rPr>
          <w:spacing w:val="-1"/>
        </w:rPr>
        <w:t>study,</w:t>
      </w:r>
      <w:r>
        <w:t xml:space="preserve"> the </w:t>
      </w:r>
      <w:r>
        <w:rPr>
          <w:spacing w:val="-1"/>
        </w:rPr>
        <w:t>serious</w:t>
      </w:r>
      <w:r>
        <w:rPr>
          <w:spacing w:val="-2"/>
        </w:rPr>
        <w:t xml:space="preserve"> </w:t>
      </w:r>
      <w:r>
        <w:rPr>
          <w:spacing w:val="-1"/>
        </w:rPr>
        <w:t>adverse</w:t>
      </w:r>
      <w:r>
        <w:t xml:space="preserve"> </w:t>
      </w:r>
      <w:r>
        <w:rPr>
          <w:spacing w:val="-1"/>
        </w:rPr>
        <w:t>reactions</w:t>
      </w:r>
      <w:r>
        <w:t xml:space="preserve"> </w:t>
      </w:r>
      <w:r>
        <w:rPr>
          <w:spacing w:val="-1"/>
        </w:rPr>
        <w:t>observed</w:t>
      </w:r>
      <w:r>
        <w:t xml:space="preserve"> </w:t>
      </w:r>
      <w:r>
        <w:rPr>
          <w:spacing w:val="-1"/>
        </w:rPr>
        <w:t>more</w:t>
      </w:r>
      <w:r>
        <w:t xml:space="preserve"> </w:t>
      </w:r>
      <w:r>
        <w:rPr>
          <w:spacing w:val="-1"/>
        </w:rPr>
        <w:t>frequently</w:t>
      </w:r>
      <w:r>
        <w:rPr>
          <w:spacing w:val="-3"/>
        </w:rPr>
        <w:t xml:space="preserve"> </w:t>
      </w:r>
      <w:r>
        <w:t>(≥</w:t>
      </w:r>
      <w:r>
        <w:rPr>
          <w:spacing w:val="1"/>
        </w:rPr>
        <w:t xml:space="preserve"> </w:t>
      </w:r>
      <w:r>
        <w:rPr>
          <w:spacing w:val="-1"/>
        </w:rPr>
        <w:t>5%)</w:t>
      </w:r>
      <w:r>
        <w:rPr>
          <w:spacing w:val="1"/>
        </w:rPr>
        <w:t xml:space="preserve"> </w:t>
      </w:r>
      <w:r>
        <w:rPr>
          <w:spacing w:val="-1"/>
        </w:rPr>
        <w:t>with</w:t>
      </w:r>
      <w:r>
        <w:t xml:space="preserve"> </w:t>
      </w:r>
      <w:r>
        <w:rPr>
          <w:spacing w:val="-1"/>
        </w:rPr>
        <w:t>lenalidomide</w:t>
      </w:r>
      <w:r>
        <w:rPr>
          <w:spacing w:val="59"/>
        </w:rPr>
        <w:t xml:space="preserve"> </w:t>
      </w:r>
      <w:r>
        <w:t xml:space="preserve">in </w:t>
      </w:r>
      <w:r>
        <w:rPr>
          <w:spacing w:val="-1"/>
        </w:rPr>
        <w:t>combination</w:t>
      </w:r>
      <w:r>
        <w:rPr>
          <w:spacing w:val="-2"/>
        </w:rPr>
        <w:t xml:space="preserve"> </w:t>
      </w:r>
      <w:r>
        <w:rPr>
          <w:spacing w:val="-1"/>
        </w:rPr>
        <w:t>with</w:t>
      </w:r>
      <w:r>
        <w:t xml:space="preserve"> </w:t>
      </w:r>
      <w:r>
        <w:rPr>
          <w:spacing w:val="-1"/>
        </w:rPr>
        <w:t>intravenous</w:t>
      </w:r>
      <w:r>
        <w:rPr>
          <w:spacing w:val="1"/>
        </w:rPr>
        <w:t xml:space="preserve"> </w:t>
      </w:r>
      <w:r>
        <w:rPr>
          <w:spacing w:val="-1"/>
        </w:rPr>
        <w:t>bortezomib</w:t>
      </w:r>
      <w:r>
        <w:t xml:space="preserve"> and </w:t>
      </w:r>
      <w:r>
        <w:rPr>
          <w:spacing w:val="-1"/>
        </w:rPr>
        <w:t>dexamethasone</w:t>
      </w:r>
      <w:r>
        <w:rPr>
          <w:spacing w:val="-2"/>
        </w:rPr>
        <w:t xml:space="preserve"> </w:t>
      </w:r>
      <w:r>
        <w:t xml:space="preserve">than </w:t>
      </w:r>
      <w:r>
        <w:rPr>
          <w:spacing w:val="-1"/>
        </w:rPr>
        <w:t>with</w:t>
      </w:r>
      <w:r>
        <w:rPr>
          <w:spacing w:val="-3"/>
        </w:rPr>
        <w:t xml:space="preserve"> </w:t>
      </w:r>
      <w:r>
        <w:rPr>
          <w:spacing w:val="-1"/>
        </w:rPr>
        <w:t>lenalidomide</w:t>
      </w:r>
      <w:r>
        <w:t xml:space="preserve"> in </w:t>
      </w:r>
      <w:r>
        <w:rPr>
          <w:spacing w:val="-1"/>
        </w:rPr>
        <w:t>combination</w:t>
      </w:r>
      <w:r>
        <w:t xml:space="preserve"> </w:t>
      </w:r>
      <w:r>
        <w:rPr>
          <w:spacing w:val="-2"/>
        </w:rPr>
        <w:t>with</w:t>
      </w:r>
      <w:r>
        <w:rPr>
          <w:spacing w:val="67"/>
        </w:rPr>
        <w:t xml:space="preserve"> </w:t>
      </w:r>
      <w:r>
        <w:rPr>
          <w:spacing w:val="-1"/>
        </w:rPr>
        <w:t>dexamethasone</w:t>
      </w:r>
      <w:r>
        <w:t xml:space="preserve"> </w:t>
      </w:r>
      <w:r>
        <w:rPr>
          <w:spacing w:val="-1"/>
        </w:rPr>
        <w:t>were:</w:t>
      </w:r>
    </w:p>
    <w:p w:rsidR="00AD3C2C" w:rsidRDefault="00AD3C2C" w:rsidP="00AD3C2C">
      <w:pPr>
        <w:pStyle w:val="BodyText"/>
        <w:widowControl w:val="0"/>
        <w:numPr>
          <w:ilvl w:val="0"/>
          <w:numId w:val="69"/>
        </w:numPr>
        <w:spacing w:before="2" w:after="0"/>
        <w:ind w:left="0" w:firstLine="0"/>
      </w:pPr>
      <w:r>
        <w:rPr>
          <w:spacing w:val="-1"/>
        </w:rPr>
        <w:t>Hypotension</w:t>
      </w:r>
      <w:r>
        <w:rPr>
          <w:spacing w:val="-3"/>
        </w:rPr>
        <w:t xml:space="preserve"> </w:t>
      </w:r>
      <w:r>
        <w:rPr>
          <w:spacing w:val="-1"/>
        </w:rPr>
        <w:t>(6.5%),</w:t>
      </w:r>
      <w:r>
        <w:t xml:space="preserve"> </w:t>
      </w:r>
      <w:r>
        <w:rPr>
          <w:spacing w:val="-1"/>
        </w:rPr>
        <w:t>lung</w:t>
      </w:r>
      <w:r>
        <w:rPr>
          <w:spacing w:val="-3"/>
        </w:rPr>
        <w:t xml:space="preserve"> </w:t>
      </w:r>
      <w:r>
        <w:rPr>
          <w:spacing w:val="-1"/>
        </w:rPr>
        <w:t>infection</w:t>
      </w:r>
      <w:r>
        <w:t xml:space="preserve"> </w:t>
      </w:r>
      <w:r>
        <w:rPr>
          <w:spacing w:val="-1"/>
        </w:rPr>
        <w:t>(5.7%),</w:t>
      </w:r>
      <w:r>
        <w:t xml:space="preserve"> </w:t>
      </w:r>
      <w:r>
        <w:rPr>
          <w:spacing w:val="-1"/>
        </w:rPr>
        <w:t>dehydration</w:t>
      </w:r>
      <w:r>
        <w:t xml:space="preserve"> </w:t>
      </w:r>
      <w:r>
        <w:rPr>
          <w:spacing w:val="-1"/>
        </w:rPr>
        <w:t>(5.0%)</w:t>
      </w:r>
    </w:p>
    <w:p w:rsidR="00AD3C2C" w:rsidRDefault="00AD3C2C" w:rsidP="00AD3C2C">
      <w:pPr>
        <w:spacing w:before="9"/>
        <w:rPr>
          <w:rFonts w:eastAsia="Times New Roman"/>
          <w:sz w:val="21"/>
          <w:szCs w:val="21"/>
        </w:rPr>
      </w:pPr>
    </w:p>
    <w:p w:rsidR="00AD3C2C" w:rsidRPr="00AD3C2C" w:rsidRDefault="00AD3C2C" w:rsidP="00AD3C2C">
      <w:pPr>
        <w:pStyle w:val="BodyText"/>
        <w:ind w:right="277"/>
      </w:pPr>
      <w:r>
        <w:t>The</w:t>
      </w:r>
      <w:r>
        <w:rPr>
          <w:spacing w:val="-2"/>
        </w:rPr>
        <w:t xml:space="preserve"> </w:t>
      </w:r>
      <w:r>
        <w:rPr>
          <w:spacing w:val="-1"/>
        </w:rPr>
        <w:t>adverse</w:t>
      </w:r>
      <w:r>
        <w:t xml:space="preserve"> </w:t>
      </w:r>
      <w:r>
        <w:rPr>
          <w:spacing w:val="-1"/>
        </w:rPr>
        <w:t>reactions</w:t>
      </w:r>
      <w:r>
        <w:t xml:space="preserve"> </w:t>
      </w:r>
      <w:r>
        <w:rPr>
          <w:spacing w:val="-1"/>
        </w:rPr>
        <w:t>observed</w:t>
      </w:r>
      <w:r>
        <w:rPr>
          <w:spacing w:val="2"/>
        </w:rPr>
        <w:t xml:space="preserve"> </w:t>
      </w:r>
      <w:r>
        <w:rPr>
          <w:spacing w:val="-1"/>
        </w:rPr>
        <w:t>more</w:t>
      </w:r>
      <w:r>
        <w:t xml:space="preserve"> </w:t>
      </w:r>
      <w:r>
        <w:rPr>
          <w:spacing w:val="-1"/>
        </w:rPr>
        <w:t>frequently</w:t>
      </w:r>
      <w:r>
        <w:rPr>
          <w:spacing w:val="-2"/>
        </w:rPr>
        <w:t xml:space="preserve"> </w:t>
      </w:r>
      <w:r>
        <w:t xml:space="preserve">with </w:t>
      </w:r>
      <w:r>
        <w:rPr>
          <w:spacing w:val="-1"/>
        </w:rPr>
        <w:t>lenalidomide</w:t>
      </w:r>
      <w:r>
        <w:rPr>
          <w:spacing w:val="1"/>
        </w:rPr>
        <w:t xml:space="preserve"> </w:t>
      </w:r>
      <w:r>
        <w:t>in</w:t>
      </w:r>
      <w:r>
        <w:rPr>
          <w:spacing w:val="-2"/>
        </w:rPr>
        <w:t xml:space="preserve"> </w:t>
      </w:r>
      <w:r>
        <w:rPr>
          <w:spacing w:val="-1"/>
        </w:rPr>
        <w:t>combination</w:t>
      </w:r>
      <w:r>
        <w:rPr>
          <w:spacing w:val="-2"/>
        </w:rPr>
        <w:t xml:space="preserve"> </w:t>
      </w:r>
      <w:r>
        <w:rPr>
          <w:spacing w:val="-1"/>
        </w:rPr>
        <w:t>with</w:t>
      </w:r>
      <w:r>
        <w:t xml:space="preserve"> </w:t>
      </w:r>
      <w:r>
        <w:rPr>
          <w:spacing w:val="-2"/>
        </w:rPr>
        <w:t>bortezomib</w:t>
      </w:r>
      <w:r>
        <w:t xml:space="preserve"> and</w:t>
      </w:r>
      <w:r>
        <w:rPr>
          <w:spacing w:val="67"/>
        </w:rPr>
        <w:t xml:space="preserve"> </w:t>
      </w:r>
      <w:r>
        <w:rPr>
          <w:spacing w:val="-1"/>
        </w:rPr>
        <w:t>dexamethasone</w:t>
      </w:r>
      <w:r>
        <w:rPr>
          <w:spacing w:val="-2"/>
        </w:rPr>
        <w:t xml:space="preserve"> </w:t>
      </w:r>
      <w:r>
        <w:t xml:space="preserve">than </w:t>
      </w:r>
      <w:r>
        <w:rPr>
          <w:spacing w:val="-1"/>
        </w:rPr>
        <w:t>with</w:t>
      </w:r>
      <w:r>
        <w:rPr>
          <w:spacing w:val="-2"/>
        </w:rPr>
        <w:t xml:space="preserve"> </w:t>
      </w:r>
      <w:r>
        <w:rPr>
          <w:spacing w:val="-1"/>
        </w:rPr>
        <w:t>lenalidomide</w:t>
      </w:r>
      <w:r>
        <w:rPr>
          <w:spacing w:val="1"/>
        </w:rPr>
        <w:t xml:space="preserve"> </w:t>
      </w:r>
      <w:r>
        <w:t>in</w:t>
      </w:r>
      <w:r>
        <w:rPr>
          <w:spacing w:val="-2"/>
        </w:rPr>
        <w:t xml:space="preserve"> </w:t>
      </w:r>
      <w:r>
        <w:rPr>
          <w:spacing w:val="-1"/>
        </w:rPr>
        <w:t>combination</w:t>
      </w:r>
      <w:r>
        <w:rPr>
          <w:spacing w:val="-2"/>
        </w:rPr>
        <w:t xml:space="preserve"> </w:t>
      </w:r>
      <w:r>
        <w:t xml:space="preserve">with </w:t>
      </w:r>
      <w:r>
        <w:rPr>
          <w:spacing w:val="-1"/>
        </w:rPr>
        <w:t>dexamethasone</w:t>
      </w:r>
      <w:r>
        <w:rPr>
          <w:spacing w:val="1"/>
        </w:rPr>
        <w:t xml:space="preserve"> </w:t>
      </w:r>
      <w:r>
        <w:rPr>
          <w:spacing w:val="-1"/>
        </w:rPr>
        <w:t>were:</w:t>
      </w:r>
      <w:r>
        <w:rPr>
          <w:spacing w:val="-2"/>
        </w:rPr>
        <w:t xml:space="preserve"> </w:t>
      </w:r>
      <w:r>
        <w:rPr>
          <w:spacing w:val="-1"/>
        </w:rPr>
        <w:t>Fatigue</w:t>
      </w:r>
      <w:r>
        <w:rPr>
          <w:spacing w:val="-2"/>
        </w:rPr>
        <w:t xml:space="preserve"> </w:t>
      </w:r>
      <w:r>
        <w:rPr>
          <w:spacing w:val="-1"/>
        </w:rPr>
        <w:t>(73.7%),</w:t>
      </w:r>
      <w:r>
        <w:rPr>
          <w:spacing w:val="69"/>
        </w:rPr>
        <w:t xml:space="preserve"> </w:t>
      </w:r>
      <w:r>
        <w:rPr>
          <w:spacing w:val="-1"/>
        </w:rPr>
        <w:t>peripheral</w:t>
      </w:r>
      <w:r>
        <w:rPr>
          <w:spacing w:val="-2"/>
        </w:rPr>
        <w:t xml:space="preserve"> </w:t>
      </w:r>
      <w:r>
        <w:rPr>
          <w:spacing w:val="-1"/>
        </w:rPr>
        <w:t>neuropathy</w:t>
      </w:r>
      <w:r>
        <w:rPr>
          <w:spacing w:val="-2"/>
        </w:rPr>
        <w:t xml:space="preserve"> </w:t>
      </w:r>
      <w:r>
        <w:rPr>
          <w:spacing w:val="-1"/>
        </w:rPr>
        <w:t>(71.8%),</w:t>
      </w:r>
      <w:r>
        <w:rPr>
          <w:spacing w:val="-2"/>
        </w:rPr>
        <w:t xml:space="preserve"> </w:t>
      </w:r>
      <w:r>
        <w:rPr>
          <w:spacing w:val="-1"/>
        </w:rPr>
        <w:t>thrombocytopenia</w:t>
      </w:r>
      <w:r>
        <w:rPr>
          <w:spacing w:val="-2"/>
        </w:rPr>
        <w:t xml:space="preserve"> </w:t>
      </w:r>
      <w:r>
        <w:rPr>
          <w:spacing w:val="-1"/>
        </w:rPr>
        <w:t>(57.6%),</w:t>
      </w:r>
      <w:r>
        <w:rPr>
          <w:spacing w:val="-3"/>
        </w:rPr>
        <w:t xml:space="preserve"> </w:t>
      </w:r>
      <w:r>
        <w:rPr>
          <w:spacing w:val="-1"/>
        </w:rPr>
        <w:t>constipation</w:t>
      </w:r>
      <w:r>
        <w:rPr>
          <w:spacing w:val="-2"/>
        </w:rPr>
        <w:t xml:space="preserve"> </w:t>
      </w:r>
      <w:r>
        <w:rPr>
          <w:spacing w:val="-1"/>
        </w:rPr>
        <w:t>(56.1%),</w:t>
      </w:r>
      <w:r>
        <w:rPr>
          <w:spacing w:val="-3"/>
        </w:rPr>
        <w:t xml:space="preserve"> </w:t>
      </w:r>
      <w:r>
        <w:rPr>
          <w:spacing w:val="-1"/>
        </w:rPr>
        <w:t>hypocalcaemia</w:t>
      </w:r>
      <w:r>
        <w:t xml:space="preserve"> </w:t>
      </w:r>
      <w:r>
        <w:rPr>
          <w:spacing w:val="-1"/>
        </w:rPr>
        <w:t>(50.0%).</w:t>
      </w:r>
    </w:p>
    <w:p w:rsidR="00506994" w:rsidRDefault="00506994" w:rsidP="00AB7A9E">
      <w:pPr>
        <w:ind w:right="540"/>
        <w:rPr>
          <w:rFonts w:eastAsia="Times New Roman"/>
          <w:i/>
          <w:iCs/>
        </w:rPr>
      </w:pPr>
    </w:p>
    <w:p w:rsidR="00506994" w:rsidRPr="00335062" w:rsidRDefault="00506994" w:rsidP="00AB7A9E">
      <w:pPr>
        <w:ind w:right="540"/>
      </w:pPr>
      <w:r w:rsidRPr="00335062">
        <w:rPr>
          <w:rFonts w:eastAsia="Times New Roman"/>
          <w:i/>
          <w:iCs/>
        </w:rPr>
        <w:t>Newly diagnosed multiple myeloma</w:t>
      </w:r>
      <w:r>
        <w:rPr>
          <w:rFonts w:eastAsia="Times New Roman"/>
          <w:i/>
          <w:iCs/>
        </w:rPr>
        <w:t xml:space="preserve">: </w:t>
      </w:r>
      <w:r w:rsidRPr="00335062">
        <w:rPr>
          <w:rFonts w:eastAsia="Times New Roman"/>
          <w:i/>
          <w:iCs/>
        </w:rPr>
        <w:t>patients</w:t>
      </w:r>
      <w:r>
        <w:rPr>
          <w:rFonts w:eastAsia="Times New Roman"/>
          <w:i/>
          <w:iCs/>
        </w:rPr>
        <w:t xml:space="preserve"> who are not eligible for transplant</w:t>
      </w:r>
      <w:r w:rsidRPr="00335062">
        <w:rPr>
          <w:rFonts w:eastAsia="Times New Roman"/>
          <w:i/>
          <w:iCs/>
        </w:rPr>
        <w:t xml:space="preserve"> treated with lenalidomide in combination with low dose dexamethasone</w:t>
      </w:r>
    </w:p>
    <w:p w:rsidR="00506994" w:rsidRPr="00335062" w:rsidRDefault="00506994" w:rsidP="00AB7A9E">
      <w:pPr>
        <w:ind w:right="240"/>
      </w:pPr>
      <w:r w:rsidRPr="00335062">
        <w:rPr>
          <w:rFonts w:eastAsia="Times New Roman"/>
        </w:rPr>
        <w:t>The serious adverse reactions observed more frequently (≥5%) with lenalidomide in combination with low dose dexamethasone (Rd and Rd18) than with melphalan, prednisone and thalidomide (MPT) were:</w:t>
      </w:r>
    </w:p>
    <w:p w:rsidR="00506994" w:rsidRPr="00335062" w:rsidRDefault="00506994" w:rsidP="00AB7A9E">
      <w:pPr>
        <w:pStyle w:val="ListParagraph"/>
        <w:numPr>
          <w:ilvl w:val="0"/>
          <w:numId w:val="26"/>
        </w:numPr>
        <w:tabs>
          <w:tab w:val="left" w:pos="721"/>
        </w:tabs>
        <w:ind w:left="0" w:firstLine="0"/>
        <w:rPr>
          <w:rFonts w:eastAsia="Symbol"/>
        </w:rPr>
      </w:pPr>
      <w:r w:rsidRPr="00335062">
        <w:rPr>
          <w:rFonts w:eastAsia="Times New Roman"/>
        </w:rPr>
        <w:t>Pneumonia (9.8%)</w:t>
      </w:r>
    </w:p>
    <w:p w:rsidR="00506994" w:rsidRPr="00335062" w:rsidRDefault="00506994" w:rsidP="00AB7A9E">
      <w:pPr>
        <w:pStyle w:val="ListParagraph"/>
        <w:numPr>
          <w:ilvl w:val="0"/>
          <w:numId w:val="26"/>
        </w:numPr>
        <w:tabs>
          <w:tab w:val="left" w:pos="721"/>
        </w:tabs>
        <w:ind w:left="0" w:firstLine="0"/>
        <w:rPr>
          <w:rFonts w:eastAsia="Symbol"/>
        </w:rPr>
      </w:pPr>
      <w:r w:rsidRPr="00335062">
        <w:rPr>
          <w:rFonts w:eastAsia="Times New Roman"/>
        </w:rPr>
        <w:t>Renal failure (including acute) (6.3%)</w:t>
      </w:r>
    </w:p>
    <w:p w:rsidR="00506994" w:rsidRPr="00335062" w:rsidRDefault="00506994" w:rsidP="00AB7A9E"/>
    <w:p w:rsidR="00506994" w:rsidRPr="00335062" w:rsidRDefault="00506994" w:rsidP="00AB7A9E">
      <w:r w:rsidRPr="00335062">
        <w:rPr>
          <w:rFonts w:eastAsia="Times New Roman"/>
        </w:rPr>
        <w:t>The adverse reactions observed more frequently with Rd or Rd18 than MPT were: diarrhoea (45.5%), fatigue (32.8%), back pain (32.0%), asthenia (28.2%), insomnia (27.6%), rash (24.3%), decreased appetite (23.1%), cough (22.7%), pyrexia (21.4%), and muscle spasms (20.5%).</w:t>
      </w:r>
    </w:p>
    <w:p w:rsidR="00506994" w:rsidRDefault="00506994" w:rsidP="00AB7A9E"/>
    <w:p w:rsidR="00506994" w:rsidRPr="00335062" w:rsidRDefault="00506994" w:rsidP="00AB7A9E">
      <w:pPr>
        <w:ind w:right="240"/>
      </w:pPr>
      <w:r w:rsidRPr="00335062">
        <w:rPr>
          <w:rFonts w:eastAsia="Times New Roman"/>
          <w:i/>
          <w:iCs/>
        </w:rPr>
        <w:t>Newly diagnosed multiple myeloma</w:t>
      </w:r>
      <w:r>
        <w:rPr>
          <w:rFonts w:eastAsia="Times New Roman"/>
          <w:i/>
          <w:iCs/>
        </w:rPr>
        <w:t>:</w:t>
      </w:r>
      <w:r w:rsidRPr="00335062">
        <w:rPr>
          <w:rFonts w:eastAsia="Times New Roman"/>
          <w:i/>
          <w:iCs/>
        </w:rPr>
        <w:t xml:space="preserve"> patients</w:t>
      </w:r>
      <w:r>
        <w:rPr>
          <w:rFonts w:eastAsia="Times New Roman"/>
          <w:i/>
          <w:iCs/>
        </w:rPr>
        <w:t xml:space="preserve"> who are not eligible for transplant</w:t>
      </w:r>
      <w:r w:rsidRPr="00335062">
        <w:rPr>
          <w:rFonts w:eastAsia="Times New Roman"/>
          <w:i/>
          <w:iCs/>
        </w:rPr>
        <w:t xml:space="preserve"> treated with lenalidomide in combination with melphalan and prednisone</w:t>
      </w:r>
    </w:p>
    <w:p w:rsidR="00506994" w:rsidRPr="00335062" w:rsidRDefault="00506994" w:rsidP="00AB7A9E">
      <w:pPr>
        <w:ind w:right="20"/>
      </w:pPr>
      <w:r w:rsidRPr="00335062">
        <w:rPr>
          <w:rFonts w:eastAsia="Times New Roman"/>
        </w:rPr>
        <w:t>The serious adverse reactions observed more frequently (≥5%) with melphalan, prednisone and lenalidomide followed by lenalidomide maintenance (MPR+R) or melphalan, prednisone and lenalidomide followed by placebo (MPR+p) than melphalan, prednisone and placebo followed by placebo (MPp+p) were:</w:t>
      </w:r>
    </w:p>
    <w:p w:rsidR="00506994" w:rsidRPr="00335062" w:rsidRDefault="00506994" w:rsidP="00AB7A9E">
      <w:pPr>
        <w:pStyle w:val="ListParagraph"/>
        <w:numPr>
          <w:ilvl w:val="0"/>
          <w:numId w:val="27"/>
        </w:numPr>
        <w:tabs>
          <w:tab w:val="left" w:pos="721"/>
        </w:tabs>
        <w:ind w:left="0" w:firstLine="0"/>
        <w:rPr>
          <w:rFonts w:eastAsia="Symbol"/>
        </w:rPr>
      </w:pPr>
      <w:r w:rsidRPr="00335062">
        <w:rPr>
          <w:rFonts w:eastAsia="Times New Roman"/>
        </w:rPr>
        <w:t>Febrile neutropenia (6.0%)</w:t>
      </w:r>
    </w:p>
    <w:p w:rsidR="00506994" w:rsidRPr="00335062" w:rsidRDefault="00506994" w:rsidP="00AB7A9E">
      <w:pPr>
        <w:pStyle w:val="ListParagraph"/>
        <w:numPr>
          <w:ilvl w:val="0"/>
          <w:numId w:val="27"/>
        </w:numPr>
        <w:tabs>
          <w:tab w:val="left" w:pos="721"/>
        </w:tabs>
        <w:ind w:left="0" w:firstLine="0"/>
        <w:rPr>
          <w:rFonts w:eastAsia="Symbol"/>
        </w:rPr>
      </w:pPr>
      <w:r>
        <w:rPr>
          <w:rFonts w:eastAsia="Times New Roman"/>
        </w:rPr>
        <w:t>An</w:t>
      </w:r>
      <w:r w:rsidR="00AD3C2C">
        <w:rPr>
          <w:rFonts w:eastAsia="Times New Roman"/>
        </w:rPr>
        <w:t>a</w:t>
      </w:r>
      <w:r w:rsidRPr="00335062">
        <w:rPr>
          <w:rFonts w:eastAsia="Times New Roman"/>
        </w:rPr>
        <w:t>emia (5.3%)</w:t>
      </w:r>
    </w:p>
    <w:p w:rsidR="00506994" w:rsidRPr="00335062" w:rsidRDefault="00506994" w:rsidP="00AB7A9E"/>
    <w:p w:rsidR="00506994" w:rsidRPr="00335062" w:rsidRDefault="00506994" w:rsidP="00AB7A9E">
      <w:r w:rsidRPr="00335062">
        <w:rPr>
          <w:rFonts w:eastAsia="Times New Roman"/>
        </w:rPr>
        <w:t>The adverse reactions observed more frequently with MPR+R or MPR+p than MPp+p were: neutropenia</w:t>
      </w:r>
    </w:p>
    <w:p w:rsidR="00506994" w:rsidRPr="00335062" w:rsidRDefault="00506994" w:rsidP="00AB7A9E">
      <w:r>
        <w:rPr>
          <w:rFonts w:eastAsia="Times New Roman"/>
        </w:rPr>
        <w:t>(83.3%), an</w:t>
      </w:r>
      <w:r w:rsidR="00AD3C2C">
        <w:rPr>
          <w:rFonts w:eastAsia="Times New Roman"/>
        </w:rPr>
        <w:t>a</w:t>
      </w:r>
      <w:r w:rsidRPr="00335062">
        <w:rPr>
          <w:rFonts w:eastAsia="Times New Roman"/>
        </w:rPr>
        <w:t>emia (70.7%), thrombocytopenia (70.0%), leu</w:t>
      </w:r>
      <w:r w:rsidR="00AD3C2C">
        <w:rPr>
          <w:rFonts w:eastAsia="Times New Roman"/>
        </w:rPr>
        <w:t>c</w:t>
      </w:r>
      <w:r w:rsidRPr="00335062">
        <w:rPr>
          <w:rFonts w:eastAsia="Times New Roman"/>
        </w:rPr>
        <w:t>openia (38.8%), constipation (34.0%), diarrhoea</w:t>
      </w:r>
    </w:p>
    <w:p w:rsidR="00506994" w:rsidRPr="00335062" w:rsidRDefault="00506994" w:rsidP="00AB7A9E">
      <w:r w:rsidRPr="00335062">
        <w:rPr>
          <w:rFonts w:eastAsia="Times New Roman"/>
        </w:rPr>
        <w:t>(33.3%), rash (28.9%), pyrexia (27.0%), peripheral oedema (25.0%), cough (24.0%), decreased appetite</w:t>
      </w:r>
    </w:p>
    <w:p w:rsidR="00506994" w:rsidRPr="00335062" w:rsidRDefault="00506994" w:rsidP="00AB7A9E">
      <w:r w:rsidRPr="00335062">
        <w:rPr>
          <w:rFonts w:eastAsia="Times New Roman"/>
        </w:rPr>
        <w:t>(23.7%), and asthenia (22.0%).</w:t>
      </w:r>
    </w:p>
    <w:p w:rsidR="00506994" w:rsidRPr="00335062" w:rsidRDefault="00506994" w:rsidP="00AB7A9E"/>
    <w:p w:rsidR="00506994" w:rsidRPr="004273C8" w:rsidRDefault="00506994" w:rsidP="00AB7A9E">
      <w:pPr>
        <w:rPr>
          <w:u w:val="single"/>
        </w:rPr>
      </w:pPr>
      <w:r w:rsidRPr="004273C8">
        <w:rPr>
          <w:rFonts w:eastAsia="Times New Roman"/>
          <w:i/>
          <w:iCs/>
          <w:u w:val="single"/>
        </w:rPr>
        <w:t>Multiple myeloma: patients with at least one prior therapy</w:t>
      </w:r>
    </w:p>
    <w:p w:rsidR="00506994" w:rsidRPr="00335062" w:rsidRDefault="00506994" w:rsidP="00AB7A9E">
      <w:pPr>
        <w:ind w:right="740"/>
      </w:pPr>
      <w:r w:rsidRPr="00335062">
        <w:rPr>
          <w:rFonts w:eastAsia="Times New Roman"/>
        </w:rPr>
        <w:t xml:space="preserve">In two </w:t>
      </w:r>
      <w:r w:rsidR="00C938ED">
        <w:rPr>
          <w:rFonts w:eastAsia="Times New Roman"/>
        </w:rPr>
        <w:t>p</w:t>
      </w:r>
      <w:r w:rsidRPr="00335062">
        <w:rPr>
          <w:rFonts w:eastAsia="Times New Roman"/>
        </w:rPr>
        <w:t xml:space="preserve">hase </w:t>
      </w:r>
      <w:r w:rsidR="00F848D4">
        <w:rPr>
          <w:rFonts w:eastAsia="Times New Roman"/>
        </w:rPr>
        <w:t>3</w:t>
      </w:r>
      <w:r w:rsidRPr="00335062">
        <w:rPr>
          <w:rFonts w:eastAsia="Times New Roman"/>
        </w:rPr>
        <w:t xml:space="preserve"> placebo-controlled studies, 353 patients with multiple myeloma were exposed to the lenalidomide/dexamethasone combination and 351 to the placebo/dexamethasone combination.</w:t>
      </w:r>
    </w:p>
    <w:p w:rsidR="00506994" w:rsidRPr="00335062" w:rsidRDefault="00506994" w:rsidP="00AB7A9E"/>
    <w:p w:rsidR="00506994" w:rsidRPr="00335062" w:rsidRDefault="00506994" w:rsidP="00AB7A9E">
      <w:pPr>
        <w:ind w:right="940"/>
      </w:pPr>
      <w:r w:rsidRPr="00335062">
        <w:rPr>
          <w:rFonts w:eastAsia="Times New Roman"/>
        </w:rPr>
        <w:t>The most serious adverse reactions observed more frequently in lenalidomide/dexamethasone than placebo/dexamethasone combination were:</w:t>
      </w:r>
    </w:p>
    <w:p w:rsidR="00506994" w:rsidRPr="00335062" w:rsidRDefault="00506994" w:rsidP="00AB7A9E">
      <w:pPr>
        <w:pStyle w:val="ListParagraph"/>
        <w:numPr>
          <w:ilvl w:val="0"/>
          <w:numId w:val="28"/>
        </w:numPr>
        <w:tabs>
          <w:tab w:val="left" w:pos="561"/>
        </w:tabs>
        <w:ind w:left="0" w:firstLine="0"/>
        <w:rPr>
          <w:rFonts w:eastAsia="Symbol"/>
        </w:rPr>
      </w:pPr>
      <w:r w:rsidRPr="00335062">
        <w:rPr>
          <w:rFonts w:eastAsia="Times New Roman"/>
        </w:rPr>
        <w:t>Venous thromboembolism (deep vein thrombosis, pulmonary embolism) (see section 4.4)</w:t>
      </w:r>
    </w:p>
    <w:p w:rsidR="00506994" w:rsidRPr="00335062" w:rsidRDefault="00506994" w:rsidP="00AB7A9E">
      <w:pPr>
        <w:pStyle w:val="ListParagraph"/>
        <w:numPr>
          <w:ilvl w:val="0"/>
          <w:numId w:val="28"/>
        </w:numPr>
        <w:tabs>
          <w:tab w:val="left" w:pos="561"/>
        </w:tabs>
        <w:ind w:left="0" w:firstLine="0"/>
        <w:rPr>
          <w:rFonts w:eastAsia="Symbol"/>
        </w:rPr>
      </w:pPr>
      <w:r w:rsidRPr="00335062">
        <w:rPr>
          <w:rFonts w:eastAsia="Times New Roman"/>
        </w:rPr>
        <w:t>Grade 4 neutropenia (see section 4.4).</w:t>
      </w:r>
    </w:p>
    <w:p w:rsidR="00506994" w:rsidRPr="00335062" w:rsidRDefault="00506994" w:rsidP="00AB7A9E"/>
    <w:p w:rsidR="00506994" w:rsidRPr="00335062" w:rsidRDefault="00506994" w:rsidP="00AB7A9E">
      <w:r w:rsidRPr="00335062">
        <w:rPr>
          <w:rFonts w:eastAsia="Times New Roman"/>
        </w:rPr>
        <w:t>The observed adverse reactions which occurred more frequently with lenalidomide and dexamethasone than</w:t>
      </w:r>
      <w:r w:rsidR="00131D8A">
        <w:rPr>
          <w:rFonts w:eastAsia="Times New Roman"/>
        </w:rPr>
        <w:t xml:space="preserve"> </w:t>
      </w:r>
      <w:r w:rsidRPr="00335062">
        <w:rPr>
          <w:rFonts w:eastAsia="Times New Roman"/>
        </w:rPr>
        <w:t>placebo and dexamethasone in pooled multiple myeloma clinical trials (MM-009 and MM-010) were fatigue</w:t>
      </w:r>
    </w:p>
    <w:p w:rsidR="00506994" w:rsidRPr="00335062" w:rsidRDefault="00506994" w:rsidP="00AB7A9E">
      <w:r w:rsidRPr="00335062">
        <w:rPr>
          <w:rFonts w:eastAsia="Times New Roman"/>
        </w:rPr>
        <w:t>(43.9%), neutropenia (42.2%), constipation (40.5%), diarrhoea (3</w:t>
      </w:r>
      <w:r>
        <w:rPr>
          <w:rFonts w:eastAsia="Times New Roman"/>
        </w:rPr>
        <w:t>8.5%), muscle cramp (33.4%), an</w:t>
      </w:r>
      <w:r w:rsidR="00F848D4">
        <w:rPr>
          <w:rFonts w:eastAsia="Times New Roman"/>
        </w:rPr>
        <w:t>a</w:t>
      </w:r>
      <w:r w:rsidRPr="00335062">
        <w:rPr>
          <w:rFonts w:eastAsia="Times New Roman"/>
        </w:rPr>
        <w:t>emia</w:t>
      </w:r>
    </w:p>
    <w:p w:rsidR="00506994" w:rsidRPr="00335062" w:rsidRDefault="00506994" w:rsidP="00AB7A9E">
      <w:r w:rsidRPr="00335062">
        <w:rPr>
          <w:rFonts w:eastAsia="Times New Roman"/>
        </w:rPr>
        <w:t>(31.4%), thrombocytopenia (21.5%), and rash (21.2%).</w:t>
      </w:r>
    </w:p>
    <w:p w:rsidR="00506994" w:rsidRDefault="00506994" w:rsidP="00AB7A9E"/>
    <w:p w:rsidR="00655D0D" w:rsidRPr="004273C8" w:rsidRDefault="00EE3678" w:rsidP="00655D0D">
      <w:pPr>
        <w:rPr>
          <w:rFonts w:eastAsia="Times New Roman"/>
          <w:i/>
          <w:u w:val="single"/>
        </w:rPr>
      </w:pPr>
      <w:r w:rsidRPr="004273C8">
        <w:rPr>
          <w:rFonts w:eastAsia="Times New Roman"/>
          <w:i/>
          <w:u w:val="single"/>
        </w:rPr>
        <w:t>Myelodysplastic syndromes</w:t>
      </w:r>
    </w:p>
    <w:p w:rsidR="00655D0D" w:rsidRPr="00655D0D" w:rsidRDefault="00655D0D" w:rsidP="00655D0D">
      <w:pPr>
        <w:rPr>
          <w:rFonts w:eastAsia="Times New Roman"/>
        </w:rPr>
      </w:pPr>
      <w:r w:rsidRPr="00655D0D">
        <w:rPr>
          <w:rFonts w:eastAsia="Times New Roman"/>
        </w:rPr>
        <w:t xml:space="preserve">The overall safety profile of lenalidomide in patients with myelodysplastic syndromes is based on data from a total of 286 patients from one phase </w:t>
      </w:r>
      <w:r w:rsidR="00F848D4">
        <w:rPr>
          <w:rFonts w:eastAsia="Times New Roman"/>
        </w:rPr>
        <w:t>2</w:t>
      </w:r>
      <w:r w:rsidRPr="00655D0D">
        <w:rPr>
          <w:rFonts w:eastAsia="Times New Roman"/>
        </w:rPr>
        <w:t xml:space="preserve"> study and one phase </w:t>
      </w:r>
      <w:r w:rsidR="00F848D4">
        <w:rPr>
          <w:rFonts w:eastAsia="Times New Roman"/>
        </w:rPr>
        <w:t>3</w:t>
      </w:r>
      <w:r w:rsidRPr="00655D0D">
        <w:rPr>
          <w:rFonts w:eastAsia="Times New Roman"/>
        </w:rPr>
        <w:t xml:space="preserve"> study </w:t>
      </w:r>
      <w:r w:rsidRPr="002279EB">
        <w:rPr>
          <w:rFonts w:eastAsia="Times New Roman"/>
          <w:shd w:val="clear" w:color="auto" w:fill="FDE9D9" w:themeFill="accent6" w:themeFillTint="33"/>
        </w:rPr>
        <w:t>(see section 5.1).</w:t>
      </w:r>
      <w:r w:rsidRPr="00655D0D">
        <w:rPr>
          <w:rFonts w:eastAsia="Times New Roman"/>
        </w:rPr>
        <w:t xml:space="preserve"> In the phase </w:t>
      </w:r>
      <w:r w:rsidR="00F848D4">
        <w:rPr>
          <w:rFonts w:eastAsia="Times New Roman"/>
        </w:rPr>
        <w:t>2</w:t>
      </w:r>
      <w:r w:rsidRPr="00655D0D">
        <w:rPr>
          <w:rFonts w:eastAsia="Times New Roman"/>
        </w:rPr>
        <w:t xml:space="preserve">, all 148 patients were on lenalidomide treatment. In the phase </w:t>
      </w:r>
      <w:r w:rsidR="00F848D4">
        <w:rPr>
          <w:rFonts w:eastAsia="Times New Roman"/>
        </w:rPr>
        <w:t>3</w:t>
      </w:r>
      <w:r w:rsidRPr="00655D0D">
        <w:rPr>
          <w:rFonts w:eastAsia="Times New Roman"/>
        </w:rPr>
        <w:t xml:space="preserve"> study, 69 patients were on lenalidomide 5 mg, 69 patients on lenalidomide 10 mg and 67 patients were on placebo during the double-blind phase of the study.</w:t>
      </w:r>
    </w:p>
    <w:p w:rsidR="00D00B6E" w:rsidRDefault="00D00B6E" w:rsidP="00655D0D">
      <w:pPr>
        <w:rPr>
          <w:rFonts w:eastAsia="Times New Roman"/>
        </w:rPr>
      </w:pPr>
    </w:p>
    <w:p w:rsidR="00D00B6E" w:rsidRDefault="00655D0D" w:rsidP="00655D0D">
      <w:pPr>
        <w:rPr>
          <w:rFonts w:eastAsia="Times New Roman"/>
        </w:rPr>
      </w:pPr>
      <w:r w:rsidRPr="00655D0D">
        <w:rPr>
          <w:rFonts w:eastAsia="Times New Roman"/>
        </w:rPr>
        <w:t xml:space="preserve">Most adverse reactions tended to occur during the first 16 weeks of therapy with lenalidomide. </w:t>
      </w:r>
    </w:p>
    <w:p w:rsidR="00D00B6E" w:rsidRDefault="00D00B6E" w:rsidP="00655D0D">
      <w:pPr>
        <w:rPr>
          <w:rFonts w:eastAsia="Times New Roman"/>
        </w:rPr>
      </w:pPr>
    </w:p>
    <w:p w:rsidR="00655D0D" w:rsidRPr="00655D0D" w:rsidRDefault="00655D0D" w:rsidP="00655D0D">
      <w:pPr>
        <w:rPr>
          <w:rFonts w:eastAsia="Times New Roman"/>
        </w:rPr>
      </w:pPr>
      <w:r w:rsidRPr="00655D0D">
        <w:rPr>
          <w:rFonts w:eastAsia="Times New Roman"/>
        </w:rPr>
        <w:t>Serious adverse reactions include:</w:t>
      </w:r>
    </w:p>
    <w:p w:rsidR="00655D0D" w:rsidRPr="00655D0D" w:rsidRDefault="00655D0D" w:rsidP="00655D0D">
      <w:pPr>
        <w:rPr>
          <w:rFonts w:eastAsia="Times New Roman"/>
        </w:rPr>
      </w:pPr>
      <w:r w:rsidRPr="00655D0D">
        <w:rPr>
          <w:rFonts w:eastAsia="Times New Roman"/>
        </w:rPr>
        <w:t>•</w:t>
      </w:r>
      <w:r w:rsidRPr="00655D0D">
        <w:rPr>
          <w:rFonts w:eastAsia="Times New Roman"/>
        </w:rPr>
        <w:tab/>
        <w:t>Venous thromboembolism (deep vein thrombosis, pulmonary embolism) (see section 4.4)</w:t>
      </w:r>
    </w:p>
    <w:p w:rsidR="00655D0D" w:rsidRPr="00655D0D" w:rsidRDefault="00655D0D" w:rsidP="00655D0D">
      <w:pPr>
        <w:rPr>
          <w:rFonts w:eastAsia="Times New Roman"/>
        </w:rPr>
      </w:pPr>
      <w:r w:rsidRPr="00655D0D">
        <w:rPr>
          <w:rFonts w:eastAsia="Times New Roman"/>
        </w:rPr>
        <w:t>•</w:t>
      </w:r>
      <w:r w:rsidRPr="00655D0D">
        <w:rPr>
          <w:rFonts w:eastAsia="Times New Roman"/>
        </w:rPr>
        <w:tab/>
        <w:t xml:space="preserve">Grade 3 or 4 neutropenia, febrile neutropenia and </w:t>
      </w:r>
      <w:r w:rsidR="00F848D4">
        <w:rPr>
          <w:rFonts w:eastAsia="Times New Roman"/>
        </w:rPr>
        <w:t>G</w:t>
      </w:r>
      <w:r w:rsidRPr="00655D0D">
        <w:rPr>
          <w:rFonts w:eastAsia="Times New Roman"/>
        </w:rPr>
        <w:t>rade 3 or 4 thrombocytopenia (see section 4.4).</w:t>
      </w:r>
    </w:p>
    <w:p w:rsidR="00655D0D" w:rsidRPr="00655D0D" w:rsidRDefault="00655D0D" w:rsidP="00655D0D">
      <w:pPr>
        <w:rPr>
          <w:rFonts w:eastAsia="Times New Roman"/>
        </w:rPr>
      </w:pPr>
      <w:r w:rsidRPr="00655D0D">
        <w:rPr>
          <w:rFonts w:eastAsia="Times New Roman"/>
        </w:rPr>
        <w:t xml:space="preserve"> </w:t>
      </w:r>
    </w:p>
    <w:p w:rsidR="00655D0D" w:rsidRPr="00655D0D" w:rsidRDefault="00655D0D" w:rsidP="00655D0D">
      <w:pPr>
        <w:rPr>
          <w:rFonts w:eastAsia="Times New Roman"/>
        </w:rPr>
      </w:pPr>
      <w:r w:rsidRPr="00655D0D">
        <w:rPr>
          <w:rFonts w:eastAsia="Times New Roman"/>
        </w:rPr>
        <w:t xml:space="preserve">The most commonly observed adverse reactions which occurred more frequently in the lenalidomide groups compared to the control arm in the phase </w:t>
      </w:r>
      <w:r w:rsidR="00F848D4">
        <w:rPr>
          <w:rFonts w:eastAsia="Times New Roman"/>
        </w:rPr>
        <w:t>3</w:t>
      </w:r>
      <w:r w:rsidRPr="00655D0D">
        <w:rPr>
          <w:rFonts w:eastAsia="Times New Roman"/>
        </w:rPr>
        <w:t xml:space="preserve"> study were neutropenia (76.8%), thrombocytopenia (46.4%), diarrhoea (34.8%), constipation (19.6%), nausea (19.6%), pruritus (25.4%), rash (18.1%), fatigue (18.1%) and muscle spasms (16.7%).</w:t>
      </w:r>
    </w:p>
    <w:p w:rsidR="00655D0D" w:rsidRPr="00655D0D" w:rsidRDefault="00655D0D" w:rsidP="00655D0D">
      <w:pPr>
        <w:rPr>
          <w:rFonts w:eastAsia="Times New Roman"/>
        </w:rPr>
      </w:pPr>
    </w:p>
    <w:p w:rsidR="00655D0D" w:rsidRPr="004273C8" w:rsidRDefault="00EE3678" w:rsidP="00655D0D">
      <w:pPr>
        <w:rPr>
          <w:rFonts w:eastAsia="Times New Roman"/>
          <w:i/>
          <w:u w:val="single"/>
        </w:rPr>
      </w:pPr>
      <w:r w:rsidRPr="004273C8">
        <w:rPr>
          <w:rFonts w:eastAsia="Times New Roman"/>
          <w:i/>
          <w:u w:val="single"/>
        </w:rPr>
        <w:t>Mantle cell lymphoma</w:t>
      </w:r>
    </w:p>
    <w:p w:rsidR="00655D0D" w:rsidRPr="00655D0D" w:rsidRDefault="00655D0D" w:rsidP="00655D0D">
      <w:pPr>
        <w:rPr>
          <w:rFonts w:eastAsia="Times New Roman"/>
        </w:rPr>
      </w:pPr>
      <w:r w:rsidRPr="00655D0D">
        <w:rPr>
          <w:rFonts w:eastAsia="Times New Roman"/>
        </w:rPr>
        <w:t xml:space="preserve">The overall safety profile of lenalidomide in patients with mantle cell lymphoma is based on data from 254 patients from a phase </w:t>
      </w:r>
      <w:r w:rsidR="00F848D4">
        <w:rPr>
          <w:rFonts w:eastAsia="Times New Roman"/>
        </w:rPr>
        <w:t>2</w:t>
      </w:r>
      <w:r w:rsidRPr="00655D0D">
        <w:rPr>
          <w:rFonts w:eastAsia="Times New Roman"/>
        </w:rPr>
        <w:t xml:space="preserve"> randomised, controlled study MCL-002 </w:t>
      </w:r>
      <w:r w:rsidRPr="002279EB">
        <w:rPr>
          <w:rFonts w:eastAsia="Times New Roman"/>
          <w:shd w:val="clear" w:color="auto" w:fill="DBE5F1" w:themeFill="accent1" w:themeFillTint="33"/>
        </w:rPr>
        <w:t>(see section 5.1)</w:t>
      </w:r>
      <w:r w:rsidRPr="00655D0D">
        <w:rPr>
          <w:rFonts w:eastAsia="Times New Roman"/>
        </w:rPr>
        <w:t>.</w:t>
      </w:r>
    </w:p>
    <w:p w:rsidR="00655D0D" w:rsidRPr="00655D0D" w:rsidRDefault="00655D0D" w:rsidP="00655D0D">
      <w:pPr>
        <w:rPr>
          <w:rFonts w:eastAsia="Times New Roman"/>
        </w:rPr>
      </w:pPr>
      <w:r w:rsidRPr="00655D0D">
        <w:rPr>
          <w:rFonts w:eastAsia="Times New Roman"/>
        </w:rPr>
        <w:t>Additionally, adverse drug reactions from supportive study MCL-001 have been included in table 3.</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The serious adverse reactions observed more frequently in study MCL-002 (with a difference of at least 2 percentage points) in the lenalidomide arm compared with the control arm were:</w:t>
      </w:r>
    </w:p>
    <w:p w:rsidR="00655D0D" w:rsidRPr="00655D0D" w:rsidRDefault="00655D0D" w:rsidP="00655D0D">
      <w:pPr>
        <w:rPr>
          <w:rFonts w:eastAsia="Times New Roman"/>
        </w:rPr>
      </w:pPr>
      <w:r w:rsidRPr="00655D0D">
        <w:rPr>
          <w:rFonts w:eastAsia="Times New Roman"/>
        </w:rPr>
        <w:t>•</w:t>
      </w:r>
      <w:r w:rsidRPr="00655D0D">
        <w:rPr>
          <w:rFonts w:eastAsia="Times New Roman"/>
        </w:rPr>
        <w:tab/>
        <w:t>Neutropenia (3.6%)</w:t>
      </w:r>
    </w:p>
    <w:p w:rsidR="00655D0D" w:rsidRPr="00655D0D" w:rsidRDefault="00655D0D" w:rsidP="00655D0D">
      <w:pPr>
        <w:rPr>
          <w:rFonts w:eastAsia="Times New Roman"/>
        </w:rPr>
      </w:pPr>
      <w:r w:rsidRPr="00655D0D">
        <w:rPr>
          <w:rFonts w:eastAsia="Times New Roman"/>
        </w:rPr>
        <w:t>•</w:t>
      </w:r>
      <w:r w:rsidRPr="00655D0D">
        <w:rPr>
          <w:rFonts w:eastAsia="Times New Roman"/>
        </w:rPr>
        <w:tab/>
        <w:t>Pulmonary embolism (3.6%)</w:t>
      </w:r>
    </w:p>
    <w:p w:rsidR="00655D0D" w:rsidRPr="00655D0D" w:rsidRDefault="00655D0D" w:rsidP="00655D0D">
      <w:pPr>
        <w:rPr>
          <w:rFonts w:eastAsia="Times New Roman"/>
        </w:rPr>
      </w:pPr>
      <w:r w:rsidRPr="00655D0D">
        <w:rPr>
          <w:rFonts w:eastAsia="Times New Roman"/>
        </w:rPr>
        <w:t>•</w:t>
      </w:r>
      <w:r w:rsidRPr="00655D0D">
        <w:rPr>
          <w:rFonts w:eastAsia="Times New Roman"/>
        </w:rPr>
        <w:tab/>
        <w:t>Diarrhoea (3.6%)</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The most frequently observed adverse reactions which occurred more frequently in the lenalidomide arm compared with the control arm in study MCL-002 were neutropenia (50.9%), an</w:t>
      </w:r>
      <w:r w:rsidR="00F848D4">
        <w:rPr>
          <w:rFonts w:eastAsia="Times New Roman"/>
        </w:rPr>
        <w:t>a</w:t>
      </w:r>
      <w:r w:rsidRPr="00655D0D">
        <w:rPr>
          <w:rFonts w:eastAsia="Times New Roman"/>
        </w:rPr>
        <w:t>emia (28.7%), diarrhoea (22.8%), fatigue (21.0%), constipation (17.4%), pyrexia (16.8%), and rash (including dermatitis allergic)</w:t>
      </w:r>
    </w:p>
    <w:p w:rsidR="00655D0D" w:rsidRPr="00655D0D" w:rsidRDefault="00655D0D" w:rsidP="00655D0D">
      <w:pPr>
        <w:rPr>
          <w:rFonts w:eastAsia="Times New Roman"/>
        </w:rPr>
      </w:pPr>
      <w:r w:rsidRPr="00655D0D">
        <w:rPr>
          <w:rFonts w:eastAsia="Times New Roman"/>
        </w:rPr>
        <w:t>(16.2%).</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In study MCL-002 there was overall an apparent increase in early (within 20 weeks) deaths. Patients with high tumour burden at baseline are at increased risk of early death, 16/81 (20%) early deaths in the lenalidomide arm and 2/28 (7%) early deaths in the control arm. Within 52 weeks corresponding figures were 32/81 (39.5%) and 6/28 (21%) (see section 5.1).</w:t>
      </w:r>
    </w:p>
    <w:p w:rsidR="00F713B8" w:rsidRDefault="00655D0D" w:rsidP="00655D0D">
      <w:pPr>
        <w:rPr>
          <w:rFonts w:eastAsia="Times New Roman"/>
        </w:rPr>
      </w:pPr>
      <w:r w:rsidRPr="00655D0D">
        <w:rPr>
          <w:rFonts w:eastAsia="Times New Roman"/>
        </w:rPr>
        <w:t>During treatment cycle 1, 11/81 (14%) patients with high tumour burden were withdrawn from therapy in the lenalidomide arm vs. 1/28 (4%) in the control group. The main reason for treatment withdrawal for patients with high tumour burden during treatment cycle 1 in the lenalidomide arm was adverse events, 7/11 (64%). High tumour burden was defined as at least one lesion ≥5 cm in diameter or 3 lesions ≥3 cm.</w:t>
      </w:r>
    </w:p>
    <w:p w:rsidR="00941628" w:rsidRDefault="00941628" w:rsidP="00F848D4">
      <w:pPr>
        <w:rPr>
          <w:rFonts w:eastAsia="Times New Roman"/>
        </w:rPr>
      </w:pPr>
    </w:p>
    <w:p w:rsidR="00F848D4" w:rsidRDefault="00F848D4" w:rsidP="00F848D4">
      <w:pPr>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p>
    <w:p w:rsidR="00F848D4" w:rsidRDefault="00F848D4" w:rsidP="00F848D4">
      <w:r>
        <w:t>The</w:t>
      </w:r>
      <w:r>
        <w:rPr>
          <w:spacing w:val="-2"/>
        </w:rPr>
        <w:t xml:space="preserve"> </w:t>
      </w:r>
      <w:r>
        <w:rPr>
          <w:spacing w:val="-1"/>
        </w:rPr>
        <w:t>overall</w:t>
      </w:r>
      <w:r>
        <w:rPr>
          <w:spacing w:val="1"/>
        </w:rPr>
        <w:t xml:space="preserve"> </w:t>
      </w:r>
      <w:r>
        <w:rPr>
          <w:spacing w:val="-1"/>
        </w:rPr>
        <w:t>safety</w:t>
      </w:r>
      <w:r>
        <w:rPr>
          <w:spacing w:val="-3"/>
        </w:rPr>
        <w:t xml:space="preserve"> </w:t>
      </w:r>
      <w:r>
        <w:rPr>
          <w:spacing w:val="-1"/>
        </w:rPr>
        <w:t>profile</w:t>
      </w:r>
      <w:r>
        <w:t xml:space="preserve"> </w:t>
      </w:r>
      <w:r>
        <w:rPr>
          <w:spacing w:val="-2"/>
        </w:rPr>
        <w:t>of</w:t>
      </w:r>
      <w:r>
        <w:rPr>
          <w:spacing w:val="1"/>
        </w:rPr>
        <w:t xml:space="preserve"> </w:t>
      </w:r>
      <w:r>
        <w:rPr>
          <w:spacing w:val="-1"/>
        </w:rPr>
        <w:t>lenalidomide</w:t>
      </w:r>
      <w:r>
        <w:rPr>
          <w:spacing w:val="-2"/>
        </w:rPr>
        <w:t xml:space="preserve"> </w:t>
      </w:r>
      <w:r>
        <w:t xml:space="preserve">in </w:t>
      </w:r>
      <w:r>
        <w:rPr>
          <w:spacing w:val="-1"/>
        </w:rPr>
        <w:t>combination</w:t>
      </w:r>
      <w:r>
        <w:t xml:space="preserve"> with</w:t>
      </w:r>
      <w:r>
        <w:rPr>
          <w:spacing w:val="-2"/>
        </w:rPr>
        <w:t xml:space="preserve"> </w:t>
      </w:r>
      <w:r>
        <w:rPr>
          <w:spacing w:val="-1"/>
        </w:rPr>
        <w:t>rituximab</w:t>
      </w:r>
      <w:r>
        <w:t xml:space="preserve"> in </w:t>
      </w:r>
      <w:r>
        <w:rPr>
          <w:spacing w:val="-1"/>
        </w:rPr>
        <w:t>patients</w:t>
      </w:r>
      <w:r>
        <w:t xml:space="preserve"> </w:t>
      </w:r>
      <w:r>
        <w:rPr>
          <w:spacing w:val="-1"/>
        </w:rPr>
        <w:t>with</w:t>
      </w:r>
      <w:r>
        <w:t xml:space="preserve"> </w:t>
      </w:r>
      <w:r>
        <w:rPr>
          <w:spacing w:val="-1"/>
        </w:rPr>
        <w:t>previously</w:t>
      </w:r>
      <w:r>
        <w:rPr>
          <w:spacing w:val="-3"/>
        </w:rPr>
        <w:t xml:space="preserve"> </w:t>
      </w:r>
      <w:r>
        <w:rPr>
          <w:spacing w:val="-1"/>
        </w:rPr>
        <w:t>treated</w:t>
      </w:r>
      <w:r>
        <w:rPr>
          <w:spacing w:val="83"/>
        </w:rPr>
        <w:t xml:space="preserve"> </w:t>
      </w:r>
      <w:r>
        <w:rPr>
          <w:spacing w:val="-1"/>
        </w:rPr>
        <w:t>follicular</w:t>
      </w:r>
      <w:r>
        <w:rPr>
          <w:spacing w:val="-2"/>
        </w:rPr>
        <w:t xml:space="preserve"> </w:t>
      </w:r>
      <w:r>
        <w:rPr>
          <w:spacing w:val="-1"/>
        </w:rPr>
        <w:t>lymphoma</w:t>
      </w:r>
      <w:r>
        <w:t xml:space="preserve"> is </w:t>
      </w:r>
      <w:r>
        <w:rPr>
          <w:spacing w:val="-1"/>
        </w:rPr>
        <w:t>based</w:t>
      </w:r>
      <w:r>
        <w:t xml:space="preserve"> on </w:t>
      </w:r>
      <w:r>
        <w:rPr>
          <w:spacing w:val="-1"/>
        </w:rPr>
        <w:t>data</w:t>
      </w:r>
      <w:r>
        <w:rPr>
          <w:spacing w:val="-2"/>
        </w:rPr>
        <w:t xml:space="preserve"> </w:t>
      </w:r>
      <w:r>
        <w:t>from</w:t>
      </w:r>
      <w:r>
        <w:rPr>
          <w:spacing w:val="-4"/>
        </w:rPr>
        <w:t xml:space="preserve"> </w:t>
      </w:r>
      <w:r>
        <w:t xml:space="preserve">294 </w:t>
      </w:r>
      <w:r>
        <w:rPr>
          <w:spacing w:val="-1"/>
        </w:rPr>
        <w:t>patients</w:t>
      </w:r>
      <w:r>
        <w:rPr>
          <w:spacing w:val="-2"/>
        </w:rPr>
        <w:t xml:space="preserve"> </w:t>
      </w:r>
      <w:r>
        <w:t>from</w:t>
      </w:r>
      <w:r>
        <w:rPr>
          <w:spacing w:val="-4"/>
        </w:rPr>
        <w:t xml:space="preserve"> </w:t>
      </w:r>
      <w:r>
        <w:t xml:space="preserve">a </w:t>
      </w:r>
      <w:r>
        <w:rPr>
          <w:spacing w:val="-1"/>
        </w:rPr>
        <w:t>Phase</w:t>
      </w:r>
      <w:r>
        <w:rPr>
          <w:spacing w:val="-2"/>
        </w:rPr>
        <w:t xml:space="preserve"> </w:t>
      </w:r>
      <w:r>
        <w:t xml:space="preserve">3 </w:t>
      </w:r>
      <w:r>
        <w:rPr>
          <w:spacing w:val="-1"/>
        </w:rPr>
        <w:t>randomised,</w:t>
      </w:r>
      <w:r>
        <w:t xml:space="preserve"> </w:t>
      </w:r>
      <w:r>
        <w:rPr>
          <w:spacing w:val="-1"/>
        </w:rPr>
        <w:t>controlled</w:t>
      </w:r>
      <w:r>
        <w:rPr>
          <w:spacing w:val="-3"/>
        </w:rPr>
        <w:t xml:space="preserve"> </w:t>
      </w:r>
      <w:r>
        <w:rPr>
          <w:spacing w:val="-1"/>
        </w:rPr>
        <w:t>study</w:t>
      </w:r>
      <w:r>
        <w:rPr>
          <w:spacing w:val="-3"/>
        </w:rPr>
        <w:t xml:space="preserve"> </w:t>
      </w:r>
      <w:r>
        <w:t>NHL-</w:t>
      </w:r>
      <w:r w:rsidR="00816DE5">
        <w:t>00</w:t>
      </w:r>
      <w:r>
        <w:t xml:space="preserve">7. </w:t>
      </w:r>
      <w:r>
        <w:rPr>
          <w:spacing w:val="-1"/>
        </w:rPr>
        <w:t>Additionally,</w:t>
      </w:r>
      <w:r>
        <w:t xml:space="preserve"> </w:t>
      </w:r>
      <w:r>
        <w:rPr>
          <w:spacing w:val="-1"/>
        </w:rPr>
        <w:t>adverse</w:t>
      </w:r>
      <w:r>
        <w:rPr>
          <w:spacing w:val="-4"/>
        </w:rPr>
        <w:t xml:space="preserve"> </w:t>
      </w:r>
      <w:r>
        <w:t>drug</w:t>
      </w:r>
      <w:r>
        <w:rPr>
          <w:spacing w:val="-2"/>
        </w:rPr>
        <w:t xml:space="preserve"> </w:t>
      </w:r>
      <w:r>
        <w:rPr>
          <w:spacing w:val="-1"/>
        </w:rPr>
        <w:t>reactions</w:t>
      </w:r>
      <w:r>
        <w:rPr>
          <w:spacing w:val="-2"/>
        </w:rPr>
        <w:t xml:space="preserve"> </w:t>
      </w:r>
      <w:r>
        <w:t>from</w:t>
      </w:r>
      <w:r>
        <w:rPr>
          <w:spacing w:val="-4"/>
        </w:rPr>
        <w:t xml:space="preserve"> </w:t>
      </w:r>
      <w:r>
        <w:rPr>
          <w:spacing w:val="-1"/>
        </w:rPr>
        <w:t>supportive</w:t>
      </w:r>
      <w:r>
        <w:t xml:space="preserve"> study</w:t>
      </w:r>
      <w:r>
        <w:rPr>
          <w:spacing w:val="-2"/>
        </w:rPr>
        <w:t xml:space="preserve"> NHL-008</w:t>
      </w:r>
      <w:r>
        <w:t xml:space="preserve"> </w:t>
      </w:r>
      <w:r>
        <w:rPr>
          <w:spacing w:val="-1"/>
        </w:rPr>
        <w:t>have</w:t>
      </w:r>
      <w:r>
        <w:t xml:space="preserve"> been </w:t>
      </w:r>
      <w:r>
        <w:rPr>
          <w:spacing w:val="-1"/>
        </w:rPr>
        <w:t>included</w:t>
      </w:r>
      <w:r>
        <w:rPr>
          <w:spacing w:val="-2"/>
        </w:rPr>
        <w:t xml:space="preserve"> </w:t>
      </w:r>
      <w:r>
        <w:t>in</w:t>
      </w:r>
      <w:r>
        <w:rPr>
          <w:spacing w:val="-2"/>
        </w:rPr>
        <w:t xml:space="preserve"> </w:t>
      </w:r>
      <w:r>
        <w:t>Table 5.</w:t>
      </w:r>
    </w:p>
    <w:p w:rsidR="00F848D4" w:rsidRDefault="00F848D4" w:rsidP="00F848D4">
      <w:pPr>
        <w:rPr>
          <w:rFonts w:eastAsia="Times New Roman"/>
        </w:rPr>
      </w:pPr>
    </w:p>
    <w:p w:rsidR="00F848D4" w:rsidRDefault="00F848D4" w:rsidP="00F848D4">
      <w:r>
        <w:t>The</w:t>
      </w:r>
      <w:r>
        <w:rPr>
          <w:spacing w:val="-2"/>
        </w:rPr>
        <w:t xml:space="preserve"> </w:t>
      </w:r>
      <w:r>
        <w:rPr>
          <w:spacing w:val="-1"/>
        </w:rPr>
        <w:t>serious</w:t>
      </w:r>
      <w:r>
        <w:rPr>
          <w:spacing w:val="1"/>
        </w:rPr>
        <w:t xml:space="preserve"> </w:t>
      </w:r>
      <w:r>
        <w:rPr>
          <w:spacing w:val="-1"/>
        </w:rPr>
        <w:t>adverse</w:t>
      </w:r>
      <w:r>
        <w:rPr>
          <w:spacing w:val="-2"/>
        </w:rPr>
        <w:t xml:space="preserve"> </w:t>
      </w:r>
      <w:r>
        <w:rPr>
          <w:spacing w:val="-1"/>
        </w:rPr>
        <w:t>reactions</w:t>
      </w:r>
      <w:r>
        <w:t xml:space="preserve"> </w:t>
      </w:r>
      <w:r>
        <w:rPr>
          <w:spacing w:val="-1"/>
        </w:rPr>
        <w:t>observed</w:t>
      </w:r>
      <w:r>
        <w:t xml:space="preserve"> </w:t>
      </w:r>
      <w:r>
        <w:rPr>
          <w:spacing w:val="-1"/>
        </w:rPr>
        <w:t>most</w:t>
      </w:r>
      <w:r>
        <w:rPr>
          <w:spacing w:val="1"/>
        </w:rPr>
        <w:t xml:space="preserve"> </w:t>
      </w:r>
      <w:r>
        <w:rPr>
          <w:spacing w:val="-1"/>
        </w:rPr>
        <w:t>frequently</w:t>
      </w:r>
      <w:r>
        <w:rPr>
          <w:spacing w:val="-2"/>
        </w:rPr>
        <w:t xml:space="preserve"> </w:t>
      </w:r>
      <w:r>
        <w:t xml:space="preserve">(with a </w:t>
      </w:r>
      <w:r>
        <w:rPr>
          <w:spacing w:val="-1"/>
        </w:rPr>
        <w:t>difference</w:t>
      </w:r>
      <w:r>
        <w:t xml:space="preserve"> of</w:t>
      </w:r>
      <w:r>
        <w:rPr>
          <w:spacing w:val="-2"/>
        </w:rPr>
        <w:t xml:space="preserve"> </w:t>
      </w:r>
      <w:r>
        <w:t>at</w:t>
      </w:r>
      <w:r>
        <w:rPr>
          <w:spacing w:val="-2"/>
        </w:rPr>
        <w:t xml:space="preserve"> </w:t>
      </w:r>
      <w:r>
        <w:t>least</w:t>
      </w:r>
      <w:r>
        <w:rPr>
          <w:spacing w:val="1"/>
        </w:rPr>
        <w:t xml:space="preserve"> </w:t>
      </w:r>
      <w:r>
        <w:t>1</w:t>
      </w:r>
      <w:r>
        <w:rPr>
          <w:spacing w:val="-2"/>
        </w:rPr>
        <w:t xml:space="preserve"> </w:t>
      </w:r>
      <w:r>
        <w:rPr>
          <w:spacing w:val="-1"/>
        </w:rPr>
        <w:t>percentage</w:t>
      </w:r>
      <w:r>
        <w:t xml:space="preserve"> </w:t>
      </w:r>
      <w:r>
        <w:rPr>
          <w:spacing w:val="-1"/>
        </w:rPr>
        <w:t>point)</w:t>
      </w:r>
      <w:r>
        <w:rPr>
          <w:spacing w:val="1"/>
        </w:rPr>
        <w:t xml:space="preserve"> </w:t>
      </w:r>
      <w:r>
        <w:t>in</w:t>
      </w:r>
      <w:r>
        <w:rPr>
          <w:spacing w:val="53"/>
        </w:rPr>
        <w:t xml:space="preserve"> </w:t>
      </w:r>
      <w:r>
        <w:t>study</w:t>
      </w:r>
      <w:r>
        <w:rPr>
          <w:spacing w:val="-2"/>
        </w:rPr>
        <w:t xml:space="preserve"> </w:t>
      </w:r>
      <w:r>
        <w:rPr>
          <w:spacing w:val="-1"/>
        </w:rPr>
        <w:t>NHL-007</w:t>
      </w:r>
      <w:r>
        <w:t xml:space="preserve"> in </w:t>
      </w:r>
      <w:r>
        <w:rPr>
          <w:spacing w:val="-1"/>
        </w:rPr>
        <w:t>the</w:t>
      </w:r>
      <w:r>
        <w:t xml:space="preserve"> </w:t>
      </w:r>
      <w:r>
        <w:rPr>
          <w:spacing w:val="-1"/>
        </w:rPr>
        <w:t>lenalidomide/rituximab</w:t>
      </w:r>
      <w:r>
        <w:t xml:space="preserve"> </w:t>
      </w:r>
      <w:r>
        <w:rPr>
          <w:spacing w:val="-1"/>
        </w:rPr>
        <w:t>arm</w:t>
      </w:r>
      <w:r>
        <w:rPr>
          <w:spacing w:val="-4"/>
        </w:rPr>
        <w:t xml:space="preserve"> </w:t>
      </w:r>
      <w:r>
        <w:rPr>
          <w:spacing w:val="-1"/>
        </w:rPr>
        <w:t>compared</w:t>
      </w:r>
      <w:r>
        <w:t xml:space="preserve"> with</w:t>
      </w:r>
      <w:r>
        <w:rPr>
          <w:spacing w:val="-2"/>
        </w:rPr>
        <w:t xml:space="preserve"> </w:t>
      </w:r>
      <w:r>
        <w:t>the</w:t>
      </w:r>
      <w:r>
        <w:rPr>
          <w:spacing w:val="-2"/>
        </w:rPr>
        <w:t xml:space="preserve"> </w:t>
      </w:r>
      <w:r>
        <w:rPr>
          <w:spacing w:val="-1"/>
        </w:rPr>
        <w:t>placebo/rituximab</w:t>
      </w:r>
      <w:r>
        <w:t xml:space="preserve"> arm</w:t>
      </w:r>
      <w:r>
        <w:rPr>
          <w:spacing w:val="-4"/>
        </w:rPr>
        <w:t xml:space="preserve"> </w:t>
      </w:r>
      <w:r>
        <w:rPr>
          <w:spacing w:val="-1"/>
        </w:rPr>
        <w:t>were:</w:t>
      </w:r>
    </w:p>
    <w:p w:rsidR="00F848D4" w:rsidRDefault="00F848D4" w:rsidP="00F848D4">
      <w:pPr>
        <w:pStyle w:val="BodyText"/>
        <w:widowControl w:val="0"/>
        <w:numPr>
          <w:ilvl w:val="1"/>
          <w:numId w:val="70"/>
        </w:numPr>
        <w:spacing w:before="2" w:after="0" w:line="269" w:lineRule="exact"/>
        <w:ind w:left="0" w:firstLine="0"/>
      </w:pPr>
      <w:r>
        <w:rPr>
          <w:spacing w:val="-1"/>
        </w:rPr>
        <w:t>Febrile</w:t>
      </w:r>
      <w:r>
        <w:rPr>
          <w:spacing w:val="-2"/>
        </w:rPr>
        <w:t xml:space="preserve"> </w:t>
      </w:r>
      <w:r>
        <w:rPr>
          <w:spacing w:val="-1"/>
        </w:rPr>
        <w:t>neutropenia</w:t>
      </w:r>
      <w:r>
        <w:t xml:space="preserve"> </w:t>
      </w:r>
      <w:r>
        <w:rPr>
          <w:spacing w:val="-1"/>
        </w:rPr>
        <w:t>(2.7%)</w:t>
      </w:r>
    </w:p>
    <w:p w:rsidR="00F848D4" w:rsidRDefault="00F848D4" w:rsidP="00F848D4">
      <w:pPr>
        <w:pStyle w:val="BodyText"/>
        <w:widowControl w:val="0"/>
        <w:numPr>
          <w:ilvl w:val="1"/>
          <w:numId w:val="70"/>
        </w:numPr>
        <w:spacing w:after="0" w:line="269" w:lineRule="exact"/>
        <w:ind w:left="0" w:firstLine="0"/>
      </w:pPr>
      <w:r>
        <w:rPr>
          <w:spacing w:val="-1"/>
        </w:rPr>
        <w:t>Pulmonary</w:t>
      </w:r>
      <w:r>
        <w:rPr>
          <w:spacing w:val="-3"/>
        </w:rPr>
        <w:t xml:space="preserve"> </w:t>
      </w:r>
      <w:r>
        <w:rPr>
          <w:spacing w:val="-1"/>
        </w:rPr>
        <w:t>embolism</w:t>
      </w:r>
      <w:r>
        <w:rPr>
          <w:spacing w:val="-4"/>
        </w:rPr>
        <w:t xml:space="preserve"> </w:t>
      </w:r>
      <w:r>
        <w:t>(2.7%)</w:t>
      </w:r>
    </w:p>
    <w:p w:rsidR="00F848D4" w:rsidRDefault="00F848D4" w:rsidP="00F848D4">
      <w:pPr>
        <w:pStyle w:val="BodyText"/>
        <w:widowControl w:val="0"/>
        <w:numPr>
          <w:ilvl w:val="1"/>
          <w:numId w:val="70"/>
        </w:numPr>
        <w:spacing w:after="0" w:line="269" w:lineRule="exact"/>
        <w:ind w:left="0" w:firstLine="0"/>
      </w:pPr>
      <w:r>
        <w:rPr>
          <w:spacing w:val="-1"/>
        </w:rPr>
        <w:t>Pneumonia</w:t>
      </w:r>
      <w:r>
        <w:t xml:space="preserve"> </w:t>
      </w:r>
      <w:r>
        <w:rPr>
          <w:spacing w:val="-1"/>
        </w:rPr>
        <w:t>(2.7%)</w:t>
      </w:r>
    </w:p>
    <w:p w:rsidR="00F848D4" w:rsidRDefault="00F848D4" w:rsidP="00F848D4">
      <w:pPr>
        <w:spacing w:before="9"/>
        <w:rPr>
          <w:rFonts w:eastAsia="Times New Roman"/>
          <w:sz w:val="21"/>
          <w:szCs w:val="21"/>
        </w:rPr>
      </w:pPr>
    </w:p>
    <w:p w:rsidR="00F848D4" w:rsidRPr="00F848D4" w:rsidRDefault="00F848D4" w:rsidP="00F848D4">
      <w:r>
        <w:rPr>
          <w:spacing w:val="-3"/>
        </w:rPr>
        <w:t>In</w:t>
      </w:r>
      <w:r>
        <w:t xml:space="preserve"> the NHL-007 study</w:t>
      </w:r>
      <w:r>
        <w:rPr>
          <w:spacing w:val="-2"/>
        </w:rPr>
        <w:t xml:space="preserve"> </w:t>
      </w:r>
      <w:r>
        <w:t>the adverse reactions</w:t>
      </w:r>
      <w:r>
        <w:rPr>
          <w:spacing w:val="1"/>
        </w:rPr>
        <w:t xml:space="preserve"> </w:t>
      </w:r>
      <w:r>
        <w:t>observed</w:t>
      </w:r>
      <w:r>
        <w:rPr>
          <w:spacing w:val="-2"/>
        </w:rPr>
        <w:t xml:space="preserve"> </w:t>
      </w:r>
      <w:r>
        <w:t>more frequently</w:t>
      </w:r>
      <w:r>
        <w:rPr>
          <w:spacing w:val="-3"/>
        </w:rPr>
        <w:t xml:space="preserve"> </w:t>
      </w:r>
      <w:r>
        <w:t>in the lenalidomide/rituximab arm</w:t>
      </w:r>
      <w:r>
        <w:rPr>
          <w:spacing w:val="63"/>
        </w:rPr>
        <w:t xml:space="preserve"> </w:t>
      </w:r>
      <w:r>
        <w:t>compared with the placebo/rituximab arm</w:t>
      </w:r>
      <w:r>
        <w:rPr>
          <w:spacing w:val="-4"/>
        </w:rPr>
        <w:t xml:space="preserve"> </w:t>
      </w:r>
      <w:r>
        <w:t>(with at</w:t>
      </w:r>
      <w:r>
        <w:rPr>
          <w:spacing w:val="1"/>
        </w:rPr>
        <w:t xml:space="preserve"> </w:t>
      </w:r>
      <w:r>
        <w:t>least</w:t>
      </w:r>
      <w:r>
        <w:rPr>
          <w:spacing w:val="-2"/>
        </w:rPr>
        <w:t xml:space="preserve"> </w:t>
      </w:r>
      <w:r>
        <w:t>2%</w:t>
      </w:r>
      <w:r>
        <w:rPr>
          <w:spacing w:val="1"/>
        </w:rPr>
        <w:t xml:space="preserve"> </w:t>
      </w:r>
      <w:r>
        <w:t>higher</w:t>
      </w:r>
      <w:r>
        <w:rPr>
          <w:spacing w:val="1"/>
        </w:rPr>
        <w:t xml:space="preserve"> </w:t>
      </w:r>
      <w:r>
        <w:t>frequency</w:t>
      </w:r>
      <w:r>
        <w:rPr>
          <w:spacing w:val="-3"/>
        </w:rPr>
        <w:t xml:space="preserve"> </w:t>
      </w:r>
      <w:r>
        <w:t>between arms)</w:t>
      </w:r>
      <w:r>
        <w:rPr>
          <w:spacing w:val="1"/>
        </w:rPr>
        <w:t xml:space="preserve"> </w:t>
      </w:r>
      <w:r>
        <w:t>were</w:t>
      </w:r>
      <w:r>
        <w:rPr>
          <w:spacing w:val="65"/>
        </w:rPr>
        <w:t xml:space="preserve"> </w:t>
      </w:r>
      <w:r>
        <w:t>neutropenia</w:t>
      </w:r>
      <w:r>
        <w:rPr>
          <w:spacing w:val="-2"/>
        </w:rPr>
        <w:t xml:space="preserve"> </w:t>
      </w:r>
      <w:r>
        <w:t>(58.2%), diarrhoea (30.8%),</w:t>
      </w:r>
      <w:r>
        <w:rPr>
          <w:spacing w:val="-3"/>
        </w:rPr>
        <w:t xml:space="preserve"> </w:t>
      </w:r>
      <w:r>
        <w:t>leucopenia</w:t>
      </w:r>
      <w:r>
        <w:rPr>
          <w:spacing w:val="-2"/>
        </w:rPr>
        <w:t xml:space="preserve"> </w:t>
      </w:r>
      <w:r>
        <w:t>(28.8%), constipation (21.9%), cough (21.9%)</w:t>
      </w:r>
      <w:r>
        <w:rPr>
          <w:spacing w:val="1"/>
        </w:rPr>
        <w:t xml:space="preserve"> </w:t>
      </w:r>
      <w:r>
        <w:t>and fatigue (21.9%).</w:t>
      </w:r>
    </w:p>
    <w:p w:rsidR="00F848D4" w:rsidRDefault="00F848D4" w:rsidP="00655D0D">
      <w:pPr>
        <w:rPr>
          <w:rFonts w:eastAsia="Times New Roman"/>
        </w:rPr>
      </w:pPr>
    </w:p>
    <w:p w:rsidR="00506994" w:rsidRPr="0012235F" w:rsidRDefault="00506994" w:rsidP="00AB7A9E">
      <w:r w:rsidRPr="0012235F">
        <w:rPr>
          <w:rFonts w:eastAsia="Times New Roman"/>
          <w:u w:val="single"/>
        </w:rPr>
        <w:t>Tabulated list of adverse reactions</w:t>
      </w:r>
    </w:p>
    <w:p w:rsidR="00506994" w:rsidRDefault="00506994" w:rsidP="00AB7A9E">
      <w:pPr>
        <w:ind w:right="100"/>
        <w:rPr>
          <w:rFonts w:eastAsia="Times New Roman"/>
        </w:rPr>
      </w:pPr>
      <w:r w:rsidRPr="00335062">
        <w:rPr>
          <w:rFonts w:eastAsia="Times New Roman"/>
        </w:rPr>
        <w:t xml:space="preserve">The adverse reactions observed in patients treated </w:t>
      </w:r>
      <w:r w:rsidR="00C938ED">
        <w:rPr>
          <w:rFonts w:eastAsia="Times New Roman"/>
        </w:rPr>
        <w:t>with lenalidomide</w:t>
      </w:r>
      <w:r w:rsidRPr="00335062">
        <w:rPr>
          <w:rFonts w:eastAsia="Times New Roman"/>
        </w:rPr>
        <w:t xml:space="preserve"> are listed below by system organ class and frequency. Within each frequency grouping, adverse reactions are presented in order of decreasing seriousness. Frequencies are defined as: very common (≥ 1/10); common (≥ 1/100 to &lt; 1/10); uncommon (≥ 1/1,000 to &lt; 1/100); rare (≥ 1/10,000 to </w:t>
      </w:r>
      <w:r w:rsidRPr="00F713B8">
        <w:rPr>
          <w:rFonts w:eastAsia="Times New Roman"/>
        </w:rPr>
        <w:t xml:space="preserve">&lt; 1/1,000); very </w:t>
      </w:r>
      <w:r w:rsidRPr="00335062">
        <w:rPr>
          <w:rFonts w:eastAsia="Times New Roman"/>
        </w:rPr>
        <w:t>rare (&lt; 1/10,000), not known (cannot be estimated from the available data).</w:t>
      </w:r>
    </w:p>
    <w:p w:rsidR="00506994" w:rsidRPr="00335062" w:rsidRDefault="00506994" w:rsidP="00AB7A9E">
      <w:pPr>
        <w:ind w:right="100"/>
      </w:pPr>
    </w:p>
    <w:p w:rsidR="00506994" w:rsidRPr="00335062" w:rsidRDefault="00506994" w:rsidP="00AB7A9E">
      <w:pPr>
        <w:ind w:right="440"/>
      </w:pPr>
      <w:r w:rsidRPr="00335062">
        <w:rPr>
          <w:rFonts w:eastAsia="Times New Roman"/>
        </w:rPr>
        <w:t>Adverse reactions have been included under the appropriate category in the table below according to the highest frequency observed in any of the main clinical trials.</w:t>
      </w:r>
    </w:p>
    <w:p w:rsidR="00506994" w:rsidRDefault="00506994" w:rsidP="00AB7A9E"/>
    <w:p w:rsidR="00506994" w:rsidRPr="004273C8" w:rsidRDefault="00506994" w:rsidP="00AB7A9E">
      <w:pPr>
        <w:rPr>
          <w:i/>
          <w:u w:val="single"/>
        </w:rPr>
      </w:pPr>
      <w:r w:rsidRPr="004273C8">
        <w:rPr>
          <w:i/>
          <w:u w:val="single"/>
        </w:rPr>
        <w:t>Tabulated summary for monotherapy in MM</w:t>
      </w:r>
    </w:p>
    <w:p w:rsidR="00506994" w:rsidRPr="0012235F" w:rsidRDefault="00506994" w:rsidP="00AB7A9E">
      <w:pPr>
        <w:ind w:right="140"/>
        <w:rPr>
          <w:rFonts w:eastAsia="Times New Roman"/>
        </w:rPr>
      </w:pPr>
      <w:r w:rsidRPr="0012235F">
        <w:rPr>
          <w:rFonts w:eastAsia="Times New Roman"/>
        </w:rPr>
        <w:t>The following table is derived from data gathered during NDMM studies in patients who have undergone</w:t>
      </w:r>
    </w:p>
    <w:p w:rsidR="00506994" w:rsidRPr="0012235F" w:rsidRDefault="00506994" w:rsidP="00AB7A9E">
      <w:pPr>
        <w:ind w:right="140"/>
        <w:rPr>
          <w:rFonts w:eastAsia="Times New Roman"/>
        </w:rPr>
      </w:pPr>
      <w:r w:rsidRPr="0012235F">
        <w:rPr>
          <w:rFonts w:eastAsia="Times New Roman"/>
        </w:rPr>
        <w:t>ASCT treated with lenalidomide maintenance. The data were not adjusted according to the longer duration of</w:t>
      </w:r>
    </w:p>
    <w:p w:rsidR="00506994" w:rsidRPr="0012235F" w:rsidRDefault="00506994" w:rsidP="00AB7A9E">
      <w:pPr>
        <w:ind w:right="140"/>
        <w:rPr>
          <w:rFonts w:eastAsia="Times New Roman"/>
        </w:rPr>
      </w:pPr>
      <w:r w:rsidRPr="0012235F">
        <w:rPr>
          <w:rFonts w:eastAsia="Times New Roman"/>
        </w:rPr>
        <w:t>treatment in the lenalidomide-containing arms continued until disease progression versus the placebo arms in</w:t>
      </w:r>
    </w:p>
    <w:p w:rsidR="00506994" w:rsidRPr="00335062" w:rsidRDefault="00506994" w:rsidP="00AB7A9E">
      <w:pPr>
        <w:ind w:right="140"/>
      </w:pPr>
      <w:r w:rsidRPr="0012235F">
        <w:rPr>
          <w:rFonts w:eastAsia="Times New Roman"/>
        </w:rPr>
        <w:t>the pivotal multiple myeloma studies</w:t>
      </w:r>
      <w:r w:rsidRPr="00335062">
        <w:rPr>
          <w:rFonts w:eastAsia="Times New Roman"/>
        </w:rPr>
        <w:t xml:space="preserve"> (see section 5.1).</w:t>
      </w:r>
    </w:p>
    <w:p w:rsidR="00506994" w:rsidRPr="00335062" w:rsidRDefault="00506994" w:rsidP="00AB7A9E"/>
    <w:p w:rsidR="00506994" w:rsidRDefault="00506994" w:rsidP="00AB7A9E">
      <w:pPr>
        <w:pStyle w:val="Heading1"/>
        <w:numPr>
          <w:ilvl w:val="0"/>
          <w:numId w:val="0"/>
        </w:numPr>
        <w:ind w:right="326"/>
        <w:rPr>
          <w:b w:val="0"/>
          <w:bCs w:val="0"/>
        </w:rPr>
      </w:pPr>
      <w:r>
        <w:rPr>
          <w:spacing w:val="-1"/>
        </w:rPr>
        <w:t>Table</w:t>
      </w:r>
      <w:r>
        <w:t xml:space="preserve"> 1. </w:t>
      </w:r>
      <w:r>
        <w:rPr>
          <w:spacing w:val="-1"/>
        </w:rPr>
        <w:t>ADRs</w:t>
      </w:r>
      <w:r>
        <w:t xml:space="preserve"> </w:t>
      </w:r>
      <w:r>
        <w:rPr>
          <w:spacing w:val="-1"/>
        </w:rPr>
        <w:t>reported</w:t>
      </w:r>
      <w:r>
        <w:rPr>
          <w:spacing w:val="-3"/>
        </w:rPr>
        <w:t xml:space="preserve"> </w:t>
      </w:r>
      <w:r>
        <w:rPr>
          <w:spacing w:val="-1"/>
        </w:rPr>
        <w:t>in clinical</w:t>
      </w:r>
      <w:r>
        <w:rPr>
          <w:spacing w:val="-2"/>
        </w:rPr>
        <w:t xml:space="preserve"> </w:t>
      </w:r>
      <w:r>
        <w:rPr>
          <w:spacing w:val="-1"/>
        </w:rPr>
        <w:t>trials</w:t>
      </w:r>
      <w:r>
        <w:rPr>
          <w:spacing w:val="-2"/>
        </w:rPr>
        <w:t xml:space="preserve"> </w:t>
      </w:r>
      <w:r>
        <w:t xml:space="preserve">in </w:t>
      </w:r>
      <w:r>
        <w:rPr>
          <w:spacing w:val="-1"/>
        </w:rPr>
        <w:t>patients</w:t>
      </w:r>
      <w:r>
        <w:rPr>
          <w:spacing w:val="-4"/>
        </w:rPr>
        <w:t xml:space="preserve"> </w:t>
      </w:r>
      <w:r>
        <w:t>with</w:t>
      </w:r>
      <w:r>
        <w:rPr>
          <w:spacing w:val="-3"/>
        </w:rPr>
        <w:t xml:space="preserve"> </w:t>
      </w:r>
      <w:r>
        <w:rPr>
          <w:spacing w:val="-1"/>
        </w:rPr>
        <w:t>multiple</w:t>
      </w:r>
      <w:r>
        <w:rPr>
          <w:spacing w:val="-2"/>
        </w:rPr>
        <w:t xml:space="preserve"> </w:t>
      </w:r>
      <w:r>
        <w:rPr>
          <w:spacing w:val="-1"/>
        </w:rPr>
        <w:t>myeloma</w:t>
      </w:r>
      <w:r>
        <w:t xml:space="preserve"> </w:t>
      </w:r>
      <w:r>
        <w:rPr>
          <w:spacing w:val="-1"/>
        </w:rPr>
        <w:t>treated</w:t>
      </w:r>
      <w:r>
        <w:rPr>
          <w:spacing w:val="-3"/>
        </w:rPr>
        <w:t xml:space="preserve"> </w:t>
      </w:r>
      <w:r>
        <w:rPr>
          <w:spacing w:val="-1"/>
        </w:rPr>
        <w:t>with</w:t>
      </w:r>
      <w:r>
        <w:rPr>
          <w:spacing w:val="-3"/>
        </w:rPr>
        <w:t xml:space="preserve"> </w:t>
      </w:r>
      <w:r>
        <w:rPr>
          <w:spacing w:val="-1"/>
        </w:rPr>
        <w:t>lenalidomide</w:t>
      </w:r>
      <w:r>
        <w:rPr>
          <w:spacing w:val="83"/>
        </w:rPr>
        <w:t xml:space="preserve"> </w:t>
      </w:r>
      <w:r>
        <w:rPr>
          <w:spacing w:val="-1"/>
        </w:rPr>
        <w:t>maintenance</w:t>
      </w:r>
      <w:r>
        <w:t xml:space="preserve"> </w:t>
      </w:r>
      <w:r>
        <w:rPr>
          <w:spacing w:val="-1"/>
        </w:rPr>
        <w:t>therapy</w:t>
      </w:r>
    </w:p>
    <w:tbl>
      <w:tblPr>
        <w:tblW w:w="0" w:type="auto"/>
        <w:tblInd w:w="6" w:type="dxa"/>
        <w:tblLayout w:type="fixed"/>
        <w:tblCellMar>
          <w:left w:w="0" w:type="dxa"/>
          <w:right w:w="0" w:type="dxa"/>
        </w:tblCellMar>
        <w:tblLook w:val="01E0" w:firstRow="1" w:lastRow="1" w:firstColumn="1" w:lastColumn="1" w:noHBand="0" w:noVBand="0"/>
      </w:tblPr>
      <w:tblGrid>
        <w:gridCol w:w="3264"/>
        <w:gridCol w:w="3297"/>
        <w:gridCol w:w="3293"/>
      </w:tblGrid>
      <w:tr w:rsidR="00506994" w:rsidTr="00CA12F4">
        <w:trPr>
          <w:trHeight w:hRule="exact" w:val="51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
              <w:ind w:left="102" w:right="274"/>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Class/Preferred</w:t>
            </w:r>
            <w:r>
              <w:rPr>
                <w:rFonts w:ascii="Times New Roman"/>
                <w:b/>
                <w:spacing w:val="29"/>
              </w:rPr>
              <w:t xml:space="preserve"> </w:t>
            </w:r>
            <w:r>
              <w:rPr>
                <w:rFonts w:ascii="Times New Roman"/>
                <w:b/>
                <w:spacing w:val="-1"/>
              </w:rPr>
              <w:t>Term</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293" w:type="dxa"/>
            <w:tcBorders>
              <w:top w:val="single" w:sz="5" w:space="0" w:color="000000"/>
              <w:left w:val="single" w:sz="5" w:space="0" w:color="000000"/>
              <w:bottom w:val="single" w:sz="6"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b/>
                <w:spacing w:val="-1"/>
              </w:rPr>
              <w:t>Grade</w:t>
            </w:r>
            <w:r>
              <w:rPr>
                <w:rFonts w:ascii="Times New Roman"/>
                <w:b/>
              </w:rPr>
              <w:t xml:space="preserve"> 3-4 </w:t>
            </w:r>
            <w:r>
              <w:rPr>
                <w:rFonts w:ascii="Times New Roman"/>
                <w:b/>
                <w:spacing w:val="-1"/>
              </w:rPr>
              <w:t>ADRs/Frequency</w:t>
            </w:r>
          </w:p>
        </w:tc>
      </w:tr>
      <w:tr w:rsidR="00146378" w:rsidTr="00146378">
        <w:trPr>
          <w:trHeight w:val="2794"/>
        </w:trPr>
        <w:tc>
          <w:tcPr>
            <w:tcW w:w="3264" w:type="dxa"/>
            <w:tcBorders>
              <w:top w:val="single" w:sz="5" w:space="0" w:color="000000"/>
              <w:left w:val="single" w:sz="5" w:space="0" w:color="000000"/>
              <w:right w:val="single" w:sz="5" w:space="0" w:color="000000"/>
            </w:tcBorders>
            <w:vAlign w:val="center"/>
          </w:tcPr>
          <w:p w:rsidR="00146378" w:rsidRDefault="00146378" w:rsidP="00146378">
            <w:pPr>
              <w:pStyle w:val="TableParagraph"/>
              <w:rPr>
                <w:rFonts w:ascii="Times New Roman" w:eastAsia="Times New Roman" w:hAnsi="Times New Roman" w:cs="Times New Roman"/>
                <w:b/>
                <w:bCs/>
              </w:rPr>
            </w:pPr>
          </w:p>
          <w:p w:rsidR="001F0EA4" w:rsidRDefault="001F0EA4">
            <w:pPr>
              <w:pStyle w:val="TableParagraph"/>
              <w:spacing w:before="10"/>
              <w:rPr>
                <w:rFonts w:ascii="Times New Roman" w:eastAsia="Times New Roman" w:hAnsi="Times New Roman" w:cs="Times New Roman"/>
                <w:b/>
                <w:bCs/>
                <w:sz w:val="32"/>
                <w:szCs w:val="32"/>
              </w:rPr>
            </w:pPr>
          </w:p>
          <w:p w:rsidR="001F0EA4" w:rsidRDefault="00146378">
            <w:pPr>
              <w:pStyle w:val="TableParagraph"/>
              <w:ind w:left="102"/>
              <w:rPr>
                <w:rFonts w:ascii="Times New Roman" w:eastAsia="Times New Roman" w:hAnsi="Times New Roman" w:cs="Times New Roman"/>
              </w:rPr>
            </w:pPr>
            <w:r>
              <w:rPr>
                <w:rFonts w:ascii="Times New Roman"/>
                <w:b/>
                <w:spacing w:val="-1"/>
              </w:rPr>
              <w:t>Infections</w:t>
            </w:r>
            <w:r>
              <w:rPr>
                <w:rFonts w:ascii="Times New Roman"/>
                <w:b/>
              </w:rPr>
              <w:t xml:space="preserve"> </w:t>
            </w:r>
            <w:r>
              <w:rPr>
                <w:rFonts w:ascii="Times New Roman"/>
                <w:b/>
                <w:spacing w:val="-1"/>
              </w:rPr>
              <w:t>and</w:t>
            </w:r>
            <w:r>
              <w:rPr>
                <w:rFonts w:ascii="Times New Roman"/>
                <w:b/>
                <w:spacing w:val="-3"/>
              </w:rPr>
              <w:t xml:space="preserve"> </w:t>
            </w:r>
            <w:r>
              <w:rPr>
                <w:rFonts w:ascii="Times New Roman"/>
                <w:b/>
                <w:spacing w:val="-1"/>
              </w:rPr>
              <w:t>Infestations</w:t>
            </w:r>
          </w:p>
        </w:tc>
        <w:tc>
          <w:tcPr>
            <w:tcW w:w="3297" w:type="dxa"/>
            <w:tcBorders>
              <w:top w:val="single" w:sz="5" w:space="0" w:color="000000"/>
              <w:left w:val="single" w:sz="5" w:space="0" w:color="000000"/>
              <w:right w:val="single" w:sz="6" w:space="0" w:color="000000"/>
            </w:tcBorders>
          </w:tcPr>
          <w:p w:rsidR="00146378" w:rsidRDefault="00146378" w:rsidP="00AB7A9E">
            <w:pPr>
              <w:pStyle w:val="TableParagraph"/>
              <w:ind w:left="10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p>
          <w:p w:rsidR="00146378" w:rsidRDefault="00146378" w:rsidP="00AB7A9E">
            <w:pPr>
              <w:pStyle w:val="TableParagraph"/>
              <w:ind w:left="102" w:right="234"/>
              <w:rPr>
                <w:rFonts w:ascii="Times New Roman" w:eastAsia="Times New Roman" w:hAnsi="Times New Roman" w:cs="Times New Roman"/>
                <w:spacing w:val="-1"/>
              </w:rPr>
            </w:pPr>
            <w:r>
              <w:rPr>
                <w:rFonts w:ascii="Times New Roman" w:eastAsia="Times New Roman" w:hAnsi="Times New Roman" w:cs="Times New Roman"/>
                <w:spacing w:val="-1"/>
              </w:rPr>
              <w:t>Pneumonia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2"/>
                <w:position w:val="8"/>
                <w:sz w:val="14"/>
                <w:szCs w:val="14"/>
              </w:rPr>
              <w:t xml:space="preserve"> </w:t>
            </w:r>
            <w:r>
              <w:rPr>
                <w:rFonts w:ascii="Times New Roman" w:eastAsia="Times New Roman" w:hAnsi="Times New Roman" w:cs="Times New Roman"/>
                <w:position w:val="8"/>
                <w:sz w:val="14"/>
                <w:szCs w:val="14"/>
              </w:rPr>
              <w:t>a</w:t>
            </w:r>
            <w:r>
              <w:rPr>
                <w:rFonts w:ascii="Times New Roman" w:eastAsia="Times New Roman" w:hAnsi="Times New Roman" w:cs="Times New Roman"/>
              </w:rPr>
              <w:t>,</w:t>
            </w:r>
            <w:r>
              <w:rPr>
                <w:rFonts w:ascii="Times New Roman" w:eastAsia="Times New Roman" w:hAnsi="Times New Roman" w:cs="Times New Roman"/>
                <w:spacing w:val="-1"/>
              </w:rPr>
              <w:t xml:space="preserve"> Upper respiratory</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tract infection,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Neutropenic</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infection, Bronchitis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Influenza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Sinusitis,</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Nasopharyngitis,</w:t>
            </w:r>
            <w:r>
              <w:rPr>
                <w:rFonts w:ascii="Times New Roman" w:eastAsia="Times New Roman" w:hAnsi="Times New Roman" w:cs="Times New Roman"/>
              </w:rPr>
              <w:t xml:space="preserve"> </w:t>
            </w:r>
            <w:r>
              <w:rPr>
                <w:rFonts w:ascii="Times New Roman" w:eastAsia="Times New Roman" w:hAnsi="Times New Roman" w:cs="Times New Roman"/>
                <w:spacing w:val="-1"/>
              </w:rPr>
              <w:t>Rhinitis</w:t>
            </w:r>
          </w:p>
          <w:p w:rsidR="00146378" w:rsidRDefault="00146378" w:rsidP="00AB7A9E">
            <w:pPr>
              <w:pStyle w:val="TableParagraph"/>
              <w:ind w:left="102" w:right="234"/>
              <w:rPr>
                <w:rFonts w:ascii="Times New Roman" w:eastAsia="Times New Roman" w:hAnsi="Times New Roman" w:cs="Times New Roman"/>
              </w:rPr>
            </w:pPr>
          </w:p>
          <w:p w:rsidR="00146378" w:rsidRDefault="00146378"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146378" w:rsidRDefault="00146378" w:rsidP="00AB7A9E">
            <w:pPr>
              <w:pStyle w:val="TableParagraph"/>
              <w:ind w:left="102" w:right="537"/>
              <w:rPr>
                <w:rFonts w:ascii="Times New Roman" w:eastAsia="Times New Roman" w:hAnsi="Times New Roman" w:cs="Times New Roman"/>
              </w:rPr>
            </w:pPr>
            <w:r>
              <w:rPr>
                <w:rFonts w:ascii="Times New Roman" w:eastAsia="Times New Roman" w:hAnsi="Times New Roman" w:cs="Times New Roman"/>
                <w:spacing w:val="-1"/>
              </w:rPr>
              <w:t>Infection</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Urinary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1"/>
                <w:position w:val="6"/>
                <w:sz w:val="12"/>
                <w:szCs w:val="12"/>
              </w:rPr>
              <w:t>◊</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Lower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respiratory</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tract infection,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Lung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infection</w:t>
            </w:r>
          </w:p>
        </w:tc>
        <w:tc>
          <w:tcPr>
            <w:tcW w:w="3293" w:type="dxa"/>
            <w:tcBorders>
              <w:top w:val="single" w:sz="6" w:space="0" w:color="000000"/>
              <w:left w:val="single" w:sz="6" w:space="0" w:color="000000"/>
              <w:right w:val="single" w:sz="6" w:space="0" w:color="000000"/>
            </w:tcBorders>
          </w:tcPr>
          <w:p w:rsidR="00146378" w:rsidRDefault="00146378" w:rsidP="00AB7A9E">
            <w:pPr>
              <w:pStyle w:val="TableParagraph"/>
              <w:ind w:left="102" w:right="702"/>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Pneumonia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2"/>
                <w:position w:val="8"/>
                <w:sz w:val="14"/>
                <w:szCs w:val="14"/>
              </w:rPr>
              <w:t xml:space="preserve"> </w:t>
            </w:r>
            <w:r>
              <w:rPr>
                <w:rFonts w:ascii="Times New Roman" w:eastAsia="Times New Roman" w:hAnsi="Times New Roman" w:cs="Times New Roman"/>
                <w:position w:val="8"/>
                <w:sz w:val="14"/>
                <w:szCs w:val="14"/>
              </w:rPr>
              <w:t>a</w:t>
            </w:r>
            <w:r>
              <w:rPr>
                <w:rFonts w:ascii="Times New Roman" w:eastAsia="Times New Roman" w:hAnsi="Times New Roman" w:cs="Times New Roman"/>
              </w:rPr>
              <w:t>,</w:t>
            </w:r>
            <w:r>
              <w:rPr>
                <w:rFonts w:ascii="Times New Roman" w:eastAsia="Times New Roman" w:hAnsi="Times New Roman" w:cs="Times New Roman"/>
                <w:spacing w:val="-1"/>
              </w:rPr>
              <w:t xml:space="preserve"> Neutropenic</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infection</w:t>
            </w:r>
          </w:p>
          <w:p w:rsidR="00146378" w:rsidRDefault="00146378" w:rsidP="00AB7A9E">
            <w:pPr>
              <w:pStyle w:val="TableParagraph"/>
              <w:spacing w:before="1"/>
              <w:rPr>
                <w:rFonts w:ascii="Times New Roman" w:eastAsia="Times New Roman" w:hAnsi="Times New Roman" w:cs="Times New Roman"/>
                <w:b/>
                <w:bCs/>
              </w:rPr>
            </w:pPr>
          </w:p>
          <w:p w:rsidR="00146378" w:rsidRDefault="00146378"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146378" w:rsidRDefault="00146378"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Sepsis</w:t>
            </w:r>
            <w:r>
              <w:rPr>
                <w:rFonts w:ascii="Times New Roman" w:eastAsia="Times New Roman" w:hAnsi="Times New Roman" w:cs="Times New Roman"/>
                <w:spacing w:val="-1"/>
                <w:position w:val="8"/>
                <w:sz w:val="14"/>
                <w:szCs w:val="14"/>
              </w:rPr>
              <w:t xml:space="preserve">◊, </w:t>
            </w:r>
            <w:r>
              <w:rPr>
                <w:rFonts w:ascii="Times New Roman" w:eastAsia="Times New Roman" w:hAnsi="Times New Roman" w:cs="Times New Roman"/>
                <w:position w:val="8"/>
                <w:sz w:val="14"/>
                <w:szCs w:val="14"/>
              </w:rPr>
              <w:t>b</w:t>
            </w:r>
            <w:r>
              <w:rPr>
                <w:rFonts w:ascii="Times New Roman" w:eastAsia="Times New Roman" w:hAnsi="Times New Roman" w:cs="Times New Roman"/>
              </w:rPr>
              <w:t>,</w:t>
            </w:r>
            <w:r>
              <w:rPr>
                <w:rFonts w:ascii="Times New Roman" w:eastAsia="Times New Roman" w:hAnsi="Times New Roman" w:cs="Times New Roman"/>
                <w:spacing w:val="-1"/>
              </w:rPr>
              <w:t xml:space="preserve"> Bacteraemia,</w:t>
            </w:r>
            <w:r>
              <w:rPr>
                <w:rFonts w:ascii="Times New Roman" w:eastAsia="Times New Roman" w:hAnsi="Times New Roman" w:cs="Times New Roman"/>
              </w:rPr>
              <w:t xml:space="preserve"> </w:t>
            </w:r>
            <w:r>
              <w:rPr>
                <w:rFonts w:ascii="Times New Roman" w:eastAsia="Times New Roman" w:hAnsi="Times New Roman" w:cs="Times New Roman"/>
                <w:spacing w:val="-1"/>
              </w:rPr>
              <w:t>Lung</w:t>
            </w:r>
          </w:p>
          <w:p w:rsidR="00146378" w:rsidRDefault="00146378" w:rsidP="00AB7A9E">
            <w:pPr>
              <w:pStyle w:val="TableParagraph"/>
              <w:ind w:left="102" w:right="184"/>
              <w:rPr>
                <w:rFonts w:ascii="Times New Roman" w:eastAsia="Times New Roman" w:hAnsi="Times New Roman" w:cs="Times New Roman"/>
              </w:rPr>
            </w:pPr>
            <w:r>
              <w:rPr>
                <w:rFonts w:ascii="Times New Roman" w:eastAsia="Times New Roman" w:hAnsi="Times New Roman" w:cs="Times New Roman"/>
                <w:spacing w:val="-1"/>
              </w:rPr>
              <w:t>infection</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Lower respiratory</w:t>
            </w:r>
            <w:r>
              <w:rPr>
                <w:rFonts w:ascii="Times New Roman" w:eastAsia="Times New Roman" w:hAnsi="Times New Roman" w:cs="Times New Roman"/>
                <w:spacing w:val="-3"/>
              </w:rPr>
              <w:t xml:space="preserve"> </w:t>
            </w:r>
            <w:r>
              <w:rPr>
                <w:rFonts w:ascii="Times New Roman" w:eastAsia="Times New Roman" w:hAnsi="Times New Roman" w:cs="Times New Roman"/>
              </w:rPr>
              <w:t>tract</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infection bacterial,</w:t>
            </w:r>
            <w:r>
              <w:rPr>
                <w:rFonts w:ascii="Times New Roman" w:eastAsia="Times New Roman" w:hAnsi="Times New Roman" w:cs="Times New Roman"/>
              </w:rPr>
              <w:t xml:space="preserve"> </w:t>
            </w:r>
            <w:r>
              <w:rPr>
                <w:rFonts w:ascii="Times New Roman" w:eastAsia="Times New Roman" w:hAnsi="Times New Roman" w:cs="Times New Roman"/>
                <w:spacing w:val="-1"/>
              </w:rPr>
              <w:t>Bronchitis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Influenza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7"/>
              </w:rPr>
              <w:t xml:space="preserve"> </w:t>
            </w:r>
            <w:r>
              <w:rPr>
                <w:rFonts w:ascii="Times New Roman" w:eastAsia="Times New Roman" w:hAnsi="Times New Roman" w:cs="Times New Roman"/>
              </w:rPr>
              <w:t>Herpes</w:t>
            </w:r>
            <w:r>
              <w:rPr>
                <w:rFonts w:ascii="Times New Roman" w:eastAsia="Times New Roman" w:hAnsi="Times New Roman" w:cs="Times New Roman"/>
                <w:spacing w:val="-1"/>
              </w:rPr>
              <w:t xml:space="preserve"> zoster</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Infection</w:t>
            </w:r>
            <w:r>
              <w:rPr>
                <w:rFonts w:ascii="Times New Roman" w:eastAsia="Times New Roman" w:hAnsi="Times New Roman" w:cs="Times New Roman"/>
                <w:spacing w:val="-1"/>
                <w:position w:val="8"/>
                <w:sz w:val="14"/>
                <w:szCs w:val="14"/>
              </w:rPr>
              <w:t>◊</w:t>
            </w:r>
          </w:p>
        </w:tc>
      </w:tr>
      <w:tr w:rsidR="00506994" w:rsidTr="00847F91">
        <w:trPr>
          <w:trHeight w:hRule="exact" w:val="768"/>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48"/>
              <w:rPr>
                <w:rFonts w:ascii="Times New Roman" w:eastAsia="Times New Roman" w:hAnsi="Times New Roman" w:cs="Times New Roman"/>
              </w:rPr>
            </w:pPr>
            <w:r>
              <w:rPr>
                <w:rFonts w:ascii="Times New Roman"/>
                <w:b/>
                <w:spacing w:val="-1"/>
              </w:rPr>
              <w:t>Neoplasms</w:t>
            </w:r>
            <w:r>
              <w:rPr>
                <w:rFonts w:ascii="Times New Roman"/>
                <w:b/>
                <w:spacing w:val="-2"/>
              </w:rPr>
              <w:t xml:space="preserve"> </w:t>
            </w:r>
            <w:r>
              <w:rPr>
                <w:rFonts w:ascii="Times New Roman"/>
                <w:b/>
                <w:spacing w:val="-1"/>
              </w:rPr>
              <w:t>Benign,</w:t>
            </w:r>
            <w:r>
              <w:rPr>
                <w:rFonts w:ascii="Times New Roman"/>
                <w:b/>
                <w:spacing w:val="-2"/>
              </w:rPr>
              <w:t xml:space="preserve"> </w:t>
            </w:r>
            <w:r>
              <w:rPr>
                <w:rFonts w:ascii="Times New Roman"/>
                <w:b/>
                <w:spacing w:val="-1"/>
              </w:rPr>
              <w:t>Malignant</w:t>
            </w:r>
            <w:r>
              <w:rPr>
                <w:rFonts w:ascii="Times New Roman"/>
                <w:b/>
                <w:spacing w:val="29"/>
              </w:rPr>
              <w:t xml:space="preserve"> </w:t>
            </w:r>
            <w:r>
              <w:rPr>
                <w:rFonts w:ascii="Times New Roman"/>
                <w:b/>
                <w:spacing w:val="-1"/>
              </w:rPr>
              <w:t>and Unspecified</w:t>
            </w:r>
            <w:r>
              <w:rPr>
                <w:rFonts w:ascii="Times New Roman"/>
                <w:b/>
              </w:rPr>
              <w:t xml:space="preserve"> </w:t>
            </w:r>
            <w:r>
              <w:rPr>
                <w:rFonts w:ascii="Times New Roman"/>
                <w:b/>
                <w:spacing w:val="-1"/>
              </w:rPr>
              <w:t>(incl</w:t>
            </w:r>
            <w:r>
              <w:rPr>
                <w:rFonts w:ascii="Times New Roman"/>
                <w:b/>
                <w:spacing w:val="1"/>
              </w:rPr>
              <w:t xml:space="preserve"> </w:t>
            </w:r>
            <w:r>
              <w:rPr>
                <w:rFonts w:ascii="Times New Roman"/>
                <w:b/>
                <w:spacing w:val="-1"/>
              </w:rPr>
              <w:t>cysts</w:t>
            </w:r>
            <w:r>
              <w:rPr>
                <w:rFonts w:ascii="Times New Roman"/>
                <w:b/>
              </w:rPr>
              <w:t xml:space="preserve"> and</w:t>
            </w:r>
            <w:r>
              <w:rPr>
                <w:rFonts w:ascii="Times New Roman"/>
                <w:b/>
                <w:spacing w:val="30"/>
              </w:rPr>
              <w:t xml:space="preserve"> </w:t>
            </w:r>
            <w:r>
              <w:rPr>
                <w:rFonts w:ascii="Times New Roman"/>
                <w:b/>
                <w:spacing w:val="-1"/>
              </w:rPr>
              <w:t>polyps)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Myelodysplastic</w:t>
            </w:r>
            <w:r>
              <w:rPr>
                <w:rFonts w:ascii="Times New Roman" w:eastAsia="Times New Roman" w:hAnsi="Times New Roman" w:cs="Times New Roman"/>
              </w:rPr>
              <w:t xml:space="preserve"> </w:t>
            </w:r>
            <w:r>
              <w:rPr>
                <w:rFonts w:ascii="Times New Roman" w:eastAsia="Times New Roman" w:hAnsi="Times New Roman" w:cs="Times New Roman"/>
                <w:spacing w:val="-1"/>
              </w:rPr>
              <w:t>syndrome</w:t>
            </w:r>
            <w:r>
              <w:rPr>
                <w:rFonts w:ascii="Times New Roman" w:eastAsia="Times New Roman" w:hAnsi="Times New Roman" w:cs="Times New Roman"/>
                <w:spacing w:val="-1"/>
                <w:position w:val="6"/>
                <w:sz w:val="12"/>
                <w:szCs w:val="12"/>
              </w:rPr>
              <w:t>◊</w:t>
            </w:r>
            <w:r>
              <w:rPr>
                <w:rFonts w:ascii="Times New Roman" w:eastAsia="Times New Roman" w:hAnsi="Times New Roman" w:cs="Times New Roman"/>
                <w:spacing w:val="-1"/>
              </w:rPr>
              <w:t>*</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E57B97">
        <w:trPr>
          <w:trHeight w:hRule="exact" w:val="2422"/>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9"/>
              <w:rPr>
                <w:rFonts w:ascii="Times New Roman" w:eastAsia="Times New Roman" w:hAnsi="Times New Roman" w:cs="Times New Roman"/>
                <w:b/>
                <w:bCs/>
              </w:rPr>
            </w:pPr>
          </w:p>
          <w:p w:rsidR="00506994" w:rsidRDefault="00506994" w:rsidP="00AB7A9E">
            <w:pPr>
              <w:pStyle w:val="TableParagraph"/>
              <w:ind w:left="102" w:right="376"/>
              <w:rPr>
                <w:rFonts w:ascii="Times New Roman" w:eastAsia="Times New Roman" w:hAnsi="Times New Roman" w:cs="Times New Roman"/>
              </w:rPr>
            </w:pPr>
            <w:r>
              <w:rPr>
                <w:rFonts w:ascii="Times New Roman"/>
                <w:b/>
                <w:spacing w:val="-1"/>
              </w:rPr>
              <w:t>Blood</w:t>
            </w:r>
            <w:r>
              <w:rPr>
                <w:rFonts w:ascii="Times New Roman"/>
                <w:b/>
              </w:rPr>
              <w:t xml:space="preserve"> </w:t>
            </w:r>
            <w:r>
              <w:rPr>
                <w:rFonts w:ascii="Times New Roman"/>
                <w:b/>
                <w:spacing w:val="-1"/>
              </w:rPr>
              <w:t>and Lymphatic</w:t>
            </w:r>
            <w:r>
              <w:rPr>
                <w:rFonts w:ascii="Times New Roman"/>
                <w:b/>
              </w:rPr>
              <w:t xml:space="preserve"> </w:t>
            </w:r>
            <w:r>
              <w:rPr>
                <w:rFonts w:ascii="Times New Roman"/>
                <w:b/>
                <w:spacing w:val="-1"/>
              </w:rPr>
              <w:t>System</w:t>
            </w:r>
            <w:r>
              <w:rPr>
                <w:rFonts w:ascii="Times New Roman"/>
                <w:b/>
                <w:spacing w:val="2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151"/>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p w:rsidR="00506994" w:rsidRDefault="00506994" w:rsidP="00AB7A9E">
            <w:pPr>
              <w:pStyle w:val="TableParagraph"/>
              <w:spacing w:before="14"/>
              <w:ind w:left="102" w:right="340"/>
              <w:rPr>
                <w:rFonts w:ascii="Times New Roman" w:eastAsia="Times New Roman" w:hAnsi="Times New Roman" w:cs="Times New Roman"/>
              </w:rPr>
            </w:pPr>
            <w:r>
              <w:rPr>
                <w:rFonts w:ascii="Times New Roman" w:eastAsia="Times New Roman" w:hAnsi="Times New Roman" w:cs="Times New Roman"/>
                <w:spacing w:val="-1"/>
              </w:rPr>
              <w:t>Thrombocytopenia^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sidRPr="004A3A6C">
              <w:rPr>
                <w:rFonts w:ascii="Times New Roman" w:eastAsia="Times New Roman" w:hAnsi="Times New Roman" w:cs="Times New Roman"/>
                <w:spacing w:val="-1"/>
              </w:rPr>
              <w:t>An</w:t>
            </w:r>
            <w:r w:rsidR="00745A94" w:rsidRPr="004A3A6C">
              <w:rPr>
                <w:rFonts w:ascii="Times New Roman" w:eastAsia="Times New Roman" w:hAnsi="Times New Roman" w:cs="Times New Roman"/>
                <w:spacing w:val="-1"/>
              </w:rPr>
              <w:t>a</w:t>
            </w:r>
            <w:r w:rsidRPr="004A3A6C">
              <w:rPr>
                <w:rFonts w:ascii="Times New Roman" w:eastAsia="Times New Roman" w:hAnsi="Times New Roman" w:cs="Times New Roman"/>
                <w:spacing w:val="-1"/>
              </w:rPr>
              <w:t>emia</w:t>
            </w:r>
            <w:r w:rsidRPr="00745A94">
              <w:rPr>
                <w:rFonts w:ascii="Times New Roman" w:eastAsia="Times New Roman" w:hAnsi="Times New Roman" w:cs="Times New Roman"/>
                <w:spacing w:val="-1"/>
              </w:rPr>
              <w:t>,</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Lymphopenia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147"/>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p w:rsidR="00506994" w:rsidRDefault="00506994" w:rsidP="00AB7A9E">
            <w:pPr>
              <w:pStyle w:val="TableParagraph"/>
              <w:spacing w:before="14"/>
              <w:ind w:left="102" w:right="385"/>
              <w:rPr>
                <w:rFonts w:ascii="Times New Roman" w:eastAsia="Times New Roman" w:hAnsi="Times New Roman" w:cs="Times New Roman"/>
              </w:rPr>
            </w:pPr>
            <w:r>
              <w:rPr>
                <w:rFonts w:ascii="Times New Roman" w:eastAsia="Times New Roman" w:hAnsi="Times New Roman" w:cs="Times New Roman"/>
                <w:spacing w:val="-1"/>
              </w:rPr>
              <w:t>Thrombocytopenia^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sidRPr="00745A94">
              <w:rPr>
                <w:rFonts w:ascii="Times New Roman" w:eastAsia="Times New Roman" w:hAnsi="Times New Roman" w:cs="Times New Roman"/>
                <w:spacing w:val="-1"/>
              </w:rPr>
              <w:t>A</w:t>
            </w:r>
            <w:r w:rsidRPr="004A3A6C">
              <w:rPr>
                <w:rFonts w:ascii="Times New Roman" w:eastAsia="Times New Roman" w:hAnsi="Times New Roman" w:cs="Times New Roman"/>
                <w:spacing w:val="-1"/>
              </w:rPr>
              <w:t>n</w:t>
            </w:r>
            <w:r w:rsidR="00745A94" w:rsidRPr="004A3A6C">
              <w:rPr>
                <w:rFonts w:ascii="Times New Roman" w:eastAsia="Times New Roman" w:hAnsi="Times New Roman" w:cs="Times New Roman"/>
                <w:spacing w:val="-1"/>
              </w:rPr>
              <w:t>a</w:t>
            </w:r>
            <w:r w:rsidRPr="004A3A6C">
              <w:rPr>
                <w:rFonts w:ascii="Times New Roman" w:eastAsia="Times New Roman" w:hAnsi="Times New Roman" w:cs="Times New Roman"/>
                <w:spacing w:val="-1"/>
              </w:rPr>
              <w:t>emia</w:t>
            </w:r>
            <w:r w:rsidRPr="00745A94">
              <w:rPr>
                <w:rFonts w:ascii="Times New Roman" w:eastAsia="Times New Roman" w:hAnsi="Times New Roman" w:cs="Times New Roman"/>
                <w:spacing w:val="-1"/>
              </w:rPr>
              <w: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Lymphopenia</w:t>
            </w:r>
          </w:p>
          <w:p w:rsidR="00506994" w:rsidRDefault="00506994" w:rsidP="00AB7A9E">
            <w:pPr>
              <w:pStyle w:val="TableParagraph"/>
              <w:spacing w:before="10"/>
              <w:rPr>
                <w:rFonts w:ascii="Times New Roman" w:eastAsia="Times New Roman" w:hAnsi="Times New Roman" w:cs="Times New Roman"/>
                <w:b/>
                <w:bCs/>
                <w:sz w:val="21"/>
                <w:szCs w:val="21"/>
              </w:rPr>
            </w:pPr>
          </w:p>
          <w:p w:rsidR="00506994" w:rsidRDefault="00506994" w:rsidP="00AB7A9E">
            <w:pPr>
              <w:pStyle w:val="TableParagraph"/>
              <w:ind w:left="102" w:right="1920"/>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Pancytopenia</w:t>
            </w:r>
            <w:r>
              <w:rPr>
                <w:rFonts w:ascii="Times New Roman" w:eastAsia="Times New Roman" w:hAnsi="Times New Roman" w:cs="Times New Roman"/>
                <w:spacing w:val="-1"/>
                <w:position w:val="8"/>
                <w:sz w:val="14"/>
                <w:szCs w:val="14"/>
              </w:rPr>
              <w:t>◊</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690"/>
              <w:rPr>
                <w:rFonts w:ascii="Times New Roman" w:eastAsia="Times New Roman" w:hAnsi="Times New Roman" w:cs="Times New Roman"/>
              </w:rPr>
            </w:pPr>
            <w:r>
              <w:rPr>
                <w:rFonts w:ascii="Times New Roman"/>
                <w:b/>
                <w:spacing w:val="-1"/>
              </w:rPr>
              <w:t>Metabolism</w:t>
            </w:r>
            <w:r>
              <w:rPr>
                <w:rFonts w:ascii="Times New Roman"/>
                <w:b/>
                <w:spacing w:val="1"/>
              </w:rPr>
              <w:t xml:space="preserve"> </w:t>
            </w:r>
            <w:r>
              <w:rPr>
                <w:rFonts w:ascii="Times New Roman"/>
                <w:b/>
                <w:spacing w:val="-1"/>
              </w:rPr>
              <w:t>and Nutrition</w:t>
            </w:r>
            <w:r>
              <w:rPr>
                <w:rFonts w:ascii="Times New Roman"/>
                <w:b/>
                <w:spacing w:val="28"/>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Hypokalaemia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Hypokalaemia,</w:t>
            </w:r>
            <w:r>
              <w:rPr>
                <w:rFonts w:ascii="Times New Roman"/>
              </w:rPr>
              <w:t xml:space="preserve"> </w:t>
            </w:r>
            <w:r>
              <w:rPr>
                <w:rFonts w:ascii="Times New Roman"/>
                <w:spacing w:val="-1"/>
              </w:rPr>
              <w:t>Dehydration</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10"/>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b/>
                <w:spacing w:val="-1"/>
              </w:rPr>
              <w:t>Nervous</w:t>
            </w:r>
            <w:r>
              <w:rPr>
                <w:rFonts w:ascii="Times New Roman"/>
                <w:b/>
              </w:rPr>
              <w:t xml:space="preserve"> </w:t>
            </w:r>
            <w:r>
              <w:rPr>
                <w:rFonts w:ascii="Times New Roman"/>
                <w:b/>
                <w:spacing w:val="-1"/>
              </w:rPr>
              <w:t>System</w:t>
            </w:r>
            <w:r>
              <w:rPr>
                <w:rFonts w:ascii="Times New Roman"/>
                <w:b/>
                <w:spacing w:val="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Paraesthesia</w:t>
            </w:r>
          </w:p>
          <w:p w:rsidR="00506994" w:rsidRDefault="00506994" w:rsidP="00AB7A9E">
            <w:pPr>
              <w:pStyle w:val="TableParagraph"/>
              <w:spacing w:before="8"/>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sz w:val="14"/>
                <w:szCs w:val="14"/>
              </w:rPr>
            </w:pPr>
            <w:r>
              <w:rPr>
                <w:rFonts w:ascii="Times New Roman"/>
                <w:spacing w:val="-1"/>
              </w:rPr>
              <w:t>Peripheral</w:t>
            </w:r>
            <w:r>
              <w:rPr>
                <w:rFonts w:ascii="Times New Roman"/>
                <w:spacing w:val="-2"/>
              </w:rPr>
              <w:t xml:space="preserve"> </w:t>
            </w:r>
            <w:r>
              <w:rPr>
                <w:rFonts w:ascii="Times New Roman"/>
                <w:spacing w:val="-1"/>
              </w:rPr>
              <w:t>neuropathy</w:t>
            </w:r>
            <w:r>
              <w:rPr>
                <w:rFonts w:ascii="Times New Roman"/>
                <w:spacing w:val="-1"/>
                <w:position w:val="8"/>
                <w:sz w:val="14"/>
              </w:rPr>
              <w:t>c</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308"/>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Headache</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25"/>
              <w:ind w:left="102"/>
              <w:rPr>
                <w:rFonts w:ascii="Times New Roman" w:eastAsia="Times New Roman" w:hAnsi="Times New Roman" w:cs="Times New Roman"/>
              </w:rPr>
            </w:pPr>
            <w:r>
              <w:rPr>
                <w:rFonts w:ascii="Times New Roman"/>
                <w:b/>
                <w:spacing w:val="-1"/>
              </w:rPr>
              <w:t>Vascular</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Pulmonary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embolism</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tc>
        <w:tc>
          <w:tcPr>
            <w:tcW w:w="3293"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sz w:val="14"/>
                <w:szCs w:val="14"/>
              </w:rPr>
            </w:pPr>
            <w:r>
              <w:rPr>
                <w:rFonts w:ascii="Times New Roman" w:eastAsia="Times New Roman" w:hAnsi="Times New Roman" w:cs="Times New Roman"/>
              </w:rPr>
              <w:t>Deep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vein thrombosis^</w:t>
            </w:r>
            <w:r>
              <w:rPr>
                <w:rFonts w:ascii="Times New Roman" w:eastAsia="Times New Roman" w:hAnsi="Times New Roman" w:cs="Times New Roman"/>
                <w:spacing w:val="-1"/>
                <w:position w:val="8"/>
                <w:sz w:val="14"/>
                <w:szCs w:val="14"/>
              </w:rPr>
              <w:t>,◊,d</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1"/>
              <w:rPr>
                <w:rFonts w:ascii="Times New Roman" w:eastAsia="Times New Roman" w:hAnsi="Times New Roman" w:cs="Times New Roman"/>
                <w:b/>
                <w:bCs/>
                <w:sz w:val="32"/>
                <w:szCs w:val="32"/>
              </w:rPr>
            </w:pPr>
          </w:p>
          <w:p w:rsidR="00506994" w:rsidRDefault="00506994" w:rsidP="00AB7A9E">
            <w:pPr>
              <w:pStyle w:val="TableParagraph"/>
              <w:ind w:left="102" w:right="661"/>
              <w:rPr>
                <w:rFonts w:ascii="Times New Roman" w:eastAsia="Times New Roman" w:hAnsi="Times New Roman" w:cs="Times New Roman"/>
              </w:rPr>
            </w:pPr>
            <w:r>
              <w:rPr>
                <w:rFonts w:ascii="Times New Roman"/>
                <w:b/>
                <w:spacing w:val="-1"/>
              </w:rPr>
              <w:t>Respiratory,</w:t>
            </w:r>
            <w:r>
              <w:rPr>
                <w:rFonts w:ascii="Times New Roman"/>
                <w:b/>
              </w:rPr>
              <w:t xml:space="preserve"> </w:t>
            </w:r>
            <w:r>
              <w:rPr>
                <w:rFonts w:ascii="Times New Roman"/>
                <w:b/>
                <w:spacing w:val="-1"/>
              </w:rPr>
              <w:t>Thoracic</w:t>
            </w:r>
            <w:r>
              <w:rPr>
                <w:rFonts w:ascii="Times New Roman"/>
                <w:b/>
                <w:spacing w:val="-2"/>
              </w:rPr>
              <w:t xml:space="preserve"> </w:t>
            </w:r>
            <w:r>
              <w:rPr>
                <w:rFonts w:ascii="Times New Roman"/>
                <w:b/>
                <w:spacing w:val="-1"/>
              </w:rPr>
              <w:t>and</w:t>
            </w:r>
            <w:r>
              <w:rPr>
                <w:rFonts w:ascii="Times New Roman"/>
                <w:b/>
                <w:spacing w:val="30"/>
              </w:rPr>
              <w:t xml:space="preserve"> </w:t>
            </w:r>
            <w:r>
              <w:rPr>
                <w:rFonts w:ascii="Times New Roman"/>
                <w:b/>
                <w:spacing w:val="-1"/>
              </w:rPr>
              <w:t>Mediastinal</w:t>
            </w:r>
            <w:r>
              <w:rPr>
                <w:rFonts w:ascii="Times New Roman"/>
                <w:b/>
                <w:spacing w:val="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Cough</w:t>
            </w:r>
          </w:p>
          <w:p w:rsidR="00506994" w:rsidRDefault="00506994" w:rsidP="00AB7A9E">
            <w:pPr>
              <w:pStyle w:val="TableParagraph"/>
              <w:spacing w:before="11"/>
              <w:rPr>
                <w:rFonts w:ascii="Times New Roman" w:eastAsia="Times New Roman" w:hAnsi="Times New Roman" w:cs="Times New Roman"/>
                <w:b/>
                <w:bCs/>
                <w:sz w:val="21"/>
                <w:szCs w:val="21"/>
              </w:rPr>
            </w:pPr>
          </w:p>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Dyspnoea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Rhinorrhoea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227"/>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Dyspnoea</w:t>
            </w:r>
            <w:r>
              <w:rPr>
                <w:rFonts w:ascii="Times New Roman" w:eastAsia="Times New Roman" w:hAnsi="Times New Roman" w:cs="Times New Roman"/>
                <w:spacing w:val="-1"/>
                <w:position w:val="8"/>
                <w:sz w:val="14"/>
                <w:szCs w:val="14"/>
              </w:rPr>
              <w:t>◊</w:t>
            </w:r>
          </w:p>
        </w:tc>
      </w:tr>
      <w:tr w:rsidR="00506994" w:rsidTr="00847F91">
        <w:trPr>
          <w:trHeight w:hRule="exact" w:val="1529"/>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10"/>
              <w:rPr>
                <w:rFonts w:ascii="Times New Roman" w:eastAsia="Times New Roman" w:hAnsi="Times New Roman" w:cs="Times New Roman"/>
                <w:b/>
                <w:bCs/>
                <w:sz w:val="32"/>
                <w:szCs w:val="32"/>
              </w:rPr>
            </w:pPr>
          </w:p>
          <w:p w:rsidR="00506994" w:rsidRDefault="00506994" w:rsidP="00AB7A9E">
            <w:pPr>
              <w:pStyle w:val="TableParagraph"/>
              <w:ind w:left="102"/>
              <w:rPr>
                <w:rFonts w:ascii="Times New Roman" w:eastAsia="Times New Roman" w:hAnsi="Times New Roman" w:cs="Times New Roman"/>
              </w:rPr>
            </w:pPr>
            <w:r>
              <w:rPr>
                <w:rFonts w:ascii="Times New Roman"/>
                <w:b/>
                <w:spacing w:val="-1"/>
              </w:rPr>
              <w:t>Gastrointestinal</w:t>
            </w:r>
            <w:r>
              <w:rPr>
                <w:rFonts w:ascii="Times New Roman"/>
                <w:b/>
                <w:spacing w:val="-2"/>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997"/>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Diarrhoea,</w:t>
            </w:r>
            <w:r>
              <w:rPr>
                <w:rFonts w:ascii="Times New Roman"/>
              </w:rPr>
              <w:t xml:space="preserve"> </w:t>
            </w:r>
            <w:r>
              <w:rPr>
                <w:rFonts w:ascii="Times New Roman"/>
                <w:spacing w:val="-1"/>
              </w:rPr>
              <w:t>Constipation,</w:t>
            </w:r>
            <w:r>
              <w:rPr>
                <w:rFonts w:ascii="Times New Roman"/>
                <w:spacing w:val="27"/>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Nausea</w:t>
            </w:r>
          </w:p>
          <w:p w:rsidR="00506994" w:rsidRDefault="00506994" w:rsidP="00AB7A9E">
            <w:pPr>
              <w:pStyle w:val="TableParagraph"/>
              <w:spacing w:before="1"/>
              <w:rPr>
                <w:rFonts w:ascii="Times New Roman" w:eastAsia="Times New Roman" w:hAnsi="Times New Roman" w:cs="Times New Roman"/>
                <w:b/>
                <w:bCs/>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Vomiting,</w:t>
            </w:r>
            <w:r>
              <w:rPr>
                <w:rFonts w:ascii="Times New Roman"/>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spacing w:val="-5"/>
              </w:rPr>
              <w:t xml:space="preserve"> </w:t>
            </w:r>
            <w:r>
              <w:rPr>
                <w:rFonts w:ascii="Times New Roman"/>
              </w:rPr>
              <w:t>upper</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rPr>
            </w:pPr>
            <w:r>
              <w:rPr>
                <w:rFonts w:ascii="Times New Roman"/>
                <w:spacing w:val="-1"/>
              </w:rPr>
              <w:t>Diarrhoea,</w:t>
            </w:r>
            <w:r>
              <w:rPr>
                <w:rFonts w:ascii="Times New Roman"/>
              </w:rPr>
              <w:t xml:space="preserve"> </w:t>
            </w:r>
            <w:r>
              <w:rPr>
                <w:rFonts w:ascii="Times New Roman"/>
                <w:spacing w:val="-1"/>
              </w:rPr>
              <w:t>Vomiting,</w:t>
            </w:r>
            <w:r>
              <w:rPr>
                <w:rFonts w:ascii="Times New Roman"/>
              </w:rPr>
              <w:t xml:space="preserve"> </w:t>
            </w:r>
            <w:r>
              <w:rPr>
                <w:rFonts w:ascii="Times New Roman"/>
                <w:spacing w:val="-1"/>
              </w:rPr>
              <w:t>Nausea</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25"/>
              <w:ind w:left="102"/>
              <w:rPr>
                <w:rFonts w:ascii="Times New Roman" w:eastAsia="Times New Roman" w:hAnsi="Times New Roman" w:cs="Times New Roman"/>
              </w:rPr>
            </w:pPr>
            <w:r>
              <w:rPr>
                <w:rFonts w:ascii="Times New Roman"/>
                <w:b/>
                <w:spacing w:val="-1"/>
              </w:rPr>
              <w:t>Hepatobiliary</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1"/>
                <w:u w:val="single"/>
              </w:rPr>
              <w:t>Very</w:t>
            </w:r>
            <w:r w:rsidRPr="007B5138">
              <w:rPr>
                <w:rFonts w:ascii="Times New Roman"/>
                <w:spacing w:val="-3"/>
                <w:u w:val="single"/>
              </w:rPr>
              <w:t xml:space="preserve"> </w:t>
            </w:r>
            <w:r w:rsidRPr="007B5138">
              <w:rPr>
                <w:rFonts w:ascii="Times New Roman"/>
                <w:spacing w:val="-1"/>
                <w:u w:val="single"/>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Abnormal</w:t>
            </w:r>
            <w:r>
              <w:rPr>
                <w:rFonts w:ascii="Times New Roman"/>
                <w:spacing w:val="1"/>
              </w:rPr>
              <w:t xml:space="preserve"> </w:t>
            </w:r>
            <w:r>
              <w:rPr>
                <w:rFonts w:ascii="Times New Roman"/>
                <w:spacing w:val="-1"/>
              </w:rPr>
              <w:t>liver</w:t>
            </w:r>
            <w:r>
              <w:rPr>
                <w:rFonts w:ascii="Times New Roman"/>
                <w:spacing w:val="-2"/>
              </w:rPr>
              <w:t xml:space="preserve"> </w:t>
            </w:r>
            <w:r>
              <w:rPr>
                <w:rFonts w:ascii="Times New Roman"/>
                <w:spacing w:val="-1"/>
              </w:rPr>
              <w:t>function</w:t>
            </w:r>
            <w:r>
              <w:rPr>
                <w:rFonts w:ascii="Times New Roman"/>
                <w:spacing w:val="-2"/>
              </w:rPr>
              <w:t xml:space="preserve"> </w:t>
            </w:r>
            <w:r>
              <w:rPr>
                <w:rFonts w:ascii="Times New Roman"/>
              </w:rPr>
              <w:t>tests</w:t>
            </w:r>
          </w:p>
        </w:tc>
        <w:tc>
          <w:tcPr>
            <w:tcW w:w="3293"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Abnormal</w:t>
            </w:r>
            <w:r>
              <w:rPr>
                <w:rFonts w:ascii="Times New Roman"/>
                <w:spacing w:val="1"/>
              </w:rPr>
              <w:t xml:space="preserve"> </w:t>
            </w:r>
            <w:r>
              <w:rPr>
                <w:rFonts w:ascii="Times New Roman"/>
                <w:spacing w:val="-1"/>
              </w:rPr>
              <w:t>liver</w:t>
            </w:r>
            <w:r>
              <w:rPr>
                <w:rFonts w:ascii="Times New Roman"/>
                <w:spacing w:val="-2"/>
              </w:rPr>
              <w:t xml:space="preserve"> </w:t>
            </w:r>
            <w:r>
              <w:rPr>
                <w:rFonts w:ascii="Times New Roman"/>
                <w:spacing w:val="-1"/>
              </w:rPr>
              <w:t>function</w:t>
            </w:r>
            <w:r>
              <w:rPr>
                <w:rFonts w:ascii="Times New Roman"/>
                <w:spacing w:val="-3"/>
              </w:rPr>
              <w:t xml:space="preserve"> </w:t>
            </w:r>
            <w:r>
              <w:rPr>
                <w:rFonts w:ascii="Times New Roman"/>
                <w:spacing w:val="-1"/>
              </w:rPr>
              <w:t>tests</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92"/>
              <w:rPr>
                <w:rFonts w:ascii="Times New Roman" w:eastAsia="Times New Roman" w:hAnsi="Times New Roman" w:cs="Times New Roman"/>
              </w:rPr>
            </w:pPr>
            <w:r>
              <w:rPr>
                <w:rFonts w:ascii="Times New Roman"/>
                <w:b/>
                <w:spacing w:val="-1"/>
              </w:rPr>
              <w:t xml:space="preserve">Skin </w:t>
            </w:r>
            <w:r>
              <w:rPr>
                <w:rFonts w:ascii="Times New Roman"/>
                <w:b/>
              </w:rPr>
              <w:t>and</w:t>
            </w:r>
            <w:r>
              <w:rPr>
                <w:rFonts w:ascii="Times New Roman"/>
                <w:b/>
                <w:spacing w:val="-1"/>
              </w:rPr>
              <w:t xml:space="preserve"> Subcutaneous</w:t>
            </w:r>
            <w:r>
              <w:rPr>
                <w:rFonts w:ascii="Times New Roman"/>
                <w:b/>
              </w:rPr>
              <w:t xml:space="preserve"> </w:t>
            </w:r>
            <w:r>
              <w:rPr>
                <w:rFonts w:ascii="Times New Roman"/>
                <w:b/>
                <w:spacing w:val="-1"/>
              </w:rPr>
              <w:t>Tissue</w:t>
            </w:r>
            <w:r>
              <w:rPr>
                <w:rFonts w:ascii="Times New Roman"/>
                <w:b/>
                <w:spacing w:val="28"/>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6"/>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rPr>
              <w:t xml:space="preserve">Rash, </w:t>
            </w:r>
            <w:r>
              <w:rPr>
                <w:rFonts w:ascii="Times New Roman"/>
                <w:spacing w:val="-1"/>
              </w:rPr>
              <w:t>Dry</w:t>
            </w:r>
            <w:r>
              <w:rPr>
                <w:rFonts w:ascii="Times New Roman"/>
                <w:spacing w:val="-2"/>
              </w:rPr>
              <w:t xml:space="preserve"> </w:t>
            </w:r>
            <w:r>
              <w:rPr>
                <w:rFonts w:ascii="Times New Roman"/>
                <w:spacing w:val="-1"/>
              </w:rPr>
              <w:t>skin</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927"/>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rPr>
              <w:t xml:space="preserve">Rash, </w:t>
            </w:r>
            <w:r>
              <w:rPr>
                <w:rFonts w:ascii="Times New Roman"/>
                <w:spacing w:val="-1"/>
              </w:rPr>
              <w:t>Pruritus</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b/>
                <w:bCs/>
                <w:sz w:val="32"/>
                <w:szCs w:val="32"/>
              </w:rPr>
            </w:pPr>
          </w:p>
          <w:p w:rsidR="00506994" w:rsidRDefault="00506994" w:rsidP="00AB7A9E">
            <w:pPr>
              <w:pStyle w:val="TableParagraph"/>
              <w:ind w:left="102" w:right="115"/>
              <w:rPr>
                <w:rFonts w:ascii="Times New Roman" w:eastAsia="Times New Roman" w:hAnsi="Times New Roman" w:cs="Times New Roman"/>
              </w:rPr>
            </w:pPr>
            <w:r>
              <w:rPr>
                <w:rFonts w:ascii="Times New Roman"/>
                <w:b/>
                <w:spacing w:val="-1"/>
              </w:rPr>
              <w:t>Musculoskeletal</w:t>
            </w:r>
            <w:r>
              <w:rPr>
                <w:rFonts w:ascii="Times New Roman"/>
                <w:b/>
                <w:spacing w:val="-2"/>
              </w:rPr>
              <w:t xml:space="preserve"> </w:t>
            </w:r>
            <w:r>
              <w:rPr>
                <w:rFonts w:ascii="Times New Roman"/>
                <w:b/>
                <w:spacing w:val="-1"/>
              </w:rPr>
              <w:t>and Connective</w:t>
            </w:r>
            <w:r>
              <w:rPr>
                <w:rFonts w:ascii="Times New Roman"/>
                <w:b/>
                <w:spacing w:val="31"/>
              </w:rPr>
              <w:t xml:space="preserve"> </w:t>
            </w:r>
            <w:r>
              <w:rPr>
                <w:rFonts w:ascii="Times New Roman"/>
                <w:b/>
                <w:spacing w:val="-1"/>
              </w:rPr>
              <w:t>Tissue</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4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Muscle</w:t>
            </w:r>
            <w:r>
              <w:rPr>
                <w:rFonts w:ascii="Times New Roman"/>
                <w:spacing w:val="-2"/>
              </w:rPr>
              <w:t xml:space="preserve"> </w:t>
            </w:r>
            <w:r>
              <w:rPr>
                <w:rFonts w:ascii="Times New Roman"/>
                <w:spacing w:val="-1"/>
              </w:rPr>
              <w:t>spasms</w:t>
            </w:r>
          </w:p>
          <w:p w:rsidR="00506994" w:rsidRDefault="00506994" w:rsidP="00AB7A9E">
            <w:pPr>
              <w:pStyle w:val="TableParagraph"/>
              <w:spacing w:before="8"/>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Myalgia,</w:t>
            </w:r>
            <w:r>
              <w:rPr>
                <w:rFonts w:ascii="Times New Roman"/>
              </w:rPr>
              <w:t xml:space="preserve"> </w:t>
            </w:r>
            <w:r>
              <w:rPr>
                <w:rFonts w:ascii="Times New Roman"/>
                <w:spacing w:val="-1"/>
              </w:rPr>
              <w:t>Musculoskeletal</w:t>
            </w:r>
            <w:r>
              <w:rPr>
                <w:rFonts w:ascii="Times New Roman"/>
                <w:spacing w:val="1"/>
              </w:rPr>
              <w:t xml:space="preserve"> </w:t>
            </w:r>
            <w:r>
              <w:rPr>
                <w:rFonts w:ascii="Times New Roman"/>
                <w:spacing w:val="-1"/>
              </w:rPr>
              <w:t>pain</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10"/>
              <w:rPr>
                <w:rFonts w:ascii="Times New Roman" w:eastAsia="Times New Roman" w:hAnsi="Times New Roman" w:cs="Times New Roman"/>
              </w:rPr>
            </w:pPr>
            <w:r>
              <w:rPr>
                <w:rFonts w:ascii="Times New Roman"/>
                <w:b/>
                <w:spacing w:val="-1"/>
              </w:rPr>
              <w:t>General</w:t>
            </w:r>
            <w:r>
              <w:rPr>
                <w:rFonts w:ascii="Times New Roman"/>
                <w:b/>
                <w:spacing w:val="1"/>
              </w:rPr>
              <w:t xml:space="preserve"> </w:t>
            </w:r>
            <w:r>
              <w:rPr>
                <w:rFonts w:ascii="Times New Roman"/>
                <w:b/>
                <w:spacing w:val="-1"/>
              </w:rPr>
              <w:t>Disorders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Administration</w:t>
            </w:r>
            <w:r>
              <w:rPr>
                <w:rFonts w:ascii="Times New Roman"/>
                <w:b/>
              </w:rPr>
              <w:t xml:space="preserve"> </w:t>
            </w:r>
            <w:r>
              <w:rPr>
                <w:rFonts w:ascii="Times New Roman"/>
                <w:b/>
                <w:spacing w:val="-1"/>
              </w:rPr>
              <w:t>Site</w:t>
            </w:r>
            <w:r>
              <w:rPr>
                <w:rFonts w:ascii="Times New Roman"/>
                <w:b/>
              </w:rPr>
              <w:t xml:space="preserve"> </w:t>
            </w:r>
            <w:r>
              <w:rPr>
                <w:rFonts w:ascii="Times New Roman"/>
                <w:b/>
                <w:spacing w:val="-1"/>
              </w:rPr>
              <w:t>Conditions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Fatigue,</w:t>
            </w:r>
            <w:r>
              <w:rPr>
                <w:rFonts w:ascii="Times New Roman"/>
              </w:rPr>
              <w:t xml:space="preserve"> </w:t>
            </w:r>
            <w:r>
              <w:rPr>
                <w:rFonts w:ascii="Times New Roman"/>
                <w:spacing w:val="-1"/>
              </w:rPr>
              <w:t>Asthenia,</w:t>
            </w:r>
            <w:r>
              <w:rPr>
                <w:rFonts w:ascii="Times New Roman"/>
              </w:rPr>
              <w:t xml:space="preserve"> </w:t>
            </w:r>
            <w:r>
              <w:rPr>
                <w:rFonts w:ascii="Times New Roman"/>
                <w:spacing w:val="-1"/>
              </w:rPr>
              <w:t>Pyrexia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62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Fatigue,</w:t>
            </w:r>
            <w:r>
              <w:rPr>
                <w:rFonts w:ascii="Times New Roman"/>
              </w:rPr>
              <w:t xml:space="preserve"> </w:t>
            </w:r>
            <w:r>
              <w:rPr>
                <w:rFonts w:ascii="Times New Roman"/>
                <w:spacing w:val="-1"/>
              </w:rPr>
              <w:t>Asthenia</w:t>
            </w:r>
          </w:p>
        </w:tc>
      </w:tr>
    </w:tbl>
    <w:p w:rsidR="00506994" w:rsidRDefault="002C544C" w:rsidP="00AB7A9E">
      <w:pPr>
        <w:widowControl w:val="0"/>
        <w:numPr>
          <w:ilvl w:val="0"/>
          <w:numId w:val="29"/>
        </w:numPr>
        <w:tabs>
          <w:tab w:val="left" w:pos="310"/>
        </w:tabs>
        <w:ind w:hanging="91"/>
        <w:rPr>
          <w:rFonts w:eastAsia="Times New Roman"/>
          <w:sz w:val="16"/>
          <w:szCs w:val="16"/>
        </w:rPr>
      </w:pPr>
      <w:r>
        <w:rPr>
          <w:noProof/>
        </w:rPr>
        <mc:AlternateContent>
          <mc:Choice Requires="wpg">
            <w:drawing>
              <wp:anchor distT="0" distB="0" distL="114300" distR="114300" simplePos="0" relativeHeight="251658240" behindDoc="1" locked="0" layoutInCell="1" allowOverlap="1" wp14:anchorId="33B8D537" wp14:editId="00365BB3">
                <wp:simplePos x="0" y="0"/>
                <wp:positionH relativeFrom="page">
                  <wp:posOffset>2973070</wp:posOffset>
                </wp:positionH>
                <wp:positionV relativeFrom="paragraph">
                  <wp:posOffset>-511175</wp:posOffset>
                </wp:positionV>
                <wp:extent cx="520065" cy="1270"/>
                <wp:effectExtent l="10795" t="6350" r="12065" b="11430"/>
                <wp:wrapNone/>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 cy="1270"/>
                          <a:chOff x="4682" y="-805"/>
                          <a:chExt cx="819" cy="2"/>
                        </a:xfrm>
                      </wpg:grpSpPr>
                      <wps:wsp>
                        <wps:cNvPr id="23" name="Freeform 13"/>
                        <wps:cNvSpPr>
                          <a:spLocks/>
                        </wps:cNvSpPr>
                        <wps:spPr bwMode="auto">
                          <a:xfrm>
                            <a:off x="4682" y="-805"/>
                            <a:ext cx="819" cy="2"/>
                          </a:xfrm>
                          <a:custGeom>
                            <a:avLst/>
                            <a:gdLst>
                              <a:gd name="T0" fmla="+- 0 4682 4682"/>
                              <a:gd name="T1" fmla="*/ T0 w 819"/>
                              <a:gd name="T2" fmla="+- 0 5501 4682"/>
                              <a:gd name="T3" fmla="*/ T2 w 819"/>
                            </a:gdLst>
                            <a:ahLst/>
                            <a:cxnLst>
                              <a:cxn ang="0">
                                <a:pos x="T1" y="0"/>
                              </a:cxn>
                              <a:cxn ang="0">
                                <a:pos x="T3" y="0"/>
                              </a:cxn>
                            </a:cxnLst>
                            <a:rect l="0" t="0" r="r" b="b"/>
                            <a:pathLst>
                              <a:path w="819">
                                <a:moveTo>
                                  <a:pt x="0" y="0"/>
                                </a:moveTo>
                                <a:lnTo>
                                  <a:pt x="8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5AA31" id="Group 12" o:spid="_x0000_s1026" style="position:absolute;margin-left:234.1pt;margin-top:-40.25pt;width:40.95pt;height:.1pt;z-index:-251658240;mso-position-horizontal-relative:page" coordorigin="4682,-805" coordsize="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CvXQMAAN8HAAAOAAAAZHJzL2Uyb0RvYy54bWykVduO2zgMfS+w/yDocYuML+NkMsZ4iiKX&#10;QYHpBWj6AYosX7C25EpKnGmx/76kZGc8aYtddPPgUCZNHh5S5N2bU9uQo9CmVjKj0VVIiZBc5bUs&#10;M/plt50tKTGWyZw1SoqMPglD39z/8equ71IRq0o1udAEnEiT9l1GK2u7NAgMr0TLzJXqhARloXTL&#10;LBx1GeSa9eC9bYI4DBdBr3TeacWFMfB27ZX03vkvCsHtx6IwwpImo4DNuqd2zz0+g/s7lpaadVXN&#10;BxjsN1C0rJYQ9OxqzSwjB13/4KqtuVZGFfaKqzZQRVFz4XKAbKLwIpsHrQ6dy6VM+7I70wTUXvD0&#10;2275h+MnTeo8o3FMiWQt1MiFJVGM5PRdmYLNg+4+d5+0zxDER8X/MqAOLvV4Lr0x2ffvVQ7+2MEq&#10;R86p0C26gLTJydXg6VwDcbKEw8s5VnVOCQdVFN8MFeIVlBG/SRZLwAm62TKc++rxajN8u4xu/YcO&#10;esBSH9CBHEBhRtBp5plM8//I/FyxTrgaGSRqJPN6JHOrhcD2JdG159OZjWSaKZMTDYI0QPi/cvgT&#10;PkYmf8EGS/nB2AehXCnY8dFYfwlykFyB86EPdnBhiraB+/B6RkKCodxjuDRns2g0+zMgu5D0BCMP&#10;PkdXULSJq/k8jH7qCmjzZugqfnYFtSxHfKwaIfOTHDCDRBiOnNA1WqcMNssOkI0dBh7ACPP7hS2E&#10;vrT13wwhNMySyymiKYEpsvfJdswiMgyBIukzikTguVVHsVNOYy86H2I8axs5tXIFnGDyWvgA3cPd&#10;84ILiUgnVZVqWzeNK0EjEcjN9WLhkBjV1DkqEYzR5X7VaHJkOB3dD1MBZy/MYArJ3DmrBMs3g2xZ&#10;3XgZ7BvHLHTeQAD2oBt/32/D281ys0xmSbzYzJJwvZ693a6S2WIb3czX1+vVah39jdCiJK3qPBcS&#10;0Y2jOEr+2+0cloIfoudh/CKLF8lu3e/HZIOXMBwXkMv477keL6efJXuVP8FF1crvFtiFIFRKf6Ok&#10;h72SUfP1wLSgpHknYdbcRkmCi8gdkvlNDAc91eynGiY5uMqopdDeKK6sX16HTtdlBZEiV1ap3sKQ&#10;LWq8yjDuTOpRDQcYd05yW8TlMmw8XFPTs7N63sv3/wAAAP//AwBQSwMEFAAGAAgAAAAhAA2NQYLh&#10;AAAACwEAAA8AAABkcnMvZG93bnJldi54bWxMj8FKw0AQhu+C77CM4K3dpDUlxGxKKeqpCLaCeJtm&#10;p0lodjZkt0n69q5e6nFmPv75/nw9mVYM1LvGsoJ4HoEgLq1uuFLweXidpSCcR9bYWiYFV3KwLu7v&#10;csy0HfmDhr2vRAhhl6GC2vsuk9KVNRl0c9sRh9vJ9gZ9GPtK6h7HEG5auYiilTTYcPhQY0fbmsrz&#10;/mIUvI04bpbxy7A7n7bX70Py/rWLSanHh2nzDMLT5G8w/OoHdSiC09FeWDvRKnhapYuAKpilUQIi&#10;EEkSxSCOf5slyCKX/zsUPwAAAP//AwBQSwECLQAUAAYACAAAACEAtoM4kv4AAADhAQAAEwAAAAAA&#10;AAAAAAAAAAAAAAAAW0NvbnRlbnRfVHlwZXNdLnhtbFBLAQItABQABgAIAAAAIQA4/SH/1gAAAJQB&#10;AAALAAAAAAAAAAAAAAAAAC8BAABfcmVscy8ucmVsc1BLAQItABQABgAIAAAAIQAEitCvXQMAAN8H&#10;AAAOAAAAAAAAAAAAAAAAAC4CAABkcnMvZTJvRG9jLnhtbFBLAQItABQABgAIAAAAIQANjUGC4QAA&#10;AAsBAAAPAAAAAAAAAAAAAAAAALcFAABkcnMvZG93bnJldi54bWxQSwUGAAAAAAQABADzAAAAxQYA&#10;AAAA&#10;">
                <v:shape id="Freeform 13" o:spid="_x0000_s1027" style="position:absolute;left:4682;top:-805;width:819;height:2;visibility:visible;mso-wrap-style:square;v-text-anchor:top" coordsize="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LxYxQAAANsAAAAPAAAAZHJzL2Rvd25yZXYueG1sRI9Ba8JA&#10;FITvBf/D8oReRDdaWm3qKqElYC+CqUiPj+xrEsy+DbvbGP99VxB6HGbmG2a9HUwrenK+saxgPktA&#10;EJdWN1wpOH7l0xUIH5A1tpZJwZU8bDejhzWm2l74QH0RKhEh7FNUUIfQpVL6siaDfmY74uj9WGcw&#10;ROkqqR1eIty0cpEkL9Jgw3Ghxo7eayrPxa9RsP8svvPsY5mdnt3hOOlf89Jec6Uex0P2BiLQEP7D&#10;9/ZOK1g8we1L/AFy8wcAAP//AwBQSwECLQAUAAYACAAAACEA2+H2y+4AAACFAQAAEwAAAAAAAAAA&#10;AAAAAAAAAAAAW0NvbnRlbnRfVHlwZXNdLnhtbFBLAQItABQABgAIAAAAIQBa9CxbvwAAABUBAAAL&#10;AAAAAAAAAAAAAAAAAB8BAABfcmVscy8ucmVsc1BLAQItABQABgAIAAAAIQBK2LxYxQAAANsAAAAP&#10;AAAAAAAAAAAAAAAAAAcCAABkcnMvZG93bnJldi54bWxQSwUGAAAAAAMAAwC3AAAA+QIAAAAA&#10;" path="m,l819,e" filled="f" strokeweight=".58pt">
                  <v:path arrowok="t" o:connecttype="custom" o:connectlocs="0,0;819,0" o:connectangles="0,0"/>
                </v:shape>
                <w10:wrap anchorx="page"/>
              </v:group>
            </w:pict>
          </mc:Fallback>
        </mc:AlternateContent>
      </w:r>
      <w:r w:rsidR="00506994">
        <w:rPr>
          <w:spacing w:val="-2"/>
          <w:sz w:val="16"/>
        </w:rPr>
        <w:t>Adverse</w:t>
      </w:r>
      <w:r w:rsidR="00506994">
        <w:rPr>
          <w:spacing w:val="-1"/>
          <w:sz w:val="16"/>
        </w:rPr>
        <w:t xml:space="preserve"> reactions</w:t>
      </w:r>
      <w:r w:rsidR="00506994">
        <w:rPr>
          <w:spacing w:val="-2"/>
          <w:sz w:val="16"/>
        </w:rPr>
        <w:t xml:space="preserve"> </w:t>
      </w:r>
      <w:r w:rsidR="00506994">
        <w:rPr>
          <w:spacing w:val="-1"/>
          <w:sz w:val="16"/>
        </w:rPr>
        <w:t>reported</w:t>
      </w:r>
      <w:r w:rsidR="00506994">
        <w:rPr>
          <w:spacing w:val="2"/>
          <w:sz w:val="16"/>
        </w:rPr>
        <w:t xml:space="preserve"> </w:t>
      </w:r>
      <w:r w:rsidR="00506994">
        <w:rPr>
          <w:sz w:val="16"/>
        </w:rPr>
        <w:t>as</w:t>
      </w:r>
      <w:r w:rsidR="00506994">
        <w:rPr>
          <w:spacing w:val="-2"/>
          <w:sz w:val="16"/>
        </w:rPr>
        <w:t xml:space="preserve"> </w:t>
      </w:r>
      <w:r w:rsidR="00506994">
        <w:rPr>
          <w:spacing w:val="-1"/>
          <w:sz w:val="16"/>
        </w:rPr>
        <w:t>serious</w:t>
      </w:r>
      <w:r w:rsidR="00506994">
        <w:rPr>
          <w:sz w:val="16"/>
        </w:rPr>
        <w:t xml:space="preserve"> </w:t>
      </w:r>
      <w:r w:rsidR="00506994">
        <w:rPr>
          <w:spacing w:val="-1"/>
          <w:sz w:val="16"/>
        </w:rPr>
        <w:t>in</w:t>
      </w:r>
      <w:r w:rsidR="00506994">
        <w:rPr>
          <w:spacing w:val="2"/>
          <w:sz w:val="16"/>
        </w:rPr>
        <w:t xml:space="preserve"> </w:t>
      </w:r>
      <w:r w:rsidR="00506994">
        <w:rPr>
          <w:spacing w:val="-1"/>
          <w:sz w:val="16"/>
        </w:rPr>
        <w:t>clinical trials</w:t>
      </w:r>
      <w:r w:rsidR="00506994">
        <w:rPr>
          <w:sz w:val="16"/>
        </w:rPr>
        <w:t xml:space="preserve"> </w:t>
      </w:r>
      <w:r w:rsidR="00506994">
        <w:rPr>
          <w:spacing w:val="-1"/>
          <w:sz w:val="16"/>
        </w:rPr>
        <w:t>in patients</w:t>
      </w:r>
      <w:r w:rsidR="00506994">
        <w:rPr>
          <w:sz w:val="16"/>
        </w:rPr>
        <w:t xml:space="preserve"> </w:t>
      </w:r>
      <w:r w:rsidR="00506994">
        <w:rPr>
          <w:spacing w:val="-2"/>
          <w:sz w:val="16"/>
        </w:rPr>
        <w:t>with</w:t>
      </w:r>
      <w:r w:rsidR="00506994">
        <w:rPr>
          <w:spacing w:val="2"/>
          <w:sz w:val="16"/>
        </w:rPr>
        <w:t xml:space="preserve"> </w:t>
      </w:r>
      <w:r w:rsidR="00506994">
        <w:rPr>
          <w:spacing w:val="-1"/>
          <w:sz w:val="16"/>
        </w:rPr>
        <w:t xml:space="preserve">NDMM who had undergone </w:t>
      </w:r>
      <w:r w:rsidR="00506994">
        <w:rPr>
          <w:spacing w:val="-2"/>
          <w:sz w:val="16"/>
        </w:rPr>
        <w:t>ASCT</w:t>
      </w:r>
    </w:p>
    <w:p w:rsidR="00506994" w:rsidRDefault="00506994" w:rsidP="00AB7A9E">
      <w:pPr>
        <w:ind w:left="218"/>
        <w:rPr>
          <w:rFonts w:eastAsia="Times New Roman"/>
          <w:sz w:val="16"/>
          <w:szCs w:val="16"/>
        </w:rPr>
      </w:pPr>
      <w:r>
        <w:rPr>
          <w:position w:val="6"/>
          <w:sz w:val="10"/>
        </w:rPr>
        <w:t>*</w:t>
      </w:r>
      <w:r>
        <w:rPr>
          <w:spacing w:val="1"/>
          <w:position w:val="6"/>
          <w:sz w:val="10"/>
        </w:rPr>
        <w:t xml:space="preserve"> </w:t>
      </w:r>
      <w:r>
        <w:rPr>
          <w:spacing w:val="-1"/>
          <w:sz w:val="16"/>
        </w:rPr>
        <w:t>Applies</w:t>
      </w:r>
      <w:r>
        <w:rPr>
          <w:sz w:val="16"/>
        </w:rPr>
        <w:t xml:space="preserve"> to</w:t>
      </w:r>
      <w:r>
        <w:rPr>
          <w:spacing w:val="-1"/>
          <w:sz w:val="16"/>
        </w:rPr>
        <w:t xml:space="preserve"> serious</w:t>
      </w:r>
      <w:r>
        <w:rPr>
          <w:spacing w:val="-2"/>
          <w:sz w:val="16"/>
        </w:rPr>
        <w:t xml:space="preserve"> </w:t>
      </w:r>
      <w:r>
        <w:rPr>
          <w:spacing w:val="-1"/>
          <w:sz w:val="16"/>
        </w:rPr>
        <w:t>adverse</w:t>
      </w:r>
      <w:r>
        <w:rPr>
          <w:spacing w:val="-2"/>
          <w:sz w:val="16"/>
        </w:rPr>
        <w:t xml:space="preserve"> </w:t>
      </w:r>
      <w:r>
        <w:rPr>
          <w:sz w:val="16"/>
        </w:rPr>
        <w:t>drug</w:t>
      </w:r>
      <w:r>
        <w:rPr>
          <w:spacing w:val="-1"/>
          <w:sz w:val="16"/>
        </w:rPr>
        <w:t xml:space="preserve"> reactions</w:t>
      </w:r>
      <w:r>
        <w:rPr>
          <w:sz w:val="16"/>
        </w:rPr>
        <w:t xml:space="preserve"> </w:t>
      </w:r>
      <w:r>
        <w:rPr>
          <w:spacing w:val="-2"/>
          <w:sz w:val="16"/>
        </w:rPr>
        <w:t>only</w:t>
      </w:r>
    </w:p>
    <w:p w:rsidR="00506994" w:rsidRDefault="00506994" w:rsidP="00AB7A9E">
      <w:pPr>
        <w:spacing w:before="1"/>
        <w:ind w:left="218"/>
        <w:rPr>
          <w:rFonts w:eastAsia="Times New Roman"/>
          <w:sz w:val="16"/>
          <w:szCs w:val="16"/>
        </w:rPr>
      </w:pPr>
      <w:r>
        <w:rPr>
          <w:spacing w:val="-1"/>
          <w:sz w:val="16"/>
        </w:rPr>
        <w:t>^See section 4.8 description</w:t>
      </w:r>
      <w:r>
        <w:rPr>
          <w:spacing w:val="2"/>
          <w:sz w:val="16"/>
        </w:rPr>
        <w:t xml:space="preserve"> </w:t>
      </w:r>
      <w:r>
        <w:rPr>
          <w:spacing w:val="-1"/>
          <w:sz w:val="16"/>
        </w:rPr>
        <w:t>of</w:t>
      </w:r>
      <w:r>
        <w:rPr>
          <w:sz w:val="16"/>
        </w:rPr>
        <w:t xml:space="preserve"> </w:t>
      </w:r>
      <w:r>
        <w:rPr>
          <w:spacing w:val="-1"/>
          <w:sz w:val="16"/>
        </w:rPr>
        <w:t>selected</w:t>
      </w:r>
      <w:r>
        <w:rPr>
          <w:spacing w:val="2"/>
          <w:sz w:val="16"/>
        </w:rPr>
        <w:t xml:space="preserve"> </w:t>
      </w:r>
      <w:r>
        <w:rPr>
          <w:spacing w:val="-1"/>
          <w:sz w:val="16"/>
        </w:rPr>
        <w:t>adverse reactions</w:t>
      </w:r>
    </w:p>
    <w:p w:rsidR="00506994" w:rsidRDefault="00506994" w:rsidP="00AB7A9E">
      <w:pPr>
        <w:ind w:left="218" w:right="363"/>
        <w:rPr>
          <w:rFonts w:eastAsia="Times New Roman"/>
          <w:sz w:val="16"/>
          <w:szCs w:val="16"/>
        </w:rPr>
      </w:pPr>
      <w:r>
        <w:rPr>
          <w:rFonts w:eastAsia="Times New Roman"/>
          <w:position w:val="6"/>
          <w:sz w:val="10"/>
          <w:szCs w:val="10"/>
        </w:rPr>
        <w:t>a</w:t>
      </w:r>
      <w:r>
        <w:rPr>
          <w:rFonts w:eastAsia="Times New Roman"/>
          <w:spacing w:val="16"/>
          <w:position w:val="6"/>
          <w:sz w:val="10"/>
          <w:szCs w:val="10"/>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combined</w:t>
      </w:r>
      <w:r>
        <w:rPr>
          <w:rFonts w:eastAsia="Times New Roman"/>
          <w:spacing w:val="1"/>
          <w:sz w:val="16"/>
          <w:szCs w:val="16"/>
        </w:rPr>
        <w:t xml:space="preserve"> </w:t>
      </w:r>
      <w:r>
        <w:rPr>
          <w:rFonts w:eastAsia="Times New Roman"/>
          <w:spacing w:val="-2"/>
          <w:sz w:val="16"/>
          <w:szCs w:val="16"/>
        </w:rPr>
        <w:t>AE</w:t>
      </w:r>
      <w:r>
        <w:rPr>
          <w:rFonts w:eastAsia="Times New Roman"/>
          <w:spacing w:val="1"/>
          <w:sz w:val="16"/>
          <w:szCs w:val="16"/>
        </w:rPr>
        <w:t xml:space="preserve"> </w:t>
      </w:r>
      <w:r>
        <w:rPr>
          <w:rFonts w:eastAsia="Times New Roman"/>
          <w:spacing w:val="-1"/>
          <w:sz w:val="16"/>
          <w:szCs w:val="16"/>
        </w:rPr>
        <w:t>term</w:t>
      </w:r>
      <w:r>
        <w:rPr>
          <w:rFonts w:eastAsia="Times New Roman"/>
          <w:spacing w:val="-2"/>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PTs: Bronchopneumonia,</w:t>
      </w:r>
      <w:r>
        <w:rPr>
          <w:rFonts w:eastAsia="Times New Roman"/>
          <w:spacing w:val="1"/>
          <w:sz w:val="16"/>
          <w:szCs w:val="16"/>
        </w:rPr>
        <w:t xml:space="preserve"> </w:t>
      </w:r>
      <w:r>
        <w:rPr>
          <w:rFonts w:eastAsia="Times New Roman"/>
          <w:spacing w:val="-1"/>
          <w:sz w:val="16"/>
          <w:szCs w:val="16"/>
        </w:rPr>
        <w:t>Lobar pneumonia, Pneumocystis</w:t>
      </w:r>
      <w:r>
        <w:rPr>
          <w:rFonts w:eastAsia="Times New Roman"/>
          <w:sz w:val="16"/>
          <w:szCs w:val="16"/>
        </w:rPr>
        <w:t xml:space="preserve"> </w:t>
      </w:r>
      <w:r>
        <w:rPr>
          <w:rFonts w:eastAsia="Times New Roman"/>
          <w:spacing w:val="-1"/>
          <w:sz w:val="16"/>
          <w:szCs w:val="16"/>
        </w:rPr>
        <w:t>jiroveci</w:t>
      </w:r>
      <w:r>
        <w:rPr>
          <w:rFonts w:eastAsia="Times New Roman"/>
          <w:spacing w:val="1"/>
          <w:sz w:val="16"/>
          <w:szCs w:val="16"/>
        </w:rPr>
        <w:t xml:space="preserve"> </w:t>
      </w:r>
      <w:r>
        <w:rPr>
          <w:rFonts w:eastAsia="Times New Roman"/>
          <w:spacing w:val="-1"/>
          <w:sz w:val="16"/>
          <w:szCs w:val="16"/>
        </w:rPr>
        <w:t>pneumonia,</w:t>
      </w:r>
      <w:r>
        <w:rPr>
          <w:rFonts w:eastAsia="Times New Roman"/>
          <w:sz w:val="16"/>
          <w:szCs w:val="16"/>
        </w:rPr>
        <w:t xml:space="preserve"> </w:t>
      </w:r>
      <w:r>
        <w:rPr>
          <w:rFonts w:eastAsia="Times New Roman"/>
          <w:spacing w:val="67"/>
          <w:sz w:val="16"/>
          <w:szCs w:val="16"/>
        </w:rPr>
        <w:t xml:space="preserve"> </w:t>
      </w:r>
      <w:r>
        <w:rPr>
          <w:rFonts w:eastAsia="Times New Roman"/>
          <w:spacing w:val="-1"/>
          <w:sz w:val="16"/>
          <w:szCs w:val="16"/>
        </w:rPr>
        <w:t>Pneumonia, Pneumonia klebsiella,</w:t>
      </w:r>
      <w:r>
        <w:rPr>
          <w:rFonts w:eastAsia="Times New Roman"/>
          <w:spacing w:val="1"/>
          <w:sz w:val="16"/>
          <w:szCs w:val="16"/>
        </w:rPr>
        <w:t xml:space="preserve"> </w:t>
      </w:r>
      <w:r>
        <w:rPr>
          <w:rFonts w:eastAsia="Times New Roman"/>
          <w:spacing w:val="-1"/>
          <w:sz w:val="16"/>
          <w:szCs w:val="16"/>
        </w:rPr>
        <w:t>Pneumonia legionella,</w:t>
      </w:r>
      <w:r>
        <w:rPr>
          <w:rFonts w:eastAsia="Times New Roman"/>
          <w:spacing w:val="1"/>
          <w:sz w:val="16"/>
          <w:szCs w:val="16"/>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mycoplasmal,</w:t>
      </w:r>
      <w:r>
        <w:rPr>
          <w:rFonts w:eastAsia="Times New Roman"/>
          <w:spacing w:val="1"/>
          <w:sz w:val="16"/>
          <w:szCs w:val="16"/>
        </w:rPr>
        <w:t xml:space="preserve"> </w:t>
      </w:r>
      <w:r>
        <w:rPr>
          <w:rFonts w:eastAsia="Times New Roman"/>
          <w:spacing w:val="-1"/>
          <w:sz w:val="16"/>
          <w:szCs w:val="16"/>
        </w:rPr>
        <w:t>Pneumonia pneumococcal,</w:t>
      </w:r>
      <w:r>
        <w:rPr>
          <w:rFonts w:eastAsia="Times New Roman"/>
          <w:spacing w:val="1"/>
          <w:sz w:val="16"/>
          <w:szCs w:val="16"/>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streptococcal,</w:t>
      </w:r>
      <w:r>
        <w:rPr>
          <w:rFonts w:eastAsia="Times New Roman"/>
          <w:spacing w:val="1"/>
          <w:sz w:val="16"/>
          <w:szCs w:val="16"/>
        </w:rPr>
        <w:t xml:space="preserve"> </w:t>
      </w:r>
      <w:r>
        <w:rPr>
          <w:rFonts w:eastAsia="Times New Roman"/>
          <w:spacing w:val="-1"/>
          <w:sz w:val="16"/>
          <w:szCs w:val="16"/>
        </w:rPr>
        <w:t>Pneumonia</w:t>
      </w:r>
      <w:r>
        <w:rPr>
          <w:rFonts w:eastAsia="Times New Roman"/>
          <w:spacing w:val="83"/>
          <w:sz w:val="16"/>
          <w:szCs w:val="16"/>
        </w:rPr>
        <w:t xml:space="preserve"> </w:t>
      </w:r>
      <w:r>
        <w:rPr>
          <w:rFonts w:eastAsia="Times New Roman"/>
          <w:spacing w:val="-1"/>
          <w:sz w:val="16"/>
          <w:szCs w:val="16"/>
        </w:rPr>
        <w:t>viral,</w:t>
      </w:r>
      <w:r>
        <w:rPr>
          <w:rFonts w:eastAsia="Times New Roman"/>
          <w:spacing w:val="1"/>
          <w:sz w:val="16"/>
          <w:szCs w:val="16"/>
        </w:rPr>
        <w:t xml:space="preserve"> </w:t>
      </w:r>
      <w:r>
        <w:rPr>
          <w:rFonts w:eastAsia="Times New Roman"/>
          <w:spacing w:val="-1"/>
          <w:sz w:val="16"/>
          <w:szCs w:val="16"/>
        </w:rPr>
        <w:t>Lung disorder,</w:t>
      </w:r>
      <w:r>
        <w:rPr>
          <w:rFonts w:eastAsia="Times New Roman"/>
          <w:spacing w:val="1"/>
          <w:sz w:val="16"/>
          <w:szCs w:val="16"/>
        </w:rPr>
        <w:t xml:space="preserve"> </w:t>
      </w:r>
      <w:r>
        <w:rPr>
          <w:rFonts w:eastAsia="Times New Roman"/>
          <w:spacing w:val="-1"/>
          <w:sz w:val="16"/>
          <w:szCs w:val="16"/>
        </w:rPr>
        <w:t>Pneumonitis</w:t>
      </w:r>
    </w:p>
    <w:p w:rsidR="00506994" w:rsidRDefault="00506994" w:rsidP="00AB7A9E">
      <w:pPr>
        <w:ind w:left="218"/>
        <w:rPr>
          <w:rFonts w:eastAsia="Times New Roman"/>
          <w:sz w:val="16"/>
          <w:szCs w:val="16"/>
        </w:rPr>
      </w:pPr>
      <w:r>
        <w:rPr>
          <w:rFonts w:eastAsia="Times New Roman"/>
          <w:position w:val="6"/>
          <w:sz w:val="10"/>
          <w:szCs w:val="10"/>
        </w:rPr>
        <w:t>b</w:t>
      </w:r>
      <w:r>
        <w:rPr>
          <w:rFonts w:eastAsia="Times New Roman"/>
          <w:spacing w:val="13"/>
          <w:position w:val="6"/>
          <w:sz w:val="10"/>
          <w:szCs w:val="10"/>
        </w:rPr>
        <w:t xml:space="preserve"> </w:t>
      </w:r>
      <w:r>
        <w:rPr>
          <w:rFonts w:eastAsia="Times New Roman"/>
          <w:spacing w:val="-1"/>
          <w:sz w:val="16"/>
          <w:szCs w:val="16"/>
        </w:rPr>
        <w:t xml:space="preserve">“Sepsis” combined </w:t>
      </w:r>
      <w:r>
        <w:rPr>
          <w:rFonts w:eastAsia="Times New Roman"/>
          <w:spacing w:val="-2"/>
          <w:sz w:val="16"/>
          <w:szCs w:val="16"/>
        </w:rPr>
        <w:t>AE</w:t>
      </w:r>
      <w:r>
        <w:rPr>
          <w:rFonts w:eastAsia="Times New Roman"/>
          <w:spacing w:val="1"/>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PTs: Bacterial sepsis, Pneumococcal sepsis,</w:t>
      </w:r>
      <w:r>
        <w:rPr>
          <w:rFonts w:eastAsia="Times New Roman"/>
          <w:spacing w:val="1"/>
          <w:sz w:val="16"/>
          <w:szCs w:val="16"/>
        </w:rPr>
        <w:t xml:space="preserve"> </w:t>
      </w:r>
      <w:r>
        <w:rPr>
          <w:rFonts w:eastAsia="Times New Roman"/>
          <w:spacing w:val="-1"/>
          <w:sz w:val="16"/>
          <w:szCs w:val="16"/>
        </w:rPr>
        <w:t xml:space="preserve">Septic shock, Staphylococcal </w:t>
      </w:r>
      <w:r>
        <w:rPr>
          <w:rFonts w:eastAsia="Times New Roman"/>
          <w:sz w:val="16"/>
          <w:szCs w:val="16"/>
        </w:rPr>
        <w:t>sepsis</w:t>
      </w:r>
    </w:p>
    <w:p w:rsidR="00506994" w:rsidRDefault="00506994" w:rsidP="00AB7A9E">
      <w:pPr>
        <w:ind w:left="218"/>
        <w:rPr>
          <w:rFonts w:eastAsia="Times New Roman"/>
          <w:sz w:val="16"/>
          <w:szCs w:val="16"/>
        </w:rPr>
      </w:pPr>
      <w:r>
        <w:rPr>
          <w:rFonts w:eastAsia="Times New Roman"/>
          <w:position w:val="6"/>
          <w:sz w:val="10"/>
          <w:szCs w:val="10"/>
        </w:rPr>
        <w:t>c</w:t>
      </w:r>
      <w:r>
        <w:rPr>
          <w:rFonts w:eastAsia="Times New Roman"/>
          <w:spacing w:val="14"/>
          <w:position w:val="6"/>
          <w:sz w:val="10"/>
          <w:szCs w:val="10"/>
        </w:rPr>
        <w:t xml:space="preserve"> </w:t>
      </w:r>
      <w:r>
        <w:rPr>
          <w:rFonts w:eastAsia="Times New Roman"/>
          <w:spacing w:val="-1"/>
          <w:sz w:val="16"/>
          <w:szCs w:val="16"/>
        </w:rPr>
        <w:t>“Peripheral neuropathy”</w:t>
      </w:r>
      <w:r>
        <w:rPr>
          <w:rFonts w:eastAsia="Times New Roman"/>
          <w:spacing w:val="1"/>
          <w:sz w:val="16"/>
          <w:szCs w:val="16"/>
        </w:rPr>
        <w:t xml:space="preserve"> </w:t>
      </w:r>
      <w:r>
        <w:rPr>
          <w:rFonts w:eastAsia="Times New Roman"/>
          <w:spacing w:val="-1"/>
          <w:sz w:val="16"/>
          <w:szCs w:val="16"/>
        </w:rPr>
        <w:t xml:space="preserve">combined </w:t>
      </w:r>
      <w:r>
        <w:rPr>
          <w:rFonts w:eastAsia="Times New Roman"/>
          <w:spacing w:val="-2"/>
          <w:sz w:val="16"/>
          <w:szCs w:val="16"/>
        </w:rPr>
        <w:t>AE</w:t>
      </w:r>
      <w:r>
        <w:rPr>
          <w:rFonts w:eastAsia="Times New Roman"/>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preferred</w:t>
      </w:r>
      <w:r>
        <w:rPr>
          <w:rFonts w:eastAsia="Times New Roman"/>
          <w:spacing w:val="2"/>
          <w:sz w:val="16"/>
          <w:szCs w:val="16"/>
        </w:rPr>
        <w:t xml:space="preserve"> </w:t>
      </w:r>
      <w:r>
        <w:rPr>
          <w:rFonts w:eastAsia="Times New Roman"/>
          <w:spacing w:val="-1"/>
          <w:sz w:val="16"/>
          <w:szCs w:val="16"/>
        </w:rPr>
        <w:t>terms</w:t>
      </w:r>
      <w:r>
        <w:rPr>
          <w:rFonts w:eastAsia="Times New Roman"/>
          <w:sz w:val="16"/>
          <w:szCs w:val="16"/>
        </w:rPr>
        <w:t xml:space="preserve"> </w:t>
      </w:r>
      <w:r>
        <w:rPr>
          <w:rFonts w:eastAsia="Times New Roman"/>
          <w:spacing w:val="-1"/>
          <w:sz w:val="16"/>
          <w:szCs w:val="16"/>
        </w:rPr>
        <w:t>(PTs): Neuropathy</w:t>
      </w:r>
      <w:r>
        <w:rPr>
          <w:rFonts w:eastAsia="Times New Roman"/>
          <w:spacing w:val="-3"/>
          <w:sz w:val="16"/>
          <w:szCs w:val="16"/>
        </w:rPr>
        <w:t xml:space="preserve"> </w:t>
      </w:r>
      <w:r>
        <w:rPr>
          <w:rFonts w:eastAsia="Times New Roman"/>
          <w:spacing w:val="-1"/>
          <w:sz w:val="16"/>
          <w:szCs w:val="16"/>
        </w:rPr>
        <w:t>peripheral,</w:t>
      </w:r>
      <w:r>
        <w:rPr>
          <w:rFonts w:eastAsia="Times New Roman"/>
          <w:spacing w:val="1"/>
          <w:sz w:val="16"/>
          <w:szCs w:val="16"/>
        </w:rPr>
        <w:t xml:space="preserve"> </w:t>
      </w:r>
      <w:r>
        <w:rPr>
          <w:rFonts w:eastAsia="Times New Roman"/>
          <w:spacing w:val="-1"/>
          <w:sz w:val="16"/>
          <w:szCs w:val="16"/>
        </w:rPr>
        <w:t>Peripheral sensory</w:t>
      </w:r>
      <w:r>
        <w:rPr>
          <w:rFonts w:eastAsia="Times New Roman"/>
          <w:spacing w:val="-3"/>
          <w:sz w:val="16"/>
          <w:szCs w:val="16"/>
        </w:rPr>
        <w:t xml:space="preserve"> </w:t>
      </w:r>
      <w:r>
        <w:rPr>
          <w:rFonts w:eastAsia="Times New Roman"/>
          <w:spacing w:val="-1"/>
          <w:sz w:val="16"/>
          <w:szCs w:val="16"/>
        </w:rPr>
        <w:t>neuropathy,</w:t>
      </w:r>
    </w:p>
    <w:p w:rsidR="00506994" w:rsidRDefault="00506994" w:rsidP="00AB7A9E">
      <w:pPr>
        <w:spacing w:before="1"/>
        <w:ind w:left="218"/>
        <w:rPr>
          <w:rFonts w:eastAsia="Times New Roman"/>
          <w:sz w:val="16"/>
          <w:szCs w:val="16"/>
        </w:rPr>
      </w:pPr>
      <w:r>
        <w:rPr>
          <w:spacing w:val="-1"/>
          <w:sz w:val="16"/>
        </w:rPr>
        <w:t>Polyneuropathy</w:t>
      </w:r>
    </w:p>
    <w:p w:rsidR="00506994" w:rsidRDefault="00506994" w:rsidP="00AB7A9E">
      <w:pPr>
        <w:ind w:left="218"/>
        <w:rPr>
          <w:rFonts w:eastAsia="Times New Roman"/>
          <w:sz w:val="16"/>
          <w:szCs w:val="16"/>
        </w:rPr>
      </w:pPr>
      <w:r>
        <w:rPr>
          <w:rFonts w:eastAsia="Times New Roman"/>
          <w:position w:val="6"/>
          <w:sz w:val="10"/>
          <w:szCs w:val="10"/>
        </w:rPr>
        <w:t>d</w:t>
      </w:r>
      <w:r>
        <w:rPr>
          <w:rFonts w:eastAsia="Times New Roman"/>
          <w:spacing w:val="15"/>
          <w:position w:val="6"/>
          <w:sz w:val="10"/>
          <w:szCs w:val="10"/>
        </w:rPr>
        <w:t xml:space="preserve"> </w:t>
      </w:r>
      <w:r>
        <w:rPr>
          <w:rFonts w:eastAsia="Times New Roman"/>
          <w:spacing w:val="-2"/>
          <w:sz w:val="16"/>
          <w:szCs w:val="16"/>
        </w:rPr>
        <w:t>“Deep</w:t>
      </w:r>
      <w:r>
        <w:rPr>
          <w:rFonts w:eastAsia="Times New Roman"/>
          <w:spacing w:val="2"/>
          <w:sz w:val="16"/>
          <w:szCs w:val="16"/>
        </w:rPr>
        <w:t xml:space="preserve"> </w:t>
      </w:r>
      <w:r>
        <w:rPr>
          <w:rFonts w:eastAsia="Times New Roman"/>
          <w:spacing w:val="-1"/>
          <w:sz w:val="16"/>
          <w:szCs w:val="16"/>
        </w:rPr>
        <w:t>vein</w:t>
      </w:r>
      <w:r>
        <w:rPr>
          <w:rFonts w:eastAsia="Times New Roman"/>
          <w:spacing w:val="2"/>
          <w:sz w:val="16"/>
          <w:szCs w:val="16"/>
        </w:rPr>
        <w:t xml:space="preserve"> </w:t>
      </w:r>
      <w:r>
        <w:rPr>
          <w:rFonts w:eastAsia="Times New Roman"/>
          <w:spacing w:val="-1"/>
          <w:sz w:val="16"/>
          <w:szCs w:val="16"/>
        </w:rPr>
        <w:t>thrombosis”</w:t>
      </w:r>
      <w:r>
        <w:rPr>
          <w:rFonts w:eastAsia="Times New Roman"/>
          <w:spacing w:val="-2"/>
          <w:sz w:val="16"/>
          <w:szCs w:val="16"/>
        </w:rPr>
        <w:t xml:space="preserve"> </w:t>
      </w:r>
      <w:r>
        <w:rPr>
          <w:rFonts w:eastAsia="Times New Roman"/>
          <w:spacing w:val="-1"/>
          <w:sz w:val="16"/>
          <w:szCs w:val="16"/>
        </w:rPr>
        <w:t xml:space="preserve">combined </w:t>
      </w:r>
      <w:r>
        <w:rPr>
          <w:rFonts w:eastAsia="Times New Roman"/>
          <w:spacing w:val="-2"/>
          <w:sz w:val="16"/>
          <w:szCs w:val="16"/>
        </w:rPr>
        <w:t>AE</w:t>
      </w:r>
      <w:r>
        <w:rPr>
          <w:rFonts w:eastAsia="Times New Roman"/>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 xml:space="preserve">the following PTs: </w:t>
      </w:r>
      <w:r>
        <w:rPr>
          <w:rFonts w:eastAsia="Times New Roman"/>
          <w:spacing w:val="-2"/>
          <w:sz w:val="16"/>
          <w:szCs w:val="16"/>
        </w:rPr>
        <w:t>Deep</w:t>
      </w:r>
      <w:r>
        <w:rPr>
          <w:rFonts w:eastAsia="Times New Roman"/>
          <w:spacing w:val="2"/>
          <w:sz w:val="16"/>
          <w:szCs w:val="16"/>
        </w:rPr>
        <w:t xml:space="preserve"> </w:t>
      </w:r>
      <w:r>
        <w:rPr>
          <w:rFonts w:eastAsia="Times New Roman"/>
          <w:spacing w:val="-1"/>
          <w:sz w:val="16"/>
          <w:szCs w:val="16"/>
        </w:rPr>
        <w:t>vein</w:t>
      </w:r>
      <w:r>
        <w:rPr>
          <w:rFonts w:eastAsia="Times New Roman"/>
          <w:spacing w:val="2"/>
          <w:sz w:val="16"/>
          <w:szCs w:val="16"/>
        </w:rPr>
        <w:t xml:space="preserve"> </w:t>
      </w:r>
      <w:r>
        <w:rPr>
          <w:rFonts w:eastAsia="Times New Roman"/>
          <w:spacing w:val="-1"/>
          <w:sz w:val="16"/>
          <w:szCs w:val="16"/>
        </w:rPr>
        <w:t>thrombosis,</w:t>
      </w:r>
      <w:r>
        <w:rPr>
          <w:rFonts w:eastAsia="Times New Roman"/>
          <w:spacing w:val="-2"/>
          <w:sz w:val="16"/>
          <w:szCs w:val="16"/>
        </w:rPr>
        <w:t xml:space="preserve"> </w:t>
      </w:r>
      <w:r>
        <w:rPr>
          <w:rFonts w:eastAsia="Times New Roman"/>
          <w:spacing w:val="-1"/>
          <w:sz w:val="16"/>
          <w:szCs w:val="16"/>
        </w:rPr>
        <w:t>Thrombosis, Venous</w:t>
      </w:r>
      <w:r>
        <w:rPr>
          <w:rFonts w:eastAsia="Times New Roman"/>
          <w:sz w:val="16"/>
          <w:szCs w:val="16"/>
        </w:rPr>
        <w:t xml:space="preserve"> </w:t>
      </w:r>
      <w:r>
        <w:rPr>
          <w:rFonts w:eastAsia="Times New Roman"/>
          <w:spacing w:val="-1"/>
          <w:sz w:val="16"/>
          <w:szCs w:val="16"/>
        </w:rPr>
        <w:t>thrombosis</w:t>
      </w:r>
    </w:p>
    <w:p w:rsidR="00506994" w:rsidRDefault="00506994" w:rsidP="00AB7A9E"/>
    <w:p w:rsidR="00506994" w:rsidRDefault="00506994" w:rsidP="00AB7A9E">
      <w:pPr>
        <w:spacing w:before="47"/>
        <w:rPr>
          <w:rFonts w:eastAsia="Times New Roman"/>
        </w:rPr>
      </w:pPr>
      <w:r>
        <w:rPr>
          <w:i/>
          <w:spacing w:val="-1"/>
          <w:u w:val="single" w:color="000000"/>
        </w:rPr>
        <w:t>Tabulated</w:t>
      </w:r>
      <w:r>
        <w:rPr>
          <w:i/>
          <w:spacing w:val="-3"/>
          <w:u w:val="single" w:color="000000"/>
        </w:rPr>
        <w:t xml:space="preserve"> </w:t>
      </w:r>
      <w:r>
        <w:rPr>
          <w:i/>
          <w:spacing w:val="-1"/>
          <w:u w:val="single" w:color="000000"/>
        </w:rPr>
        <w:t>summary</w:t>
      </w:r>
      <w:r>
        <w:rPr>
          <w:i/>
          <w:spacing w:val="-2"/>
          <w:u w:val="single" w:color="000000"/>
        </w:rPr>
        <w:t xml:space="preserve"> </w:t>
      </w:r>
      <w:r>
        <w:rPr>
          <w:i/>
          <w:u w:val="single" w:color="000000"/>
        </w:rPr>
        <w:t>for</w:t>
      </w:r>
      <w:r>
        <w:rPr>
          <w:i/>
          <w:spacing w:val="-2"/>
          <w:u w:val="single" w:color="000000"/>
        </w:rPr>
        <w:t xml:space="preserve"> </w:t>
      </w:r>
      <w:r>
        <w:rPr>
          <w:i/>
          <w:spacing w:val="-1"/>
          <w:u w:val="single" w:color="000000"/>
        </w:rPr>
        <w:t>combination</w:t>
      </w:r>
      <w:r>
        <w:rPr>
          <w:i/>
          <w:spacing w:val="-2"/>
          <w:u w:val="single" w:color="000000"/>
        </w:rPr>
        <w:t xml:space="preserve"> </w:t>
      </w:r>
      <w:r>
        <w:rPr>
          <w:i/>
          <w:spacing w:val="-1"/>
          <w:u w:val="single" w:color="000000"/>
        </w:rPr>
        <w:t>therapy</w:t>
      </w:r>
      <w:r>
        <w:rPr>
          <w:i/>
          <w:spacing w:val="-2"/>
          <w:u w:val="single" w:color="000000"/>
        </w:rPr>
        <w:t xml:space="preserve"> </w:t>
      </w:r>
      <w:r>
        <w:rPr>
          <w:i/>
          <w:u w:val="single" w:color="000000"/>
        </w:rPr>
        <w:t>in</w:t>
      </w:r>
      <w:r>
        <w:rPr>
          <w:i/>
          <w:spacing w:val="-3"/>
          <w:u w:val="single" w:color="000000"/>
        </w:rPr>
        <w:t xml:space="preserve"> </w:t>
      </w:r>
      <w:r>
        <w:rPr>
          <w:i/>
          <w:u w:val="single" w:color="000000"/>
        </w:rPr>
        <w:t>MM</w:t>
      </w:r>
    </w:p>
    <w:p w:rsidR="00506994" w:rsidRDefault="00506994" w:rsidP="00AB7A9E">
      <w:pPr>
        <w:pStyle w:val="BodyText"/>
        <w:spacing w:before="1"/>
        <w:ind w:right="564"/>
      </w:pPr>
      <w:r>
        <w:t>The</w:t>
      </w:r>
      <w:r>
        <w:rPr>
          <w:spacing w:val="-2"/>
        </w:rPr>
        <w:t xml:space="preserve"> </w:t>
      </w:r>
      <w:r>
        <w:rPr>
          <w:spacing w:val="-1"/>
        </w:rPr>
        <w:t>following</w:t>
      </w:r>
      <w:r>
        <w:rPr>
          <w:spacing w:val="-3"/>
        </w:rPr>
        <w:t xml:space="preserve"> </w:t>
      </w:r>
      <w:r>
        <w:rPr>
          <w:spacing w:val="-1"/>
        </w:rPr>
        <w:t>table</w:t>
      </w:r>
      <w:r>
        <w:rPr>
          <w:spacing w:val="-2"/>
        </w:rPr>
        <w:t xml:space="preserve"> </w:t>
      </w:r>
      <w:r>
        <w:t xml:space="preserve">is </w:t>
      </w:r>
      <w:r>
        <w:rPr>
          <w:spacing w:val="-1"/>
        </w:rPr>
        <w:t>derived</w:t>
      </w:r>
      <w:r>
        <w:t xml:space="preserve"> </w:t>
      </w:r>
      <w:r>
        <w:rPr>
          <w:spacing w:val="-1"/>
        </w:rPr>
        <w:t>from</w:t>
      </w:r>
      <w:r>
        <w:rPr>
          <w:spacing w:val="-4"/>
        </w:rPr>
        <w:t xml:space="preserve"> </w:t>
      </w:r>
      <w:r>
        <w:t xml:space="preserve">data </w:t>
      </w:r>
      <w:r>
        <w:rPr>
          <w:spacing w:val="-1"/>
        </w:rPr>
        <w:t>gathered</w:t>
      </w:r>
      <w:r>
        <w:rPr>
          <w:spacing w:val="-3"/>
        </w:rPr>
        <w:t xml:space="preserve"> </w:t>
      </w:r>
      <w:r>
        <w:rPr>
          <w:spacing w:val="-1"/>
        </w:rPr>
        <w:t>during</w:t>
      </w:r>
      <w:r>
        <w:rPr>
          <w:spacing w:val="-2"/>
        </w:rPr>
        <w:t xml:space="preserve"> </w:t>
      </w:r>
      <w:r>
        <w:t>the</w:t>
      </w:r>
      <w:r>
        <w:rPr>
          <w:spacing w:val="1"/>
        </w:rPr>
        <w:t xml:space="preserve"> </w:t>
      </w:r>
      <w:r>
        <w:rPr>
          <w:spacing w:val="-1"/>
        </w:rPr>
        <w:t>multiple</w:t>
      </w:r>
      <w:r>
        <w:t xml:space="preserve"> </w:t>
      </w:r>
      <w:r>
        <w:rPr>
          <w:spacing w:val="-2"/>
        </w:rPr>
        <w:t>myeloma</w:t>
      </w:r>
      <w:r>
        <w:t xml:space="preserve"> </w:t>
      </w:r>
      <w:r>
        <w:rPr>
          <w:spacing w:val="-1"/>
        </w:rPr>
        <w:t>studies</w:t>
      </w:r>
      <w:r>
        <w:t xml:space="preserve"> </w:t>
      </w:r>
      <w:r>
        <w:rPr>
          <w:spacing w:val="-1"/>
        </w:rPr>
        <w:t>with</w:t>
      </w:r>
      <w:r>
        <w:rPr>
          <w:spacing w:val="-3"/>
        </w:rPr>
        <w:t xml:space="preserve"> </w:t>
      </w:r>
      <w:r>
        <w:rPr>
          <w:spacing w:val="-1"/>
        </w:rPr>
        <w:t>combination</w:t>
      </w:r>
      <w:r>
        <w:rPr>
          <w:spacing w:val="91"/>
        </w:rPr>
        <w:t xml:space="preserve"> </w:t>
      </w:r>
      <w:r>
        <w:rPr>
          <w:spacing w:val="-1"/>
        </w:rPr>
        <w:t>therapy.</w:t>
      </w:r>
      <w:r>
        <w:t xml:space="preserve"> </w:t>
      </w:r>
      <w:r>
        <w:rPr>
          <w:spacing w:val="-1"/>
        </w:rPr>
        <w:t>The</w:t>
      </w:r>
      <w:r>
        <w:t xml:space="preserve"> </w:t>
      </w:r>
      <w:r>
        <w:rPr>
          <w:spacing w:val="-1"/>
        </w:rPr>
        <w:t>data</w:t>
      </w:r>
      <w:r>
        <w:t xml:space="preserve"> </w:t>
      </w:r>
      <w:r>
        <w:rPr>
          <w:spacing w:val="-1"/>
        </w:rPr>
        <w:t>were</w:t>
      </w:r>
      <w:r>
        <w:t xml:space="preserve"> </w:t>
      </w:r>
      <w:r>
        <w:rPr>
          <w:spacing w:val="-1"/>
        </w:rPr>
        <w:t>not</w:t>
      </w:r>
      <w:r>
        <w:rPr>
          <w:spacing w:val="-2"/>
        </w:rPr>
        <w:t xml:space="preserve"> </w:t>
      </w:r>
      <w:r>
        <w:rPr>
          <w:spacing w:val="-1"/>
        </w:rPr>
        <w:t>adjusted</w:t>
      </w:r>
      <w:r>
        <w:rPr>
          <w:spacing w:val="-3"/>
        </w:rPr>
        <w:t xml:space="preserve"> </w:t>
      </w:r>
      <w:r>
        <w:rPr>
          <w:spacing w:val="-1"/>
        </w:rPr>
        <w:t>according</w:t>
      </w:r>
      <w:r>
        <w:rPr>
          <w:spacing w:val="-3"/>
        </w:rPr>
        <w:t xml:space="preserve"> </w:t>
      </w:r>
      <w:r>
        <w:t>to</w:t>
      </w:r>
      <w:r>
        <w:rPr>
          <w:spacing w:val="-2"/>
        </w:rPr>
        <w:t xml:space="preserve"> </w:t>
      </w:r>
      <w:r>
        <w:t>the</w:t>
      </w:r>
      <w:r>
        <w:rPr>
          <w:spacing w:val="-2"/>
        </w:rPr>
        <w:t xml:space="preserve"> </w:t>
      </w:r>
      <w:r>
        <w:rPr>
          <w:spacing w:val="-1"/>
        </w:rPr>
        <w:t>longer</w:t>
      </w:r>
      <w:r>
        <w:rPr>
          <w:spacing w:val="1"/>
        </w:rPr>
        <w:t xml:space="preserve"> </w:t>
      </w:r>
      <w:r>
        <w:rPr>
          <w:spacing w:val="-1"/>
        </w:rPr>
        <w:t>duration</w:t>
      </w:r>
      <w:r>
        <w:t xml:space="preserve"> of</w:t>
      </w:r>
      <w:r>
        <w:rPr>
          <w:spacing w:val="-2"/>
        </w:rPr>
        <w:t xml:space="preserve"> </w:t>
      </w:r>
      <w:r>
        <w:rPr>
          <w:spacing w:val="-1"/>
        </w:rPr>
        <w:t>treatment</w:t>
      </w:r>
      <w:r>
        <w:rPr>
          <w:spacing w:val="1"/>
        </w:rPr>
        <w:t xml:space="preserve"> </w:t>
      </w:r>
      <w:r>
        <w:rPr>
          <w:spacing w:val="-1"/>
        </w:rPr>
        <w:t>in</w:t>
      </w:r>
      <w:r>
        <w:t xml:space="preserve"> the </w:t>
      </w:r>
      <w:r>
        <w:rPr>
          <w:spacing w:val="-1"/>
        </w:rPr>
        <w:t>lenalidomide-containing</w:t>
      </w:r>
      <w:r>
        <w:rPr>
          <w:spacing w:val="-2"/>
        </w:rPr>
        <w:t xml:space="preserve"> arms</w:t>
      </w:r>
      <w:r>
        <w:t xml:space="preserve"> </w:t>
      </w:r>
      <w:r>
        <w:rPr>
          <w:spacing w:val="-1"/>
        </w:rPr>
        <w:t>continued</w:t>
      </w:r>
      <w:r>
        <w:t xml:space="preserve"> </w:t>
      </w:r>
      <w:r>
        <w:rPr>
          <w:spacing w:val="-1"/>
        </w:rPr>
        <w:t>until</w:t>
      </w:r>
      <w:r>
        <w:rPr>
          <w:spacing w:val="1"/>
        </w:rPr>
        <w:t xml:space="preserve"> </w:t>
      </w:r>
      <w:r>
        <w:rPr>
          <w:spacing w:val="-1"/>
        </w:rPr>
        <w:t>disease</w:t>
      </w:r>
      <w:r>
        <w:rPr>
          <w:spacing w:val="-2"/>
        </w:rPr>
        <w:t xml:space="preserve"> </w:t>
      </w:r>
      <w:r>
        <w:rPr>
          <w:spacing w:val="-1"/>
        </w:rPr>
        <w:t>progression</w:t>
      </w:r>
      <w:r>
        <w:t xml:space="preserve"> </w:t>
      </w:r>
      <w:r>
        <w:rPr>
          <w:spacing w:val="-1"/>
        </w:rPr>
        <w:t>versus</w:t>
      </w:r>
      <w:r>
        <w:rPr>
          <w:spacing w:val="-2"/>
        </w:rPr>
        <w:t xml:space="preserve"> </w:t>
      </w:r>
      <w:r>
        <w:t>the</w:t>
      </w:r>
      <w:r>
        <w:rPr>
          <w:spacing w:val="-2"/>
        </w:rPr>
        <w:t xml:space="preserve"> </w:t>
      </w:r>
      <w:r>
        <w:rPr>
          <w:spacing w:val="-1"/>
        </w:rPr>
        <w:t>comparator</w:t>
      </w:r>
      <w:r>
        <w:rPr>
          <w:spacing w:val="-2"/>
        </w:rPr>
        <w:t xml:space="preserve"> </w:t>
      </w:r>
      <w:r>
        <w:rPr>
          <w:spacing w:val="-1"/>
        </w:rPr>
        <w:t>arms</w:t>
      </w:r>
      <w:r>
        <w:t xml:space="preserve"> in</w:t>
      </w:r>
      <w:r>
        <w:rPr>
          <w:spacing w:val="-2"/>
        </w:rPr>
        <w:t xml:space="preserve"> </w:t>
      </w:r>
      <w:r>
        <w:t xml:space="preserve">the </w:t>
      </w:r>
      <w:r>
        <w:rPr>
          <w:spacing w:val="-1"/>
        </w:rPr>
        <w:t>pivotal</w:t>
      </w:r>
      <w:r>
        <w:rPr>
          <w:spacing w:val="93"/>
        </w:rPr>
        <w:t xml:space="preserve"> </w:t>
      </w:r>
      <w:r>
        <w:rPr>
          <w:spacing w:val="-1"/>
        </w:rPr>
        <w:t>multiple</w:t>
      </w:r>
      <w:r>
        <w:rPr>
          <w:spacing w:val="-2"/>
        </w:rPr>
        <w:t xml:space="preserve"> myeloma</w:t>
      </w:r>
      <w:r>
        <w:t xml:space="preserve"> </w:t>
      </w:r>
      <w:r>
        <w:rPr>
          <w:spacing w:val="-1"/>
        </w:rPr>
        <w:t>studies</w:t>
      </w:r>
      <w:r>
        <w:t xml:space="preserve"> </w:t>
      </w:r>
      <w:r>
        <w:rPr>
          <w:spacing w:val="-1"/>
        </w:rPr>
        <w:t>(see</w:t>
      </w:r>
      <w:r>
        <w:t xml:space="preserve"> </w:t>
      </w:r>
      <w:r>
        <w:rPr>
          <w:spacing w:val="-1"/>
        </w:rPr>
        <w:t>section</w:t>
      </w:r>
      <w:r>
        <w:rPr>
          <w:spacing w:val="-2"/>
        </w:rPr>
        <w:t xml:space="preserve"> </w:t>
      </w:r>
      <w:r>
        <w:t>5.1).</w:t>
      </w:r>
    </w:p>
    <w:p w:rsidR="00506994" w:rsidRPr="00335062" w:rsidRDefault="00506994" w:rsidP="00AB7A9E"/>
    <w:p w:rsidR="00506994" w:rsidRPr="00335062" w:rsidRDefault="00506994" w:rsidP="00AB7A9E">
      <w:pPr>
        <w:tabs>
          <w:tab w:val="left" w:pos="1100"/>
          <w:tab w:val="left" w:pos="9922"/>
        </w:tabs>
        <w:ind w:right="-1"/>
      </w:pPr>
      <w:r w:rsidRPr="00335062">
        <w:rPr>
          <w:rFonts w:eastAsia="Times New Roman"/>
          <w:b/>
          <w:bCs/>
        </w:rPr>
        <w:t>T</w:t>
      </w:r>
      <w:r>
        <w:rPr>
          <w:rFonts w:eastAsia="Times New Roman"/>
          <w:b/>
          <w:bCs/>
        </w:rPr>
        <w:t>able 2</w:t>
      </w:r>
      <w:r w:rsidRPr="00335062">
        <w:rPr>
          <w:rFonts w:eastAsia="Times New Roman"/>
          <w:b/>
          <w:bCs/>
        </w:rPr>
        <w:t>:</w:t>
      </w:r>
      <w:r w:rsidRPr="00335062">
        <w:tab/>
      </w:r>
      <w:r w:rsidRPr="00335062">
        <w:rPr>
          <w:rFonts w:eastAsia="Times New Roman"/>
          <w:b/>
          <w:bCs/>
        </w:rPr>
        <w:t>ADRs reported in clinical studies in patients with multiple myeloma treated with</w:t>
      </w:r>
      <w:r>
        <w:rPr>
          <w:rFonts w:eastAsia="Times New Roman"/>
          <w:b/>
          <w:bCs/>
        </w:rPr>
        <w:t xml:space="preserve"> </w:t>
      </w:r>
      <w:r w:rsidRPr="00335062">
        <w:rPr>
          <w:rFonts w:eastAsia="Times New Roman"/>
          <w:b/>
          <w:bCs/>
        </w:rPr>
        <w:t xml:space="preserve">lenalidomide in combination with </w:t>
      </w:r>
      <w:r w:rsidR="00F848D4">
        <w:rPr>
          <w:rFonts w:eastAsia="Times New Roman"/>
          <w:b/>
          <w:bCs/>
        </w:rPr>
        <w:t xml:space="preserve">bortezomib and </w:t>
      </w:r>
      <w:r w:rsidRPr="00335062">
        <w:rPr>
          <w:rFonts w:eastAsia="Times New Roman"/>
          <w:b/>
          <w:bCs/>
        </w:rPr>
        <w:t xml:space="preserve">dexamethasone, </w:t>
      </w:r>
      <w:r w:rsidR="007A4FBF">
        <w:rPr>
          <w:rFonts w:eastAsia="Times New Roman"/>
          <w:b/>
          <w:bCs/>
        </w:rPr>
        <w:t xml:space="preserve">dexamethasone </w:t>
      </w:r>
      <w:r w:rsidRPr="00335062">
        <w:rPr>
          <w:rFonts w:eastAsia="Times New Roman"/>
          <w:b/>
          <w:bCs/>
        </w:rPr>
        <w:t>or melphalan and prednisone</w:t>
      </w:r>
    </w:p>
    <w:tbl>
      <w:tblPr>
        <w:tblW w:w="9990" w:type="dxa"/>
        <w:tblInd w:w="10" w:type="dxa"/>
        <w:tblLayout w:type="fixed"/>
        <w:tblCellMar>
          <w:left w:w="0" w:type="dxa"/>
          <w:right w:w="0" w:type="dxa"/>
        </w:tblCellMar>
        <w:tblLook w:val="04A0" w:firstRow="1" w:lastRow="0" w:firstColumn="1" w:lastColumn="0" w:noHBand="0" w:noVBand="1"/>
      </w:tblPr>
      <w:tblGrid>
        <w:gridCol w:w="2058"/>
        <w:gridCol w:w="67"/>
        <w:gridCol w:w="33"/>
        <w:gridCol w:w="961"/>
        <w:gridCol w:w="139"/>
        <w:gridCol w:w="81"/>
        <w:gridCol w:w="63"/>
        <w:gridCol w:w="121"/>
        <w:gridCol w:w="139"/>
        <w:gridCol w:w="3203"/>
        <w:gridCol w:w="30"/>
        <w:gridCol w:w="35"/>
        <w:gridCol w:w="132"/>
        <w:gridCol w:w="651"/>
        <w:gridCol w:w="35"/>
        <w:gridCol w:w="133"/>
        <w:gridCol w:w="52"/>
        <w:gridCol w:w="35"/>
        <w:gridCol w:w="133"/>
        <w:gridCol w:w="112"/>
        <w:gridCol w:w="35"/>
        <w:gridCol w:w="1742"/>
      </w:tblGrid>
      <w:tr w:rsidR="00506994" w:rsidRPr="007652DE" w:rsidTr="00A70D7A">
        <w:trPr>
          <w:trHeight w:val="230"/>
          <w:tblHeader/>
        </w:trPr>
        <w:tc>
          <w:tcPr>
            <w:tcW w:w="2058" w:type="dxa"/>
            <w:tcBorders>
              <w:top w:val="single" w:sz="8" w:space="0" w:color="auto"/>
              <w:left w:val="single" w:sz="8" w:space="0" w:color="auto"/>
              <w:right w:val="single" w:sz="8" w:space="0" w:color="auto"/>
            </w:tcBorders>
            <w:vAlign w:val="bottom"/>
          </w:tcPr>
          <w:p w:rsidR="00506994" w:rsidRPr="00700414" w:rsidRDefault="00506994" w:rsidP="00AB7A9E">
            <w:pPr>
              <w:rPr>
                <w:b/>
              </w:rPr>
            </w:pPr>
            <w:r w:rsidRPr="00700414">
              <w:rPr>
                <w:b/>
              </w:rPr>
              <w:t>System Organ</w:t>
            </w:r>
          </w:p>
        </w:tc>
        <w:tc>
          <w:tcPr>
            <w:tcW w:w="100" w:type="dxa"/>
            <w:gridSpan w:val="2"/>
            <w:tcBorders>
              <w:top w:val="single" w:sz="8" w:space="0" w:color="auto"/>
            </w:tcBorders>
            <w:vAlign w:val="bottom"/>
          </w:tcPr>
          <w:p w:rsidR="00506994" w:rsidRPr="00700414" w:rsidRDefault="00506994" w:rsidP="00AB7A9E">
            <w:pPr>
              <w:rPr>
                <w:b/>
              </w:rPr>
            </w:pPr>
          </w:p>
        </w:tc>
        <w:tc>
          <w:tcPr>
            <w:tcW w:w="4707" w:type="dxa"/>
            <w:gridSpan w:val="7"/>
            <w:tcBorders>
              <w:top w:val="single" w:sz="8" w:space="0" w:color="auto"/>
              <w:right w:val="single" w:sz="8" w:space="0" w:color="auto"/>
            </w:tcBorders>
            <w:vAlign w:val="bottom"/>
          </w:tcPr>
          <w:p w:rsidR="00506994" w:rsidRPr="00700414" w:rsidRDefault="00506994" w:rsidP="00AB7A9E">
            <w:pPr>
              <w:rPr>
                <w:b/>
              </w:rPr>
            </w:pPr>
            <w:r w:rsidRPr="00700414">
              <w:rPr>
                <w:b/>
              </w:rPr>
              <w:t>All ADRs/Frequency</w:t>
            </w:r>
          </w:p>
        </w:tc>
        <w:tc>
          <w:tcPr>
            <w:tcW w:w="30" w:type="dxa"/>
            <w:tcBorders>
              <w:top w:val="single" w:sz="8" w:space="0" w:color="auto"/>
            </w:tcBorders>
            <w:vAlign w:val="bottom"/>
          </w:tcPr>
          <w:p w:rsidR="00506994" w:rsidRPr="00700414" w:rsidRDefault="00506994" w:rsidP="00AB7A9E">
            <w:pPr>
              <w:rPr>
                <w:b/>
              </w:rPr>
            </w:pPr>
          </w:p>
        </w:tc>
        <w:tc>
          <w:tcPr>
            <w:tcW w:w="3095" w:type="dxa"/>
            <w:gridSpan w:val="11"/>
            <w:tcBorders>
              <w:top w:val="single" w:sz="8" w:space="0" w:color="auto"/>
              <w:right w:val="single" w:sz="8" w:space="0" w:color="auto"/>
            </w:tcBorders>
            <w:vAlign w:val="bottom"/>
          </w:tcPr>
          <w:p w:rsidR="00506994" w:rsidRPr="00700414" w:rsidRDefault="00506994" w:rsidP="00AB7A9E">
            <w:pPr>
              <w:rPr>
                <w:b/>
              </w:rPr>
            </w:pPr>
            <w:r w:rsidRPr="00700414">
              <w:rPr>
                <w:b/>
              </w:rPr>
              <w:t>Grade 3−4 ADRs/Frequency</w:t>
            </w:r>
          </w:p>
        </w:tc>
      </w:tr>
      <w:tr w:rsidR="00506994" w:rsidRPr="007652DE" w:rsidTr="00A70D7A">
        <w:trPr>
          <w:trHeight w:val="255"/>
          <w:tblHeader/>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Class</w:t>
            </w:r>
          </w:p>
        </w:tc>
        <w:tc>
          <w:tcPr>
            <w:tcW w:w="100" w:type="dxa"/>
            <w:gridSpan w:val="2"/>
            <w:vAlign w:val="bottom"/>
          </w:tcPr>
          <w:p w:rsidR="00506994" w:rsidRPr="00700414" w:rsidRDefault="00506994" w:rsidP="00AB7A9E">
            <w:pPr>
              <w:rPr>
                <w:b/>
              </w:rPr>
            </w:pPr>
          </w:p>
        </w:tc>
        <w:tc>
          <w:tcPr>
            <w:tcW w:w="961" w:type="dxa"/>
            <w:vAlign w:val="bottom"/>
          </w:tcPr>
          <w:p w:rsidR="00506994" w:rsidRPr="00700414" w:rsidRDefault="00506994" w:rsidP="00AB7A9E">
            <w:pPr>
              <w:rPr>
                <w:b/>
              </w:rPr>
            </w:pPr>
          </w:p>
        </w:tc>
        <w:tc>
          <w:tcPr>
            <w:tcW w:w="220" w:type="dxa"/>
            <w:gridSpan w:val="2"/>
            <w:vAlign w:val="bottom"/>
          </w:tcPr>
          <w:p w:rsidR="00506994" w:rsidRPr="00700414" w:rsidRDefault="00506994" w:rsidP="00AB7A9E">
            <w:pPr>
              <w:rPr>
                <w:b/>
              </w:rPr>
            </w:pPr>
          </w:p>
        </w:tc>
        <w:tc>
          <w:tcPr>
            <w:tcW w:w="184" w:type="dxa"/>
            <w:gridSpan w:val="2"/>
            <w:vAlign w:val="bottom"/>
          </w:tcPr>
          <w:p w:rsidR="00506994" w:rsidRPr="00700414" w:rsidRDefault="00506994" w:rsidP="00AB7A9E">
            <w:pPr>
              <w:rPr>
                <w:b/>
              </w:rPr>
            </w:pPr>
          </w:p>
        </w:tc>
        <w:tc>
          <w:tcPr>
            <w:tcW w:w="3342" w:type="dxa"/>
            <w:gridSpan w:val="2"/>
            <w:tcBorders>
              <w:right w:val="single" w:sz="8" w:space="0" w:color="auto"/>
            </w:tcBorders>
            <w:vAlign w:val="bottom"/>
          </w:tcPr>
          <w:p w:rsidR="00506994" w:rsidRPr="00700414" w:rsidRDefault="00506994" w:rsidP="00AB7A9E">
            <w:pPr>
              <w:rPr>
                <w:b/>
              </w:rPr>
            </w:pPr>
          </w:p>
        </w:tc>
        <w:tc>
          <w:tcPr>
            <w:tcW w:w="30" w:type="dxa"/>
            <w:vAlign w:val="bottom"/>
          </w:tcPr>
          <w:p w:rsidR="00506994" w:rsidRPr="00700414" w:rsidRDefault="00506994" w:rsidP="00AB7A9E">
            <w:pPr>
              <w:rPr>
                <w:b/>
              </w:rPr>
            </w:pPr>
          </w:p>
        </w:tc>
        <w:tc>
          <w:tcPr>
            <w:tcW w:w="818" w:type="dxa"/>
            <w:gridSpan w:val="3"/>
            <w:vAlign w:val="bottom"/>
          </w:tcPr>
          <w:p w:rsidR="00506994" w:rsidRPr="00700414" w:rsidRDefault="00506994" w:rsidP="00AB7A9E">
            <w:pPr>
              <w:rPr>
                <w:b/>
              </w:rPr>
            </w:pPr>
          </w:p>
        </w:tc>
        <w:tc>
          <w:tcPr>
            <w:tcW w:w="220" w:type="dxa"/>
            <w:gridSpan w:val="3"/>
            <w:vAlign w:val="bottom"/>
          </w:tcPr>
          <w:p w:rsidR="00506994" w:rsidRPr="00700414" w:rsidRDefault="00506994" w:rsidP="00AB7A9E">
            <w:pPr>
              <w:rPr>
                <w:b/>
              </w:rPr>
            </w:pPr>
          </w:p>
        </w:tc>
        <w:tc>
          <w:tcPr>
            <w:tcW w:w="280" w:type="dxa"/>
            <w:gridSpan w:val="3"/>
            <w:vAlign w:val="bottom"/>
          </w:tcPr>
          <w:p w:rsidR="00506994" w:rsidRPr="00700414" w:rsidRDefault="00506994" w:rsidP="00AB7A9E">
            <w:pPr>
              <w:rPr>
                <w:b/>
              </w:rPr>
            </w:pPr>
          </w:p>
        </w:tc>
        <w:tc>
          <w:tcPr>
            <w:tcW w:w="1777" w:type="dxa"/>
            <w:gridSpan w:val="2"/>
            <w:tcBorders>
              <w:right w:val="single" w:sz="8" w:space="0" w:color="auto"/>
            </w:tcBorders>
            <w:vAlign w:val="bottom"/>
          </w:tcPr>
          <w:p w:rsidR="00506994" w:rsidRPr="00700414" w:rsidRDefault="00506994" w:rsidP="00AB7A9E">
            <w:pPr>
              <w:rPr>
                <w:b/>
              </w:rPr>
            </w:pPr>
          </w:p>
        </w:tc>
      </w:tr>
      <w:tr w:rsidR="00506994" w:rsidRPr="007652DE" w:rsidTr="00A70D7A">
        <w:trPr>
          <w:trHeight w:val="254"/>
          <w:tblHeader/>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r w:rsidRPr="00700414">
              <w:rPr>
                <w:b/>
              </w:rPr>
              <w:t>/ Preferred Term</w:t>
            </w:r>
          </w:p>
        </w:tc>
        <w:tc>
          <w:tcPr>
            <w:tcW w:w="100" w:type="dxa"/>
            <w:gridSpan w:val="2"/>
            <w:tcBorders>
              <w:bottom w:val="single" w:sz="8" w:space="0" w:color="auto"/>
            </w:tcBorders>
            <w:vAlign w:val="bottom"/>
          </w:tcPr>
          <w:p w:rsidR="00506994" w:rsidRPr="00700414" w:rsidRDefault="00506994" w:rsidP="00AB7A9E">
            <w:pPr>
              <w:rPr>
                <w:b/>
              </w:rPr>
            </w:pPr>
          </w:p>
        </w:tc>
        <w:tc>
          <w:tcPr>
            <w:tcW w:w="961" w:type="dxa"/>
            <w:tcBorders>
              <w:bottom w:val="single" w:sz="8" w:space="0" w:color="auto"/>
            </w:tcBorders>
            <w:vAlign w:val="bottom"/>
          </w:tcPr>
          <w:p w:rsidR="00506994" w:rsidRPr="00700414" w:rsidRDefault="00506994" w:rsidP="00AB7A9E">
            <w:pPr>
              <w:rPr>
                <w:b/>
              </w:rPr>
            </w:pPr>
          </w:p>
        </w:tc>
        <w:tc>
          <w:tcPr>
            <w:tcW w:w="220" w:type="dxa"/>
            <w:gridSpan w:val="2"/>
            <w:tcBorders>
              <w:bottom w:val="single" w:sz="8" w:space="0" w:color="auto"/>
            </w:tcBorders>
            <w:vAlign w:val="bottom"/>
          </w:tcPr>
          <w:p w:rsidR="00506994" w:rsidRPr="00700414" w:rsidRDefault="00506994" w:rsidP="00AB7A9E">
            <w:pPr>
              <w:rPr>
                <w:b/>
              </w:rPr>
            </w:pPr>
          </w:p>
        </w:tc>
        <w:tc>
          <w:tcPr>
            <w:tcW w:w="184" w:type="dxa"/>
            <w:gridSpan w:val="2"/>
            <w:tcBorders>
              <w:bottom w:val="single" w:sz="8" w:space="0" w:color="auto"/>
            </w:tcBorders>
            <w:vAlign w:val="bottom"/>
          </w:tcPr>
          <w:p w:rsidR="00506994" w:rsidRPr="00700414" w:rsidRDefault="00506994" w:rsidP="00AB7A9E">
            <w:pPr>
              <w:rPr>
                <w:b/>
              </w:rPr>
            </w:pPr>
          </w:p>
        </w:tc>
        <w:tc>
          <w:tcPr>
            <w:tcW w:w="3342" w:type="dxa"/>
            <w:gridSpan w:val="2"/>
            <w:tcBorders>
              <w:bottom w:val="single" w:sz="8" w:space="0" w:color="auto"/>
              <w:right w:val="single" w:sz="8" w:space="0" w:color="auto"/>
            </w:tcBorders>
            <w:vAlign w:val="bottom"/>
          </w:tcPr>
          <w:p w:rsidR="00506994" w:rsidRPr="00700414" w:rsidRDefault="00506994" w:rsidP="00AB7A9E">
            <w:pPr>
              <w:rPr>
                <w:b/>
              </w:rPr>
            </w:pPr>
          </w:p>
        </w:tc>
        <w:tc>
          <w:tcPr>
            <w:tcW w:w="30" w:type="dxa"/>
            <w:tcBorders>
              <w:bottom w:val="single" w:sz="8" w:space="0" w:color="auto"/>
            </w:tcBorders>
            <w:vAlign w:val="bottom"/>
          </w:tcPr>
          <w:p w:rsidR="00506994" w:rsidRPr="00700414" w:rsidRDefault="00506994" w:rsidP="00AB7A9E">
            <w:pPr>
              <w:rPr>
                <w:b/>
              </w:rPr>
            </w:pPr>
          </w:p>
        </w:tc>
        <w:tc>
          <w:tcPr>
            <w:tcW w:w="818" w:type="dxa"/>
            <w:gridSpan w:val="3"/>
            <w:tcBorders>
              <w:bottom w:val="single" w:sz="8" w:space="0" w:color="auto"/>
            </w:tcBorders>
            <w:vAlign w:val="bottom"/>
          </w:tcPr>
          <w:p w:rsidR="00506994" w:rsidRPr="00700414" w:rsidRDefault="00506994" w:rsidP="00AB7A9E">
            <w:pPr>
              <w:rPr>
                <w:b/>
              </w:rPr>
            </w:pPr>
          </w:p>
        </w:tc>
        <w:tc>
          <w:tcPr>
            <w:tcW w:w="220" w:type="dxa"/>
            <w:gridSpan w:val="3"/>
            <w:tcBorders>
              <w:bottom w:val="single" w:sz="8" w:space="0" w:color="auto"/>
            </w:tcBorders>
            <w:vAlign w:val="bottom"/>
          </w:tcPr>
          <w:p w:rsidR="00506994" w:rsidRPr="00700414" w:rsidRDefault="00506994" w:rsidP="00AB7A9E">
            <w:pPr>
              <w:rPr>
                <w:b/>
              </w:rPr>
            </w:pPr>
          </w:p>
        </w:tc>
        <w:tc>
          <w:tcPr>
            <w:tcW w:w="280" w:type="dxa"/>
            <w:gridSpan w:val="3"/>
            <w:tcBorders>
              <w:bottom w:val="single" w:sz="8" w:space="0" w:color="auto"/>
            </w:tcBorders>
            <w:vAlign w:val="bottom"/>
          </w:tcPr>
          <w:p w:rsidR="00506994" w:rsidRPr="00700414" w:rsidRDefault="00506994" w:rsidP="00AB7A9E">
            <w:pPr>
              <w:rPr>
                <w:b/>
              </w:rPr>
            </w:pPr>
          </w:p>
        </w:tc>
        <w:tc>
          <w:tcPr>
            <w:tcW w:w="1777" w:type="dxa"/>
            <w:gridSpan w:val="2"/>
            <w:tcBorders>
              <w:bottom w:val="single" w:sz="8" w:space="0" w:color="auto"/>
              <w:right w:val="single" w:sz="8" w:space="0" w:color="auto"/>
            </w:tcBorders>
            <w:vAlign w:val="bottom"/>
          </w:tcPr>
          <w:p w:rsidR="00506994" w:rsidRPr="00700414" w:rsidRDefault="00506994" w:rsidP="00AB7A9E">
            <w:pPr>
              <w:rPr>
                <w:b/>
              </w:rPr>
            </w:pPr>
          </w:p>
        </w:tc>
      </w:tr>
      <w:tr w:rsidR="00335E11" w:rsidRPr="007652DE" w:rsidTr="00A70D7A">
        <w:trPr>
          <w:trHeight w:val="215"/>
        </w:trPr>
        <w:tc>
          <w:tcPr>
            <w:tcW w:w="2058" w:type="dxa"/>
            <w:tcBorders>
              <w:left w:val="single" w:sz="8" w:space="0" w:color="auto"/>
              <w:right w:val="single" w:sz="8" w:space="0" w:color="auto"/>
            </w:tcBorders>
            <w:vAlign w:val="bottom"/>
          </w:tcPr>
          <w:p w:rsidR="00335E11" w:rsidRPr="00700414" w:rsidRDefault="00335E11" w:rsidP="00AB7A9E">
            <w:pPr>
              <w:rPr>
                <w:b/>
              </w:rPr>
            </w:pPr>
            <w:r w:rsidRPr="00700414">
              <w:rPr>
                <w:b/>
              </w:rPr>
              <w:t>Infections</w:t>
            </w: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00414" w:rsidRDefault="00335E11" w:rsidP="00AB7A9E">
            <w:pPr>
              <w:rPr>
                <w:u w:val="single"/>
              </w:rPr>
            </w:pPr>
            <w:r w:rsidRPr="00700414">
              <w:rPr>
                <w:u w:val="single"/>
              </w:rPr>
              <w:t>Very Common</w:t>
            </w:r>
          </w:p>
        </w:tc>
        <w:tc>
          <w:tcPr>
            <w:tcW w:w="30" w:type="dxa"/>
            <w:vAlign w:val="bottom"/>
          </w:tcPr>
          <w:p w:rsidR="00335E11" w:rsidRPr="00700414" w:rsidRDefault="00335E11" w:rsidP="00AB7A9E">
            <w:pPr>
              <w:rPr>
                <w:u w:val="single"/>
              </w:rPr>
            </w:pPr>
          </w:p>
        </w:tc>
        <w:tc>
          <w:tcPr>
            <w:tcW w:w="3095" w:type="dxa"/>
            <w:gridSpan w:val="11"/>
            <w:vMerge w:val="restart"/>
            <w:tcBorders>
              <w:right w:val="single" w:sz="8" w:space="0" w:color="auto"/>
            </w:tcBorders>
          </w:tcPr>
          <w:p w:rsidR="00335E11" w:rsidRPr="00700414" w:rsidRDefault="00335E11" w:rsidP="00335E11">
            <w:pPr>
              <w:rPr>
                <w:u w:val="single"/>
              </w:rPr>
            </w:pPr>
            <w:r w:rsidRPr="00700414">
              <w:rPr>
                <w:u w:val="single"/>
              </w:rPr>
              <w:t>Common</w:t>
            </w:r>
          </w:p>
          <w:p w:rsidR="00335E11" w:rsidRPr="007652DE" w:rsidRDefault="00335E11" w:rsidP="00335E11">
            <w:r w:rsidRPr="007652DE">
              <w:t>Pneumonia</w:t>
            </w:r>
            <w:r>
              <w:rPr>
                <w:rFonts w:eastAsia="Times New Roman"/>
                <w:spacing w:val="-3"/>
                <w:position w:val="8"/>
                <w:sz w:val="14"/>
                <w:szCs w:val="14"/>
              </w:rPr>
              <w:t>◊</w:t>
            </w:r>
            <w:r w:rsidR="00F848D4">
              <w:rPr>
                <w:rFonts w:eastAsia="Times New Roman"/>
                <w:spacing w:val="-3"/>
                <w:position w:val="8"/>
                <w:sz w:val="14"/>
                <w:szCs w:val="14"/>
              </w:rPr>
              <w:t>,◊◊</w:t>
            </w:r>
            <w:r w:rsidRPr="007652DE">
              <w:t>, Bacterial, viral and</w:t>
            </w:r>
          </w:p>
          <w:p w:rsidR="00335E11" w:rsidRPr="007652DE" w:rsidRDefault="00335E11" w:rsidP="00335E11">
            <w:r w:rsidRPr="007652DE">
              <w:t>fungal infections (including</w:t>
            </w:r>
          </w:p>
          <w:p w:rsidR="00335E11" w:rsidRPr="00700414" w:rsidRDefault="00335E11" w:rsidP="00816DE5">
            <w:pPr>
              <w:rPr>
                <w:u w:val="single"/>
              </w:rPr>
            </w:pPr>
            <w:r w:rsidRPr="007652DE">
              <w:t>opportunistic infections)</w:t>
            </w:r>
            <w:r>
              <w:rPr>
                <w:rFonts w:eastAsia="Times New Roman"/>
                <w:spacing w:val="-3"/>
                <w:position w:val="8"/>
                <w:sz w:val="14"/>
                <w:szCs w:val="14"/>
              </w:rPr>
              <w:t xml:space="preserve"> ◊</w:t>
            </w:r>
            <w:r w:rsidRPr="007652DE">
              <w:t xml:space="preserve">, </w:t>
            </w:r>
            <w:r w:rsidR="00C24A85">
              <w:t xml:space="preserve">Cellulitis, </w:t>
            </w:r>
            <w:r w:rsidRPr="007652DE">
              <w:t>Sepsis</w:t>
            </w:r>
            <w:r>
              <w:rPr>
                <w:rFonts w:eastAsia="Times New Roman"/>
                <w:spacing w:val="-3"/>
                <w:position w:val="8"/>
                <w:sz w:val="14"/>
                <w:szCs w:val="14"/>
              </w:rPr>
              <w:t>◊</w:t>
            </w:r>
            <w:r w:rsidR="00C24A85">
              <w:rPr>
                <w:rFonts w:eastAsia="Times New Roman"/>
                <w:spacing w:val="-3"/>
                <w:position w:val="8"/>
                <w:sz w:val="14"/>
                <w:szCs w:val="14"/>
              </w:rPr>
              <w:t>, ◊◊</w:t>
            </w:r>
            <w:r w:rsidRPr="007652DE">
              <w:t>,</w:t>
            </w:r>
            <w:r w:rsidR="00C24A85">
              <w:t xml:space="preserve"> Lung infection</w:t>
            </w:r>
            <w:r w:rsidR="00C24A85">
              <w:rPr>
                <w:rFonts w:eastAsia="Times New Roman"/>
                <w:spacing w:val="-3"/>
                <w:position w:val="8"/>
                <w:sz w:val="14"/>
                <w:szCs w:val="14"/>
              </w:rPr>
              <w:t>◊◊</w:t>
            </w:r>
            <w:r w:rsidR="00C24A85">
              <w:t xml:space="preserve">, </w:t>
            </w:r>
            <w:r w:rsidR="00C24A85" w:rsidRPr="007652DE">
              <w:t>Bronchitis</w:t>
            </w:r>
            <w:r w:rsidR="00C24A85">
              <w:rPr>
                <w:rFonts w:eastAsia="Times New Roman"/>
                <w:spacing w:val="-3"/>
                <w:position w:val="8"/>
                <w:sz w:val="14"/>
                <w:szCs w:val="14"/>
              </w:rPr>
              <w:t>◊</w:t>
            </w:r>
            <w:r w:rsidR="00C24A85">
              <w:t>, Resp</w:t>
            </w:r>
            <w:r w:rsidR="00816DE5">
              <w:t>i</w:t>
            </w:r>
            <w:r w:rsidR="00C24A85">
              <w:t>r</w:t>
            </w:r>
            <w:r w:rsidR="00816DE5">
              <w:t>a</w:t>
            </w:r>
            <w:r w:rsidR="00C24A85">
              <w:t>tory tract infection</w:t>
            </w:r>
            <w:r w:rsidR="00C24A85">
              <w:rPr>
                <w:rFonts w:eastAsia="Times New Roman"/>
                <w:spacing w:val="-3"/>
                <w:position w:val="8"/>
                <w:sz w:val="14"/>
                <w:szCs w:val="14"/>
              </w:rPr>
              <w:t>◊◊,</w:t>
            </w:r>
            <w:r w:rsidR="00C24A85">
              <w:t>Urinary tract infection</w:t>
            </w:r>
            <w:r w:rsidR="00C24A85">
              <w:rPr>
                <w:rFonts w:eastAsia="Times New Roman"/>
                <w:spacing w:val="-3"/>
                <w:position w:val="8"/>
                <w:sz w:val="14"/>
                <w:szCs w:val="14"/>
              </w:rPr>
              <w:t>◊◊</w:t>
            </w:r>
            <w:r w:rsidR="00C24A85">
              <w:t>, Enterocolitis infectious</w:t>
            </w:r>
          </w:p>
        </w:tc>
      </w:tr>
      <w:tr w:rsidR="00335E11" w:rsidRPr="007652DE" w:rsidTr="00A70D7A">
        <w:trPr>
          <w:trHeight w:val="259"/>
        </w:trPr>
        <w:tc>
          <w:tcPr>
            <w:tcW w:w="2058" w:type="dxa"/>
            <w:tcBorders>
              <w:left w:val="single" w:sz="8" w:space="0" w:color="auto"/>
              <w:right w:val="single" w:sz="8" w:space="0" w:color="auto"/>
            </w:tcBorders>
            <w:vAlign w:val="bottom"/>
          </w:tcPr>
          <w:p w:rsidR="00335E11" w:rsidRPr="00700414" w:rsidRDefault="00335E11" w:rsidP="00AB7A9E">
            <w:pPr>
              <w:rPr>
                <w:b/>
              </w:rPr>
            </w:pPr>
            <w:r w:rsidRPr="00700414">
              <w:rPr>
                <w:b/>
              </w:rPr>
              <w:t>and Infestations</w:t>
            </w: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Pneumonia</w:t>
            </w:r>
            <w:r>
              <w:rPr>
                <w:rFonts w:eastAsia="Times New Roman"/>
                <w:spacing w:val="-3"/>
                <w:position w:val="8"/>
                <w:sz w:val="14"/>
                <w:szCs w:val="14"/>
              </w:rPr>
              <w:t>◊</w:t>
            </w:r>
            <w:r w:rsidR="00F848D4">
              <w:rPr>
                <w:rFonts w:eastAsia="Times New Roman"/>
                <w:spacing w:val="-3"/>
                <w:position w:val="8"/>
                <w:sz w:val="14"/>
                <w:szCs w:val="14"/>
              </w:rPr>
              <w:t>,◊◊</w:t>
            </w:r>
            <w:r w:rsidRPr="007652DE">
              <w:t>, Upper respiratory tract infection</w:t>
            </w:r>
            <w:r>
              <w:rPr>
                <w:rFonts w:eastAsia="Times New Roman"/>
                <w:spacing w:val="-3"/>
                <w:position w:val="8"/>
                <w:sz w:val="14"/>
                <w:szCs w:val="14"/>
              </w:rPr>
              <w:t>◊</w:t>
            </w:r>
            <w:r w:rsidRPr="007652DE">
              <w:t>,</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0"/>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Bacterial, viral and fungal infections (including</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2"/>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opportunistic infections)</w:t>
            </w:r>
            <w:r>
              <w:rPr>
                <w:rFonts w:eastAsia="Times New Roman"/>
                <w:spacing w:val="-3"/>
                <w:position w:val="8"/>
                <w:sz w:val="14"/>
                <w:szCs w:val="14"/>
              </w:rPr>
              <w:t xml:space="preserve"> ◊</w:t>
            </w:r>
            <w:r w:rsidRPr="007652DE">
              <w:t>, Nasopharyngitis,</w:t>
            </w:r>
            <w:r w:rsidR="00C24A85" w:rsidRPr="007652DE">
              <w:t xml:space="preserve"> Pharyngitis, Bronchitis</w:t>
            </w:r>
            <w:r w:rsidR="00C24A85">
              <w:rPr>
                <w:rFonts w:eastAsia="Times New Roman"/>
                <w:spacing w:val="-3"/>
                <w:position w:val="8"/>
                <w:sz w:val="14"/>
                <w:szCs w:val="14"/>
              </w:rPr>
              <w:t>◊</w:t>
            </w:r>
            <w:r w:rsidR="00C24A85">
              <w:t>, Rhinitis</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4"/>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C24A85"/>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506994" w:rsidRPr="007652DE" w:rsidTr="00A70D7A">
        <w:trPr>
          <w:trHeight w:val="230"/>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tcBorders>
              <w:bottom w:val="single" w:sz="8" w:space="0" w:color="auto"/>
            </w:tcBorders>
            <w:vAlign w:val="bottom"/>
          </w:tcPr>
          <w:p w:rsidR="00506994" w:rsidRPr="007652DE" w:rsidRDefault="00506994" w:rsidP="00AB7A9E">
            <w:r w:rsidRPr="007652DE">
              <w:t>Common</w:t>
            </w:r>
          </w:p>
        </w:tc>
        <w:tc>
          <w:tcPr>
            <w:tcW w:w="3746" w:type="dxa"/>
            <w:gridSpan w:val="6"/>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818" w:type="dxa"/>
            <w:gridSpan w:val="3"/>
            <w:vAlign w:val="bottom"/>
          </w:tcPr>
          <w:p w:rsidR="00506994" w:rsidRPr="007652DE" w:rsidRDefault="00506994" w:rsidP="00AB7A9E"/>
        </w:tc>
        <w:tc>
          <w:tcPr>
            <w:tcW w:w="220" w:type="dxa"/>
            <w:gridSpan w:val="3"/>
            <w:vAlign w:val="bottom"/>
          </w:tcPr>
          <w:p w:rsidR="00506994" w:rsidRPr="007652DE" w:rsidRDefault="00506994" w:rsidP="00AB7A9E"/>
        </w:tc>
        <w:tc>
          <w:tcPr>
            <w:tcW w:w="280" w:type="dxa"/>
            <w:gridSpan w:val="3"/>
            <w:vAlign w:val="bottom"/>
          </w:tcPr>
          <w:p w:rsidR="00506994" w:rsidRPr="007652DE" w:rsidRDefault="00506994" w:rsidP="00AB7A9E"/>
        </w:tc>
        <w:tc>
          <w:tcPr>
            <w:tcW w:w="1777" w:type="dxa"/>
            <w:gridSpan w:val="2"/>
            <w:tcBorders>
              <w:right w:val="single" w:sz="8" w:space="0" w:color="auto"/>
            </w:tcBorders>
            <w:vAlign w:val="bottom"/>
          </w:tcPr>
          <w:p w:rsidR="00506994" w:rsidRPr="007652DE" w:rsidRDefault="00506994" w:rsidP="00AB7A9E"/>
        </w:tc>
      </w:tr>
      <w:tr w:rsidR="00506994" w:rsidRPr="007652DE" w:rsidTr="00180160">
        <w:trPr>
          <w:trHeight w:val="67"/>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652DE" w:rsidRDefault="00506994" w:rsidP="00AB7A9E"/>
        </w:tc>
        <w:tc>
          <w:tcPr>
            <w:tcW w:w="4707" w:type="dxa"/>
            <w:gridSpan w:val="7"/>
            <w:tcBorders>
              <w:bottom w:val="single" w:sz="8" w:space="0" w:color="auto"/>
              <w:right w:val="single" w:sz="8" w:space="0" w:color="auto"/>
            </w:tcBorders>
            <w:vAlign w:val="bottom"/>
          </w:tcPr>
          <w:p w:rsidR="00506994" w:rsidRPr="007652DE" w:rsidRDefault="00506994" w:rsidP="00AB7A9E">
            <w:r w:rsidRPr="007652DE">
              <w:t>Sepsis</w:t>
            </w:r>
            <w:r w:rsidR="00A82EB2">
              <w:rPr>
                <w:rFonts w:eastAsia="Times New Roman"/>
                <w:spacing w:val="-3"/>
                <w:position w:val="8"/>
                <w:sz w:val="14"/>
                <w:szCs w:val="14"/>
              </w:rPr>
              <w:t>◊</w:t>
            </w:r>
            <w:r w:rsidR="00F848D4">
              <w:rPr>
                <w:rFonts w:eastAsia="Times New Roman"/>
                <w:spacing w:val="-3"/>
                <w:position w:val="8"/>
                <w:sz w:val="14"/>
                <w:szCs w:val="14"/>
              </w:rPr>
              <w:t>, ◊◊</w:t>
            </w:r>
            <w:r w:rsidRPr="007652DE">
              <w:t xml:space="preserve">, </w:t>
            </w:r>
            <w:r w:rsidR="00756A0D">
              <w:t>Lung infection</w:t>
            </w:r>
            <w:r w:rsidR="00756A0D">
              <w:rPr>
                <w:rFonts w:eastAsia="Times New Roman"/>
                <w:spacing w:val="-3"/>
                <w:position w:val="8"/>
                <w:sz w:val="14"/>
                <w:szCs w:val="14"/>
              </w:rPr>
              <w:t>◊◊</w:t>
            </w:r>
            <w:r w:rsidR="00C24A85">
              <w:t>,</w:t>
            </w:r>
            <w:r w:rsidR="007A4FBF">
              <w:t xml:space="preserve"> Urinary tract infection</w:t>
            </w:r>
            <w:r w:rsidR="007A4FBF">
              <w:rPr>
                <w:rFonts w:eastAsia="Times New Roman"/>
                <w:spacing w:val="-3"/>
                <w:position w:val="8"/>
                <w:sz w:val="14"/>
                <w:szCs w:val="14"/>
              </w:rPr>
              <w:t>◊◊</w:t>
            </w:r>
            <w:r w:rsidR="007A4FBF">
              <w:t xml:space="preserve">, </w:t>
            </w:r>
            <w:r w:rsidR="00C24A85">
              <w:t>S</w:t>
            </w:r>
            <w:r w:rsidRPr="007652DE">
              <w:t>inusitis</w:t>
            </w:r>
            <w:r w:rsidR="00A82EB2">
              <w:rPr>
                <w:rFonts w:eastAsia="Times New Roman"/>
                <w:spacing w:val="-3"/>
                <w:position w:val="8"/>
                <w:sz w:val="14"/>
                <w:szCs w:val="14"/>
              </w:rPr>
              <w:t>◊</w:t>
            </w:r>
          </w:p>
        </w:tc>
        <w:tc>
          <w:tcPr>
            <w:tcW w:w="30" w:type="dxa"/>
            <w:tcBorders>
              <w:bottom w:val="single" w:sz="8" w:space="0" w:color="auto"/>
            </w:tcBorders>
            <w:vAlign w:val="bottom"/>
          </w:tcPr>
          <w:p w:rsidR="00506994" w:rsidRPr="007652DE" w:rsidRDefault="00506994" w:rsidP="00AB7A9E"/>
        </w:tc>
        <w:tc>
          <w:tcPr>
            <w:tcW w:w="818" w:type="dxa"/>
            <w:gridSpan w:val="3"/>
            <w:tcBorders>
              <w:bottom w:val="single" w:sz="8" w:space="0" w:color="auto"/>
            </w:tcBorders>
            <w:vAlign w:val="bottom"/>
          </w:tcPr>
          <w:p w:rsidR="00506994" w:rsidRPr="007652DE" w:rsidRDefault="00506994" w:rsidP="00AB7A9E"/>
        </w:tc>
        <w:tc>
          <w:tcPr>
            <w:tcW w:w="220" w:type="dxa"/>
            <w:gridSpan w:val="3"/>
            <w:tcBorders>
              <w:bottom w:val="single" w:sz="8" w:space="0" w:color="auto"/>
            </w:tcBorders>
            <w:vAlign w:val="bottom"/>
          </w:tcPr>
          <w:p w:rsidR="00506994" w:rsidRPr="007652DE" w:rsidRDefault="00506994" w:rsidP="00AB7A9E"/>
        </w:tc>
        <w:tc>
          <w:tcPr>
            <w:tcW w:w="280" w:type="dxa"/>
            <w:gridSpan w:val="3"/>
            <w:tcBorders>
              <w:bottom w:val="single" w:sz="8" w:space="0" w:color="auto"/>
            </w:tcBorders>
            <w:vAlign w:val="bottom"/>
          </w:tcPr>
          <w:p w:rsidR="00506994" w:rsidRPr="007652DE" w:rsidRDefault="00506994" w:rsidP="00AB7A9E"/>
        </w:tc>
        <w:tc>
          <w:tcPr>
            <w:tcW w:w="1777" w:type="dxa"/>
            <w:gridSpan w:val="2"/>
            <w:tcBorders>
              <w:bottom w:val="single" w:sz="8" w:space="0" w:color="auto"/>
              <w:right w:val="single" w:sz="8" w:space="0" w:color="auto"/>
            </w:tcBorders>
            <w:vAlign w:val="bottom"/>
          </w:tcPr>
          <w:p w:rsidR="00506994" w:rsidRPr="007652DE" w:rsidRDefault="00506994" w:rsidP="00AB7A9E"/>
        </w:tc>
      </w:tr>
      <w:tr w:rsidR="00506994" w:rsidRPr="007652DE" w:rsidTr="00A70D7A">
        <w:trPr>
          <w:trHeight w:val="217"/>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Neoplasms Benign,</w:t>
            </w:r>
          </w:p>
        </w:tc>
        <w:tc>
          <w:tcPr>
            <w:tcW w:w="100" w:type="dxa"/>
            <w:gridSpan w:val="2"/>
            <w:vAlign w:val="bottom"/>
          </w:tcPr>
          <w:p w:rsidR="00506994" w:rsidRPr="007652DE" w:rsidRDefault="00506994" w:rsidP="00AB7A9E"/>
        </w:tc>
        <w:tc>
          <w:tcPr>
            <w:tcW w:w="1181" w:type="dxa"/>
            <w:gridSpan w:val="3"/>
            <w:tcBorders>
              <w:bottom w:val="single" w:sz="8" w:space="0" w:color="auto"/>
            </w:tcBorders>
            <w:vAlign w:val="bottom"/>
          </w:tcPr>
          <w:p w:rsidR="00506994" w:rsidRPr="007652DE" w:rsidRDefault="00506994" w:rsidP="00AB7A9E">
            <w:r w:rsidRPr="007652DE">
              <w:t>Uncommon</w:t>
            </w:r>
          </w:p>
        </w:tc>
        <w:tc>
          <w:tcPr>
            <w:tcW w:w="3526" w:type="dxa"/>
            <w:gridSpan w:val="4"/>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818" w:type="dxa"/>
            <w:gridSpan w:val="3"/>
            <w:tcBorders>
              <w:bottom w:val="single" w:sz="8" w:space="0" w:color="auto"/>
            </w:tcBorders>
            <w:vAlign w:val="bottom"/>
          </w:tcPr>
          <w:p w:rsidR="0073431D" w:rsidRDefault="00506994">
            <w:pPr>
              <w:ind w:right="-291"/>
            </w:pPr>
            <w:r w:rsidRPr="007652DE">
              <w:t>Common</w:t>
            </w:r>
          </w:p>
        </w:tc>
        <w:tc>
          <w:tcPr>
            <w:tcW w:w="2277" w:type="dxa"/>
            <w:gridSpan w:val="8"/>
            <w:tcBorders>
              <w:right w:val="single" w:sz="8" w:space="0" w:color="auto"/>
            </w:tcBorders>
            <w:vAlign w:val="bottom"/>
          </w:tcPr>
          <w:p w:rsidR="00506994" w:rsidRPr="007652DE" w:rsidRDefault="00506994" w:rsidP="00AB7A9E"/>
        </w:tc>
      </w:tr>
      <w:tr w:rsidR="00506994" w:rsidRPr="007652DE" w:rsidTr="00A70D7A">
        <w:trPr>
          <w:trHeight w:val="259"/>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Malignant and</w:t>
            </w:r>
          </w:p>
        </w:tc>
        <w:tc>
          <w:tcPr>
            <w:tcW w:w="100" w:type="dxa"/>
            <w:gridSpan w:val="2"/>
            <w:vAlign w:val="bottom"/>
          </w:tcPr>
          <w:p w:rsidR="00506994" w:rsidRPr="007652DE" w:rsidRDefault="00506994" w:rsidP="00AB7A9E"/>
        </w:tc>
        <w:tc>
          <w:tcPr>
            <w:tcW w:w="4707" w:type="dxa"/>
            <w:gridSpan w:val="7"/>
            <w:tcBorders>
              <w:right w:val="single" w:sz="8" w:space="0" w:color="auto"/>
            </w:tcBorders>
            <w:vAlign w:val="bottom"/>
          </w:tcPr>
          <w:p w:rsidR="00506994" w:rsidRPr="007652DE" w:rsidRDefault="00506994" w:rsidP="00AB7A9E">
            <w:r w:rsidRPr="007652DE">
              <w:t>Basal cell carcinoma</w:t>
            </w:r>
            <w:r w:rsidR="00A70D7A" w:rsidRPr="007652DE">
              <w:t>^</w:t>
            </w:r>
            <w:r w:rsidR="00A70D7A" w:rsidRPr="00335E11">
              <w:rPr>
                <w:vertAlign w:val="superscript"/>
              </w:rPr>
              <w:t>,</w:t>
            </w:r>
            <w:r w:rsidR="00335E11">
              <w:rPr>
                <w:rFonts w:eastAsia="Times New Roman"/>
                <w:spacing w:val="-3"/>
                <w:position w:val="8"/>
                <w:sz w:val="14"/>
                <w:szCs w:val="14"/>
              </w:rPr>
              <w:t>◊</w:t>
            </w:r>
          </w:p>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Acute myeloid leukaemia</w:t>
            </w:r>
            <w:r w:rsidR="00335E11">
              <w:rPr>
                <w:rFonts w:eastAsia="Times New Roman"/>
                <w:spacing w:val="-3"/>
                <w:position w:val="8"/>
                <w:sz w:val="14"/>
                <w:szCs w:val="14"/>
              </w:rPr>
              <w:t>◊</w:t>
            </w:r>
            <w:r w:rsidRPr="007652DE">
              <w:t>,</w:t>
            </w:r>
          </w:p>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Unspecified (incl</w:t>
            </w:r>
          </w:p>
        </w:tc>
        <w:tc>
          <w:tcPr>
            <w:tcW w:w="100" w:type="dxa"/>
            <w:gridSpan w:val="2"/>
            <w:vAlign w:val="bottom"/>
          </w:tcPr>
          <w:p w:rsidR="00506994" w:rsidRPr="007652DE" w:rsidRDefault="00506994" w:rsidP="00AB7A9E"/>
        </w:tc>
        <w:tc>
          <w:tcPr>
            <w:tcW w:w="4707" w:type="dxa"/>
            <w:gridSpan w:val="7"/>
            <w:tcBorders>
              <w:right w:val="single" w:sz="8" w:space="0" w:color="auto"/>
            </w:tcBorders>
            <w:vAlign w:val="bottom"/>
          </w:tcPr>
          <w:p w:rsidR="00506994" w:rsidRPr="007652DE" w:rsidRDefault="00506994" w:rsidP="00AB7A9E">
            <w:r w:rsidRPr="007652DE">
              <w:t>Squamous skin cancer^</w:t>
            </w:r>
            <w:r w:rsidR="008A0979" w:rsidRPr="008A0979">
              <w:rPr>
                <w:vertAlign w:val="superscript"/>
              </w:rPr>
              <w:t>,</w:t>
            </w:r>
            <w:r w:rsidR="00335E11">
              <w:rPr>
                <w:rFonts w:eastAsia="Times New Roman"/>
                <w:spacing w:val="-3"/>
                <w:position w:val="8"/>
                <w:sz w:val="14"/>
                <w:szCs w:val="14"/>
              </w:rPr>
              <w:t>◊,</w:t>
            </w:r>
            <w:r w:rsidRPr="007652DE">
              <w:t>*</w:t>
            </w:r>
          </w:p>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Myelodysplastic syndrome</w:t>
            </w:r>
            <w:r w:rsidR="00335E11">
              <w:rPr>
                <w:rFonts w:eastAsia="Times New Roman"/>
                <w:spacing w:val="-3"/>
                <w:position w:val="8"/>
                <w:sz w:val="14"/>
                <w:szCs w:val="14"/>
              </w:rPr>
              <w:t>◊</w:t>
            </w:r>
            <w:r w:rsidRPr="007652DE">
              <w:t>,</w:t>
            </w:r>
          </w:p>
        </w:tc>
      </w:tr>
      <w:tr w:rsidR="00506994" w:rsidRPr="007652DE" w:rsidTr="00A70D7A">
        <w:trPr>
          <w:trHeight w:val="252"/>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cysts and polyps)</w:t>
            </w: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Squamous cell carcinoma of</w:t>
            </w:r>
          </w:p>
        </w:tc>
      </w:tr>
      <w:tr w:rsidR="00506994" w:rsidRPr="007652DE" w:rsidTr="00A70D7A">
        <w:trPr>
          <w:trHeight w:val="250"/>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Default="00506994" w:rsidP="00AB7A9E">
            <w:r w:rsidRPr="007652DE">
              <w:t>skin</w:t>
            </w:r>
            <w:r w:rsidR="00A70D7A" w:rsidRPr="007652DE">
              <w:t>^</w:t>
            </w:r>
            <w:r w:rsidR="00A70D7A" w:rsidRPr="00335E11">
              <w:rPr>
                <w:vertAlign w:val="superscript"/>
              </w:rPr>
              <w:t>,</w:t>
            </w:r>
            <w:r w:rsidR="00335E11">
              <w:rPr>
                <w:rFonts w:eastAsia="Times New Roman"/>
                <w:spacing w:val="-3"/>
                <w:position w:val="8"/>
                <w:sz w:val="14"/>
                <w:szCs w:val="14"/>
              </w:rPr>
              <w:t>◊,</w:t>
            </w:r>
            <w:r w:rsidR="008A0979" w:rsidRPr="008A0979">
              <w:rPr>
                <w:vertAlign w:val="superscript"/>
              </w:rPr>
              <w:t>**</w:t>
            </w:r>
          </w:p>
          <w:p w:rsidR="00335E11" w:rsidRPr="007652DE" w:rsidRDefault="00335E11" w:rsidP="00AB7A9E"/>
        </w:tc>
      </w:tr>
      <w:tr w:rsidR="00506994" w:rsidRPr="007652DE" w:rsidTr="00A70D7A">
        <w:trPr>
          <w:trHeight w:val="231"/>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1038" w:type="dxa"/>
            <w:gridSpan w:val="6"/>
            <w:tcBorders>
              <w:bottom w:val="single" w:sz="8" w:space="0" w:color="auto"/>
            </w:tcBorders>
            <w:vAlign w:val="bottom"/>
          </w:tcPr>
          <w:p w:rsidR="0073431D" w:rsidRDefault="00506994">
            <w:pPr>
              <w:ind w:right="-71"/>
            </w:pPr>
            <w:r w:rsidRPr="007652DE">
              <w:t>Uncommon</w:t>
            </w:r>
          </w:p>
        </w:tc>
        <w:tc>
          <w:tcPr>
            <w:tcW w:w="2057" w:type="dxa"/>
            <w:gridSpan w:val="5"/>
            <w:tcBorders>
              <w:right w:val="single" w:sz="8" w:space="0" w:color="auto"/>
            </w:tcBorders>
            <w:vAlign w:val="bottom"/>
          </w:tcPr>
          <w:p w:rsidR="00506994" w:rsidRPr="007652DE" w:rsidRDefault="00506994" w:rsidP="00AB7A9E"/>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T-cell type acute leukaemia</w:t>
            </w:r>
            <w:r w:rsidR="00335E11">
              <w:rPr>
                <w:rFonts w:eastAsia="Times New Roman"/>
                <w:spacing w:val="-3"/>
                <w:position w:val="8"/>
                <w:sz w:val="14"/>
                <w:szCs w:val="14"/>
              </w:rPr>
              <w:t>◊</w:t>
            </w:r>
            <w:r w:rsidRPr="007652DE">
              <w:t>,</w:t>
            </w:r>
          </w:p>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Basal cell carcinoma</w:t>
            </w:r>
            <w:r w:rsidR="00A70D7A" w:rsidRPr="007652DE">
              <w:t>^</w:t>
            </w:r>
            <w:r w:rsidR="00A70D7A" w:rsidRPr="00335E11">
              <w:rPr>
                <w:vertAlign w:val="superscript"/>
              </w:rPr>
              <w:t>,</w:t>
            </w:r>
            <w:r w:rsidR="00335E11">
              <w:rPr>
                <w:rFonts w:eastAsia="Times New Roman"/>
                <w:spacing w:val="-3"/>
                <w:position w:val="8"/>
                <w:sz w:val="14"/>
                <w:szCs w:val="14"/>
              </w:rPr>
              <w:t>◊</w:t>
            </w:r>
            <w:r w:rsidRPr="007652DE">
              <w:t>, Tumour</w:t>
            </w:r>
          </w:p>
        </w:tc>
      </w:tr>
      <w:tr w:rsidR="00506994" w:rsidRPr="007652DE" w:rsidTr="00A70D7A">
        <w:trPr>
          <w:trHeight w:val="257"/>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652DE" w:rsidRDefault="00506994" w:rsidP="00AB7A9E"/>
        </w:tc>
        <w:tc>
          <w:tcPr>
            <w:tcW w:w="961" w:type="dxa"/>
            <w:tcBorders>
              <w:bottom w:val="single" w:sz="8" w:space="0" w:color="auto"/>
            </w:tcBorders>
            <w:vAlign w:val="bottom"/>
          </w:tcPr>
          <w:p w:rsidR="00506994" w:rsidRPr="007652DE" w:rsidRDefault="00506994" w:rsidP="00AB7A9E"/>
        </w:tc>
        <w:tc>
          <w:tcPr>
            <w:tcW w:w="220" w:type="dxa"/>
            <w:gridSpan w:val="2"/>
            <w:tcBorders>
              <w:bottom w:val="single" w:sz="8" w:space="0" w:color="auto"/>
            </w:tcBorders>
            <w:vAlign w:val="bottom"/>
          </w:tcPr>
          <w:p w:rsidR="00506994" w:rsidRPr="007652DE" w:rsidRDefault="00506994" w:rsidP="00AB7A9E"/>
        </w:tc>
        <w:tc>
          <w:tcPr>
            <w:tcW w:w="184" w:type="dxa"/>
            <w:gridSpan w:val="2"/>
            <w:tcBorders>
              <w:bottom w:val="single" w:sz="8" w:space="0" w:color="auto"/>
            </w:tcBorders>
            <w:vAlign w:val="bottom"/>
          </w:tcPr>
          <w:p w:rsidR="00506994" w:rsidRPr="007652DE" w:rsidRDefault="00506994" w:rsidP="00AB7A9E"/>
        </w:tc>
        <w:tc>
          <w:tcPr>
            <w:tcW w:w="3342" w:type="dxa"/>
            <w:gridSpan w:val="2"/>
            <w:tcBorders>
              <w:bottom w:val="single" w:sz="8" w:space="0" w:color="auto"/>
              <w:right w:val="single" w:sz="8" w:space="0" w:color="auto"/>
            </w:tcBorders>
            <w:vAlign w:val="bottom"/>
          </w:tcPr>
          <w:p w:rsidR="00506994" w:rsidRPr="007652DE" w:rsidRDefault="00506994" w:rsidP="00AB7A9E"/>
        </w:tc>
        <w:tc>
          <w:tcPr>
            <w:tcW w:w="30" w:type="dxa"/>
            <w:tcBorders>
              <w:bottom w:val="single" w:sz="8" w:space="0" w:color="auto"/>
            </w:tcBorders>
            <w:vAlign w:val="bottom"/>
          </w:tcPr>
          <w:p w:rsidR="00506994" w:rsidRPr="007652DE" w:rsidRDefault="00506994" w:rsidP="00AB7A9E"/>
        </w:tc>
        <w:tc>
          <w:tcPr>
            <w:tcW w:w="3095" w:type="dxa"/>
            <w:gridSpan w:val="11"/>
            <w:tcBorders>
              <w:bottom w:val="single" w:sz="8" w:space="0" w:color="auto"/>
              <w:right w:val="single" w:sz="8" w:space="0" w:color="auto"/>
            </w:tcBorders>
            <w:vAlign w:val="bottom"/>
          </w:tcPr>
          <w:p w:rsidR="00506994" w:rsidRPr="007652DE" w:rsidRDefault="00506994" w:rsidP="00AB7A9E">
            <w:r w:rsidRPr="007652DE">
              <w:t>lysis syndrome</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Blood and</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tcPr>
          <w:p w:rsidR="00993DBF" w:rsidRPr="00700414" w:rsidRDefault="00993DBF" w:rsidP="00A70D7A">
            <w:pPr>
              <w:rPr>
                <w:u w:val="single"/>
              </w:rPr>
            </w:pPr>
            <w:r w:rsidRPr="00700414">
              <w:rPr>
                <w:u w:val="single"/>
              </w:rPr>
              <w:t>Very Common</w:t>
            </w:r>
          </w:p>
          <w:p w:rsidR="00993DBF" w:rsidRPr="007652DE" w:rsidRDefault="00993DBF" w:rsidP="00A70D7A">
            <w:r w:rsidRPr="007652DE">
              <w:t>Neutropenia^</w:t>
            </w:r>
            <w:r w:rsidR="008A0979" w:rsidRPr="008A0979">
              <w:rPr>
                <w:vertAlign w:val="superscript"/>
              </w:rPr>
              <w:t>,</w:t>
            </w:r>
            <w:r w:rsidR="00335E11">
              <w:rPr>
                <w:rFonts w:eastAsia="Times New Roman"/>
                <w:spacing w:val="-3"/>
                <w:position w:val="8"/>
                <w:sz w:val="14"/>
                <w:szCs w:val="14"/>
              </w:rPr>
              <w:t>◊</w:t>
            </w:r>
            <w:r w:rsidR="00180160">
              <w:rPr>
                <w:rFonts w:eastAsia="Times New Roman"/>
                <w:spacing w:val="-3"/>
                <w:position w:val="8"/>
                <w:sz w:val="14"/>
                <w:szCs w:val="14"/>
              </w:rPr>
              <w:t>,◊◊</w:t>
            </w:r>
            <w:r w:rsidRPr="007652DE">
              <w:t>, Thrombocytopenia ^</w:t>
            </w:r>
            <w:r w:rsidR="008A0979" w:rsidRPr="008A0979">
              <w:rPr>
                <w:vertAlign w:val="superscript"/>
              </w:rPr>
              <w:t>,</w:t>
            </w:r>
            <w:r w:rsidR="00335E11">
              <w:rPr>
                <w:rFonts w:eastAsia="Times New Roman"/>
                <w:spacing w:val="-3"/>
                <w:position w:val="8"/>
                <w:sz w:val="14"/>
                <w:szCs w:val="14"/>
              </w:rPr>
              <w:t>◊</w:t>
            </w:r>
            <w:r w:rsidR="00180160">
              <w:rPr>
                <w:rFonts w:eastAsia="Times New Roman"/>
                <w:spacing w:val="-3"/>
                <w:position w:val="8"/>
                <w:sz w:val="14"/>
                <w:szCs w:val="14"/>
              </w:rPr>
              <w:t>,◊◊</w:t>
            </w:r>
            <w:r w:rsidRPr="007652DE">
              <w:t xml:space="preserve">, </w:t>
            </w:r>
            <w:r>
              <w:t>An</w:t>
            </w:r>
            <w:r w:rsidR="007A4FBF">
              <w:t>a</w:t>
            </w:r>
            <w:r>
              <w:t>emia</w:t>
            </w:r>
            <w:r w:rsidR="00335E11">
              <w:rPr>
                <w:rFonts w:eastAsia="Times New Roman"/>
                <w:spacing w:val="-3"/>
                <w:position w:val="8"/>
                <w:sz w:val="14"/>
                <w:szCs w:val="14"/>
              </w:rPr>
              <w:t>◊</w:t>
            </w:r>
            <w:r w:rsidRPr="007652DE">
              <w:t>,</w:t>
            </w:r>
          </w:p>
          <w:p w:rsidR="00993DBF" w:rsidRDefault="00993DBF" w:rsidP="00A70D7A">
            <w:r w:rsidRPr="007652DE">
              <w:t>Haemorrhagic disorder ^, Leucopenia</w:t>
            </w:r>
            <w:r w:rsidR="007A4FBF">
              <w:t>, Lymphopenia</w:t>
            </w:r>
          </w:p>
          <w:p w:rsidR="00993DBF" w:rsidRDefault="00993DBF" w:rsidP="00A70D7A"/>
          <w:p w:rsidR="00180160" w:rsidRDefault="00180160" w:rsidP="00A70D7A">
            <w:pPr>
              <w:rPr>
                <w:u w:val="single"/>
              </w:rPr>
            </w:pPr>
          </w:p>
          <w:p w:rsidR="00993DBF" w:rsidRPr="00993DBF" w:rsidRDefault="00993DBF" w:rsidP="00A70D7A">
            <w:pPr>
              <w:rPr>
                <w:u w:val="single"/>
              </w:rPr>
            </w:pPr>
            <w:r w:rsidRPr="00993DBF">
              <w:rPr>
                <w:u w:val="single"/>
              </w:rPr>
              <w:t>Common</w:t>
            </w:r>
          </w:p>
          <w:p w:rsidR="00993DBF" w:rsidRDefault="00993DBF" w:rsidP="00A70D7A">
            <w:r w:rsidRPr="007652DE">
              <w:t>Febrile neutropenia</w:t>
            </w:r>
            <w:r w:rsidR="00A70D7A">
              <w:rPr>
                <w:spacing w:val="-1"/>
                <w:sz w:val="16"/>
              </w:rPr>
              <w:t>^</w:t>
            </w:r>
            <w:r w:rsidR="008A0979" w:rsidRPr="008A0979">
              <w:rPr>
                <w:vertAlign w:val="superscript"/>
              </w:rPr>
              <w:t>,</w:t>
            </w:r>
            <w:r w:rsidR="00335E11">
              <w:rPr>
                <w:rFonts w:eastAsia="Times New Roman"/>
                <w:spacing w:val="-3"/>
                <w:position w:val="8"/>
                <w:sz w:val="14"/>
                <w:szCs w:val="14"/>
              </w:rPr>
              <w:t>◊</w:t>
            </w:r>
            <w:r w:rsidRPr="007652DE">
              <w:t>, Pancytopenia</w:t>
            </w:r>
            <w:r w:rsidR="00335E11">
              <w:rPr>
                <w:rFonts w:eastAsia="Times New Roman"/>
                <w:spacing w:val="-3"/>
                <w:position w:val="8"/>
                <w:sz w:val="14"/>
                <w:szCs w:val="14"/>
              </w:rPr>
              <w:t>◊</w:t>
            </w:r>
          </w:p>
          <w:p w:rsidR="00993DBF" w:rsidRDefault="00993DBF" w:rsidP="00A70D7A"/>
          <w:p w:rsidR="00993DBF" w:rsidRPr="00993DBF" w:rsidRDefault="00993DBF" w:rsidP="00A70D7A">
            <w:pPr>
              <w:rPr>
                <w:u w:val="single"/>
              </w:rPr>
            </w:pPr>
            <w:r w:rsidRPr="00993DBF">
              <w:rPr>
                <w:u w:val="single"/>
              </w:rPr>
              <w:t>Uncommon</w:t>
            </w:r>
          </w:p>
          <w:p w:rsidR="00993DBF" w:rsidRPr="007652DE" w:rsidRDefault="00993DBF" w:rsidP="00A70D7A">
            <w:r w:rsidRPr="007652DE">
              <w:t xml:space="preserve">Haemolysis, Autoimmune haemolytic </w:t>
            </w:r>
            <w:r>
              <w:t>anemia</w:t>
            </w:r>
            <w:r w:rsidRPr="007652DE">
              <w:t>,</w:t>
            </w:r>
          </w:p>
          <w:p w:rsidR="00993DBF" w:rsidRPr="00700414" w:rsidRDefault="00993DBF" w:rsidP="00A70D7A">
            <w:pPr>
              <w:rPr>
                <w:u w:val="single"/>
              </w:rPr>
            </w:pPr>
            <w:r>
              <w:t>Haemolytic an</w:t>
            </w:r>
            <w:r w:rsidRPr="007652DE">
              <w:t>emia</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993DBF" w:rsidRPr="00700414" w:rsidRDefault="00993DBF" w:rsidP="00AB7A9E">
            <w:pPr>
              <w:rPr>
                <w:u w:val="single"/>
              </w:rPr>
            </w:pPr>
            <w:r w:rsidRPr="00700414">
              <w:rPr>
                <w:u w:val="single"/>
              </w:rPr>
              <w:t>Very 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Lymphatic</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Neutropenia^</w:t>
            </w:r>
            <w:r w:rsidR="00A70D7A" w:rsidRPr="00335E11">
              <w:rPr>
                <w:vertAlign w:val="superscript"/>
              </w:rPr>
              <w:t>,</w:t>
            </w:r>
            <w:r w:rsidR="00A70D7A">
              <w:rPr>
                <w:rFonts w:eastAsia="Times New Roman"/>
                <w:spacing w:val="-3"/>
                <w:position w:val="8"/>
                <w:sz w:val="14"/>
                <w:szCs w:val="14"/>
              </w:rPr>
              <w:t>◊</w:t>
            </w:r>
            <w:r w:rsidR="00180160">
              <w:rPr>
                <w:rFonts w:eastAsia="Times New Roman"/>
                <w:spacing w:val="-3"/>
                <w:position w:val="8"/>
                <w:sz w:val="14"/>
                <w:szCs w:val="14"/>
              </w:rPr>
              <w:t>,◊◊</w:t>
            </w:r>
            <w:r w:rsidRPr="007652DE">
              <w:t>,</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System 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t>Thrombocytopenia^</w:t>
            </w:r>
            <w:r w:rsidR="00A70D7A" w:rsidRPr="00335E11">
              <w:rPr>
                <w:vertAlign w:val="superscript"/>
              </w:rPr>
              <w:t>,</w:t>
            </w:r>
            <w:r w:rsidR="00A70D7A">
              <w:rPr>
                <w:rFonts w:eastAsia="Times New Roman"/>
                <w:spacing w:val="-3"/>
                <w:position w:val="8"/>
                <w:sz w:val="14"/>
                <w:szCs w:val="14"/>
              </w:rPr>
              <w:t>◊</w:t>
            </w:r>
            <w:r w:rsidR="00180160">
              <w:rPr>
                <w:rFonts w:eastAsia="Times New Roman"/>
                <w:spacing w:val="-3"/>
                <w:position w:val="8"/>
                <w:sz w:val="14"/>
                <w:szCs w:val="14"/>
              </w:rPr>
              <w:t>,◊◊</w:t>
            </w:r>
            <w:r>
              <w:t>, An</w:t>
            </w:r>
            <w:r w:rsidR="007A4FBF">
              <w:t>a</w:t>
            </w:r>
            <w:r w:rsidRPr="007652DE">
              <w:t>emia</w:t>
            </w:r>
            <w:r w:rsidR="00A82EB2">
              <w:rPr>
                <w:rFonts w:eastAsia="Times New Roman"/>
                <w:spacing w:val="-3"/>
                <w:position w:val="8"/>
                <w:sz w:val="14"/>
                <w:szCs w:val="14"/>
              </w:rPr>
              <w:t>◊</w:t>
            </w:r>
            <w:r w:rsidR="00180160">
              <w:rPr>
                <w:rFonts w:eastAsia="Times New Roman"/>
                <w:spacing w:val="-3"/>
                <w:position w:val="8"/>
                <w:sz w:val="14"/>
                <w:szCs w:val="14"/>
              </w:rPr>
              <w:t>,</w:t>
            </w:r>
            <w:r w:rsidRPr="007652DE">
              <w:t>,</w:t>
            </w:r>
          </w:p>
        </w:tc>
      </w:tr>
      <w:tr w:rsidR="00993DBF" w:rsidRPr="007652DE" w:rsidTr="00A70D7A">
        <w:trPr>
          <w:trHeight w:val="225"/>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Default="00993DBF" w:rsidP="00AB7A9E">
            <w:r w:rsidRPr="007652DE">
              <w:t>Leucopenia</w:t>
            </w:r>
            <w:r w:rsidR="00180160">
              <w:t>, Lymphopenia</w:t>
            </w:r>
          </w:p>
          <w:p w:rsidR="00335E11" w:rsidRPr="007652DE" w:rsidRDefault="00335E11"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818" w:type="dxa"/>
            <w:gridSpan w:val="3"/>
            <w:tcBorders>
              <w:bottom w:val="single" w:sz="8" w:space="0" w:color="auto"/>
            </w:tcBorders>
            <w:vAlign w:val="bottom"/>
          </w:tcPr>
          <w:p w:rsidR="0073431D" w:rsidRDefault="00993DBF">
            <w:pPr>
              <w:ind w:right="-149"/>
            </w:pPr>
            <w:r w:rsidRPr="007652DE">
              <w:t>Common</w:t>
            </w:r>
          </w:p>
        </w:tc>
        <w:tc>
          <w:tcPr>
            <w:tcW w:w="2277" w:type="dxa"/>
            <w:gridSpan w:val="8"/>
            <w:tcBorders>
              <w:right w:val="single" w:sz="8" w:space="0" w:color="auto"/>
            </w:tcBorders>
            <w:vAlign w:val="bottom"/>
          </w:tcPr>
          <w:p w:rsidR="00993DBF" w:rsidRPr="007652DE" w:rsidRDefault="00993DBF" w:rsidP="00AB7A9E"/>
        </w:tc>
      </w:tr>
      <w:tr w:rsidR="00993DBF" w:rsidRPr="007652DE" w:rsidTr="00A70D7A">
        <w:trPr>
          <w:trHeight w:val="23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Febrile neutropenia^</w:t>
            </w:r>
            <w:r w:rsidR="008A0979" w:rsidRPr="008A0979">
              <w:rPr>
                <w:vertAlign w:val="superscript"/>
              </w:rPr>
              <w:t>,</w:t>
            </w:r>
            <w:r w:rsidR="00335E11">
              <w:rPr>
                <w:rFonts w:eastAsia="Times New Roman"/>
                <w:spacing w:val="-3"/>
                <w:position w:val="8"/>
                <w:sz w:val="14"/>
                <w:szCs w:val="14"/>
              </w:rPr>
              <w:t>◊</w:t>
            </w:r>
            <w:r w:rsidRPr="007652DE">
              <w:t>,</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Pancytopenia</w:t>
            </w:r>
            <w:r w:rsidR="00335E11">
              <w:rPr>
                <w:rFonts w:eastAsia="Times New Roman"/>
                <w:spacing w:val="-3"/>
                <w:position w:val="8"/>
                <w:sz w:val="14"/>
                <w:szCs w:val="14"/>
              </w:rPr>
              <w:t>◊</w:t>
            </w:r>
            <w:r w:rsidRPr="007652DE">
              <w:t>, Haemolytic</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Default="00180160" w:rsidP="00AB7A9E">
            <w:r>
              <w:t>a</w:t>
            </w:r>
            <w:r w:rsidR="00993DBF">
              <w:t>n</w:t>
            </w:r>
            <w:r>
              <w:t>a</w:t>
            </w:r>
            <w:r w:rsidR="00993DBF" w:rsidRPr="007652DE">
              <w:t>emia</w:t>
            </w:r>
          </w:p>
          <w:p w:rsidR="00335E11" w:rsidRPr="007652DE" w:rsidRDefault="00335E11" w:rsidP="00AB7A9E"/>
        </w:tc>
      </w:tr>
      <w:tr w:rsidR="00993DBF" w:rsidRPr="007652DE"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1038" w:type="dxa"/>
            <w:gridSpan w:val="6"/>
            <w:tcBorders>
              <w:bottom w:val="single" w:sz="8" w:space="0" w:color="auto"/>
            </w:tcBorders>
            <w:vAlign w:val="bottom"/>
          </w:tcPr>
          <w:p w:rsidR="0073431D" w:rsidRDefault="00993DBF">
            <w:pPr>
              <w:ind w:right="-71"/>
            </w:pPr>
            <w:r w:rsidRPr="007652DE">
              <w:t>Uncommon</w:t>
            </w:r>
          </w:p>
        </w:tc>
        <w:tc>
          <w:tcPr>
            <w:tcW w:w="2057" w:type="dxa"/>
            <w:gridSpan w:val="5"/>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left w:val="single" w:sz="8" w:space="0" w:color="auto"/>
              <w:bottom w:val="single" w:sz="8" w:space="0" w:color="auto"/>
            </w:tcBorders>
            <w:vAlign w:val="bottom"/>
          </w:tcPr>
          <w:p w:rsidR="00993DBF" w:rsidRPr="007652DE" w:rsidRDefault="00993DBF" w:rsidP="00AB7A9E"/>
        </w:tc>
        <w:tc>
          <w:tcPr>
            <w:tcW w:w="3095" w:type="dxa"/>
            <w:gridSpan w:val="11"/>
            <w:tcBorders>
              <w:bottom w:val="single" w:sz="8" w:space="0" w:color="auto"/>
              <w:right w:val="single" w:sz="8" w:space="0" w:color="auto"/>
            </w:tcBorders>
            <w:vAlign w:val="bottom"/>
          </w:tcPr>
          <w:p w:rsidR="00993DBF" w:rsidRPr="007652DE" w:rsidRDefault="00993DBF" w:rsidP="00AB7A9E">
            <w:r w:rsidRPr="007652DE">
              <w:t>Hypercoagulation, Coagulopathy</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Immune System</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Uncommon</w:t>
            </w:r>
          </w:p>
          <w:p w:rsidR="00993DBF" w:rsidRPr="007652DE" w:rsidRDefault="00993DBF" w:rsidP="00AB7A9E">
            <w:r w:rsidRPr="007652DE">
              <w:t>Hypersensitivity^</w:t>
            </w:r>
          </w:p>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61"/>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Endocrine</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Common</w:t>
            </w:r>
          </w:p>
          <w:p w:rsidR="00993DBF" w:rsidRPr="007652DE" w:rsidRDefault="00993DBF" w:rsidP="00AB7A9E">
            <w:r w:rsidRPr="007652DE">
              <w:t>Hypothyroidism</w:t>
            </w:r>
          </w:p>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61"/>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Metabolism and</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652DE" w:rsidRDefault="00993DBF" w:rsidP="00AB7A9E">
            <w:r w:rsidRPr="007652DE">
              <w:t>Hypokalaemia</w:t>
            </w:r>
            <w:r w:rsidR="00335E11">
              <w:rPr>
                <w:rFonts w:eastAsia="Times New Roman"/>
                <w:spacing w:val="-3"/>
                <w:position w:val="8"/>
                <w:sz w:val="14"/>
                <w:szCs w:val="14"/>
              </w:rPr>
              <w:t>◊</w:t>
            </w:r>
            <w:r w:rsidR="00180160">
              <w:rPr>
                <w:rFonts w:eastAsia="Times New Roman"/>
                <w:spacing w:val="-3"/>
                <w:position w:val="8"/>
                <w:sz w:val="14"/>
                <w:szCs w:val="14"/>
              </w:rPr>
              <w:t>,◊◊</w:t>
            </w:r>
            <w:r w:rsidRPr="007652DE">
              <w:t>, Hyperglycaemia,</w:t>
            </w:r>
          </w:p>
          <w:p w:rsidR="00E75643" w:rsidRDefault="00E75643" w:rsidP="00E75643">
            <w:r>
              <w:t xml:space="preserve">Hypoglycaemia, </w:t>
            </w:r>
            <w:r w:rsidR="00993DBF" w:rsidRPr="007652DE">
              <w:t>Hypocalcaemia</w:t>
            </w:r>
            <w:r w:rsidR="00335E11">
              <w:rPr>
                <w:rFonts w:eastAsia="Times New Roman"/>
                <w:spacing w:val="-3"/>
                <w:position w:val="8"/>
                <w:sz w:val="14"/>
                <w:szCs w:val="14"/>
              </w:rPr>
              <w:t>◊</w:t>
            </w:r>
            <w:r w:rsidR="00993DBF" w:rsidRPr="007652DE">
              <w:t>,</w:t>
            </w:r>
            <w:r>
              <w:t xml:space="preserve"> Hyponatraemia</w:t>
            </w:r>
            <w:r>
              <w:rPr>
                <w:rFonts w:eastAsia="Times New Roman"/>
                <w:spacing w:val="-3"/>
                <w:position w:val="8"/>
                <w:sz w:val="14"/>
                <w:szCs w:val="14"/>
              </w:rPr>
              <w:t>◊</w:t>
            </w:r>
            <w:r>
              <w:t>,</w:t>
            </w:r>
            <w:r w:rsidR="001E627A">
              <w:t>Dehydration</w:t>
            </w:r>
            <w:r w:rsidR="001E627A">
              <w:rPr>
                <w:rFonts w:eastAsia="Times New Roman"/>
                <w:spacing w:val="-3"/>
                <w:position w:val="8"/>
                <w:sz w:val="14"/>
                <w:szCs w:val="14"/>
              </w:rPr>
              <w:t>◊◊</w:t>
            </w:r>
            <w:r w:rsidR="001E627A">
              <w:t xml:space="preserve">, </w:t>
            </w:r>
            <w:r w:rsidR="00993DBF" w:rsidRPr="007652DE">
              <w:t>Decreased appetite</w:t>
            </w:r>
            <w:r>
              <w:rPr>
                <w:rFonts w:eastAsia="Times New Roman"/>
                <w:spacing w:val="-3"/>
                <w:position w:val="8"/>
                <w:sz w:val="14"/>
                <w:szCs w:val="14"/>
              </w:rPr>
              <w:t>◊◊</w:t>
            </w:r>
            <w:r w:rsidR="00993DBF" w:rsidRPr="007652DE">
              <w:t>, Weight</w:t>
            </w:r>
            <w:r w:rsidRPr="007652DE" w:rsidDel="00E75643">
              <w:t xml:space="preserve"> </w:t>
            </w:r>
            <w:r>
              <w:t>d</w:t>
            </w:r>
            <w:r w:rsidRPr="007652DE">
              <w:t>ecreased</w:t>
            </w:r>
          </w:p>
          <w:p w:rsidR="00993DBF" w:rsidRDefault="00993DBF" w:rsidP="00AB7A9E"/>
          <w:p w:rsidR="00993DBF" w:rsidRPr="00993DBF" w:rsidRDefault="00993DBF" w:rsidP="00AB7A9E">
            <w:pPr>
              <w:rPr>
                <w:u w:val="single"/>
              </w:rPr>
            </w:pPr>
            <w:r w:rsidRPr="00993DBF">
              <w:rPr>
                <w:u w:val="single"/>
              </w:rPr>
              <w:t>Common</w:t>
            </w:r>
          </w:p>
          <w:p w:rsidR="00993DBF" w:rsidRPr="007652DE" w:rsidRDefault="00993DBF" w:rsidP="00AB7A9E">
            <w:r w:rsidRPr="007652DE">
              <w:t>Hypomagnesaemia, Hyperuricaemia,</w:t>
            </w:r>
          </w:p>
          <w:p w:rsidR="00993DBF" w:rsidRPr="00335E11" w:rsidRDefault="00EE155B" w:rsidP="00816DE5">
            <w:pPr>
              <w:rPr>
                <w:u w:val="single"/>
              </w:rPr>
            </w:pPr>
            <w:r>
              <w:t xml:space="preserve">Hypercalcaemia </w:t>
            </w:r>
            <w:r w:rsidR="008A0979" w:rsidRPr="008A0979">
              <w:rPr>
                <w:vertAlign w:val="superscript"/>
              </w:rPr>
              <w:t>+</w:t>
            </w:r>
          </w:p>
        </w:tc>
        <w:tc>
          <w:tcPr>
            <w:tcW w:w="30" w:type="dxa"/>
            <w:vAlign w:val="bottom"/>
          </w:tcPr>
          <w:p w:rsidR="00993DBF" w:rsidRPr="00700414" w:rsidRDefault="00993DBF" w:rsidP="00AB7A9E">
            <w:pPr>
              <w:rPr>
                <w:u w:val="single"/>
              </w:rPr>
            </w:pPr>
          </w:p>
        </w:tc>
        <w:tc>
          <w:tcPr>
            <w:tcW w:w="3095" w:type="dxa"/>
            <w:gridSpan w:val="11"/>
            <w:vMerge w:val="restart"/>
            <w:tcBorders>
              <w:right w:val="single" w:sz="8" w:space="0" w:color="auto"/>
            </w:tcBorders>
          </w:tcPr>
          <w:p w:rsidR="00993DBF" w:rsidRPr="00700414" w:rsidRDefault="00993DBF" w:rsidP="00CA12F4">
            <w:pPr>
              <w:rPr>
                <w:u w:val="single"/>
              </w:rPr>
            </w:pPr>
            <w:r w:rsidRPr="00700414">
              <w:rPr>
                <w:u w:val="single"/>
              </w:rPr>
              <w:t>Common</w:t>
            </w:r>
          </w:p>
          <w:p w:rsidR="00993DBF" w:rsidRPr="007652DE" w:rsidRDefault="00993DBF" w:rsidP="00CA12F4">
            <w:r w:rsidRPr="007652DE">
              <w:t>Hypokalaemia</w:t>
            </w:r>
            <w:r w:rsidR="00A82EB2">
              <w:rPr>
                <w:rFonts w:eastAsia="Times New Roman"/>
                <w:spacing w:val="-3"/>
                <w:position w:val="8"/>
                <w:sz w:val="14"/>
                <w:szCs w:val="14"/>
              </w:rPr>
              <w:t>◊</w:t>
            </w:r>
            <w:r w:rsidR="00180160">
              <w:rPr>
                <w:rFonts w:eastAsia="Times New Roman"/>
                <w:spacing w:val="-3"/>
                <w:position w:val="8"/>
                <w:sz w:val="14"/>
                <w:szCs w:val="14"/>
              </w:rPr>
              <w:t>,◊◊</w:t>
            </w:r>
            <w:r w:rsidRPr="007652DE">
              <w:t>, Hyperglycaemia,</w:t>
            </w:r>
          </w:p>
          <w:p w:rsidR="00993DBF" w:rsidRPr="007652DE" w:rsidRDefault="00993DBF" w:rsidP="00CA12F4">
            <w:r w:rsidRPr="007652DE">
              <w:t>Hypocalcaemia</w:t>
            </w:r>
            <w:r w:rsidR="00A82EB2">
              <w:rPr>
                <w:rFonts w:eastAsia="Times New Roman"/>
                <w:spacing w:val="-3"/>
                <w:position w:val="8"/>
                <w:sz w:val="14"/>
                <w:szCs w:val="14"/>
              </w:rPr>
              <w:t>◊</w:t>
            </w:r>
            <w:r w:rsidRPr="007652DE">
              <w:t>, Diabetes</w:t>
            </w:r>
          </w:p>
          <w:p w:rsidR="00993DBF" w:rsidRPr="007652DE" w:rsidRDefault="00993DBF" w:rsidP="00CA12F4">
            <w:r w:rsidRPr="007652DE">
              <w:t>mellitus</w:t>
            </w:r>
            <w:r w:rsidR="00A82EB2">
              <w:rPr>
                <w:rFonts w:eastAsia="Times New Roman"/>
                <w:spacing w:val="-3"/>
                <w:position w:val="8"/>
                <w:sz w:val="14"/>
                <w:szCs w:val="14"/>
              </w:rPr>
              <w:t>◊</w:t>
            </w:r>
            <w:r w:rsidRPr="007652DE">
              <w:t>, Hypophosphataemia,</w:t>
            </w:r>
          </w:p>
          <w:p w:rsidR="00993DBF" w:rsidRPr="007652DE" w:rsidRDefault="00993DBF" w:rsidP="00CA12F4">
            <w:r w:rsidRPr="007652DE">
              <w:t>Hyponatraemia</w:t>
            </w:r>
            <w:r w:rsidR="00A82EB2">
              <w:rPr>
                <w:rFonts w:eastAsia="Times New Roman"/>
                <w:spacing w:val="-3"/>
                <w:position w:val="8"/>
                <w:sz w:val="14"/>
                <w:szCs w:val="14"/>
              </w:rPr>
              <w:t>◊</w:t>
            </w:r>
            <w:r w:rsidRPr="007652DE">
              <w:t>, Hyperuricaemia,</w:t>
            </w:r>
          </w:p>
          <w:p w:rsidR="00993DBF" w:rsidRPr="00E75643" w:rsidRDefault="00993DBF" w:rsidP="00CA12F4">
            <w:r w:rsidRPr="007652DE">
              <w:t>Gout,</w:t>
            </w:r>
            <w:r w:rsidR="00E75643">
              <w:t xml:space="preserve"> Dehydration </w:t>
            </w:r>
            <w:r w:rsidR="00E75643">
              <w:rPr>
                <w:rFonts w:eastAsia="Times New Roman"/>
                <w:spacing w:val="-3"/>
                <w:position w:val="8"/>
                <w:sz w:val="14"/>
                <w:szCs w:val="14"/>
              </w:rPr>
              <w:t>◊◊</w:t>
            </w:r>
            <w:r w:rsidR="00E75643">
              <w:t>, D</w:t>
            </w:r>
            <w:r w:rsidRPr="007652DE">
              <w:t>ecreased appetite</w:t>
            </w:r>
            <w:r w:rsidR="00E75643">
              <w:rPr>
                <w:rFonts w:eastAsia="Times New Roman"/>
                <w:spacing w:val="-3"/>
                <w:position w:val="8"/>
                <w:sz w:val="14"/>
                <w:szCs w:val="14"/>
              </w:rPr>
              <w:t>◊◊</w:t>
            </w:r>
            <w:r w:rsidRPr="007652DE">
              <w:t>, Weight</w:t>
            </w:r>
            <w:r w:rsidR="00E75643" w:rsidRPr="007652DE">
              <w:t xml:space="preserve"> decreased</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Nutrition</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47"/>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3095" w:type="dxa"/>
            <w:gridSpan w:val="11"/>
            <w:vMerge/>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Psychiatric</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Default="00993DBF" w:rsidP="00AB7A9E">
            <w:r w:rsidRPr="007652DE">
              <w:t>Depression, Insomnia</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652DE">
              <w:t>Loss of libido</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993DBF" w:rsidRPr="00700414" w:rsidRDefault="00993DBF" w:rsidP="00AB7A9E">
            <w:pPr>
              <w:rPr>
                <w:u w:val="single"/>
              </w:rPr>
            </w:pPr>
            <w:r w:rsidRPr="00700414">
              <w:rPr>
                <w:u w:val="single"/>
              </w:rPr>
              <w:t>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Depression, Insomnia</w:t>
            </w:r>
          </w:p>
        </w:tc>
      </w:tr>
      <w:tr w:rsidR="00993DBF" w:rsidRPr="007652DE" w:rsidTr="00A70D7A">
        <w:trPr>
          <w:trHeight w:val="228"/>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Nervous System</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tcPr>
          <w:p w:rsidR="00993DBF" w:rsidRPr="00700414" w:rsidRDefault="00993DBF" w:rsidP="00993DBF">
            <w:pPr>
              <w:rPr>
                <w:u w:val="single"/>
              </w:rPr>
            </w:pPr>
            <w:r w:rsidRPr="00700414">
              <w:rPr>
                <w:u w:val="single"/>
              </w:rPr>
              <w:t>Very Common</w:t>
            </w:r>
          </w:p>
          <w:p w:rsidR="00993DBF" w:rsidRDefault="00993DBF" w:rsidP="00993DBF">
            <w:r w:rsidRPr="007652DE">
              <w:t>Peripheral neuropathies</w:t>
            </w:r>
            <w:r w:rsidR="00FE263D">
              <w:rPr>
                <w:rFonts w:eastAsia="Times New Roman"/>
                <w:spacing w:val="-3"/>
                <w:position w:val="8"/>
                <w:sz w:val="14"/>
                <w:szCs w:val="14"/>
              </w:rPr>
              <w:t>◊◊</w:t>
            </w:r>
            <w:r w:rsidR="001E627A">
              <w:t xml:space="preserve">, </w:t>
            </w:r>
            <w:r w:rsidR="001E627A" w:rsidRPr="001E627A">
              <w:t>Paraesthesia</w:t>
            </w:r>
            <w:r w:rsidR="001E627A" w:rsidRPr="001E627A" w:rsidDel="001E627A">
              <w:t xml:space="preserve"> </w:t>
            </w:r>
            <w:r w:rsidRPr="007652DE">
              <w:t>, Dizziness</w:t>
            </w:r>
            <w:r w:rsidR="00FE263D">
              <w:rPr>
                <w:rFonts w:eastAsia="Times New Roman"/>
                <w:spacing w:val="-3"/>
                <w:position w:val="8"/>
                <w:sz w:val="14"/>
                <w:szCs w:val="14"/>
              </w:rPr>
              <w:t>◊◊</w:t>
            </w:r>
            <w:r w:rsidRPr="007652DE">
              <w:t>, Tremor, Dysgeusia,</w:t>
            </w:r>
            <w:r w:rsidR="001E627A" w:rsidRPr="007652DE" w:rsidDel="001E627A">
              <w:t xml:space="preserve"> </w:t>
            </w:r>
            <w:r w:rsidRPr="007652DE">
              <w:t>Headache</w:t>
            </w:r>
          </w:p>
          <w:p w:rsidR="00993DBF" w:rsidRDefault="00993DBF" w:rsidP="00993DBF"/>
          <w:p w:rsidR="00993DBF" w:rsidRPr="00993DBF" w:rsidRDefault="00993DBF" w:rsidP="00993DBF">
            <w:pPr>
              <w:rPr>
                <w:u w:val="single"/>
              </w:rPr>
            </w:pPr>
            <w:r w:rsidRPr="00993DBF">
              <w:rPr>
                <w:u w:val="single"/>
              </w:rPr>
              <w:t>Common</w:t>
            </w:r>
          </w:p>
          <w:p w:rsidR="00993DBF" w:rsidRPr="00700414" w:rsidRDefault="00993DBF" w:rsidP="00993DBF">
            <w:pPr>
              <w:rPr>
                <w:u w:val="single"/>
              </w:rPr>
            </w:pPr>
            <w:r w:rsidRPr="007652DE">
              <w:t>Ataxia, Balance impaired</w:t>
            </w:r>
            <w:r w:rsidR="00FE263D">
              <w:t>, Syncope</w:t>
            </w:r>
            <w:r w:rsidR="00FE263D">
              <w:rPr>
                <w:rFonts w:eastAsia="Times New Roman"/>
                <w:spacing w:val="-3"/>
                <w:position w:val="8"/>
                <w:sz w:val="14"/>
                <w:szCs w:val="14"/>
              </w:rPr>
              <w:t>◊◊</w:t>
            </w:r>
            <w:r w:rsidR="00FE263D">
              <w:t>, Neuralgia, Dysaesthesia</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FE263D" w:rsidRDefault="00FE263D" w:rsidP="00AB7A9E">
            <w:pPr>
              <w:rPr>
                <w:u w:val="single"/>
              </w:rPr>
            </w:pPr>
            <w:r>
              <w:rPr>
                <w:u w:val="single"/>
              </w:rPr>
              <w:t>Very Common</w:t>
            </w:r>
          </w:p>
          <w:p w:rsidR="00FE263D" w:rsidRPr="004273C8" w:rsidRDefault="00FE263D" w:rsidP="00AB7A9E">
            <w:r w:rsidRPr="004273C8">
              <w:t>Peripheral Neuropathies</w:t>
            </w:r>
            <w:r>
              <w:rPr>
                <w:rFonts w:eastAsia="Times New Roman"/>
                <w:spacing w:val="-3"/>
                <w:position w:val="8"/>
                <w:sz w:val="14"/>
                <w:szCs w:val="14"/>
              </w:rPr>
              <w:t>◊◊</w:t>
            </w:r>
          </w:p>
          <w:p w:rsidR="00FE263D" w:rsidRDefault="00FE263D" w:rsidP="00AB7A9E">
            <w:pPr>
              <w:rPr>
                <w:u w:val="single"/>
              </w:rPr>
            </w:pPr>
          </w:p>
          <w:p w:rsidR="00993DBF" w:rsidRPr="00700414" w:rsidRDefault="00993DBF" w:rsidP="00AB7A9E">
            <w:pPr>
              <w:rPr>
                <w:u w:val="single"/>
              </w:rPr>
            </w:pPr>
            <w:r w:rsidRPr="00700414">
              <w:rPr>
                <w:u w:val="single"/>
              </w:rPr>
              <w:t>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Cerebrovascular accident</w:t>
            </w:r>
            <w:r w:rsidR="00335E11">
              <w:rPr>
                <w:rFonts w:eastAsia="Times New Roman"/>
                <w:spacing w:val="-3"/>
                <w:position w:val="8"/>
                <w:sz w:val="14"/>
                <w:szCs w:val="14"/>
              </w:rPr>
              <w:t>◊</w:t>
            </w:r>
            <w:r w:rsidRPr="007652DE">
              <w:t>,</w:t>
            </w:r>
          </w:p>
        </w:tc>
      </w:tr>
      <w:tr w:rsidR="00993DBF" w:rsidRPr="007652DE" w:rsidTr="00A70D7A">
        <w:trPr>
          <w:trHeight w:val="25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Default="00993DBF" w:rsidP="00AB7A9E">
            <w:r w:rsidRPr="007652DE">
              <w:t>Dizziness</w:t>
            </w:r>
            <w:r w:rsidR="00FE263D">
              <w:rPr>
                <w:rFonts w:eastAsia="Times New Roman"/>
                <w:spacing w:val="-3"/>
                <w:position w:val="8"/>
                <w:sz w:val="14"/>
                <w:szCs w:val="14"/>
              </w:rPr>
              <w:t>◊◊</w:t>
            </w:r>
            <w:r w:rsidRPr="007652DE">
              <w:t>, Syncope</w:t>
            </w:r>
            <w:r w:rsidR="00FE263D">
              <w:rPr>
                <w:rFonts w:eastAsia="Times New Roman"/>
                <w:spacing w:val="-3"/>
                <w:position w:val="8"/>
                <w:sz w:val="14"/>
                <w:szCs w:val="14"/>
              </w:rPr>
              <w:t>◊◊</w:t>
            </w:r>
            <w:r w:rsidR="00FE263D">
              <w:t>, Ne</w:t>
            </w:r>
            <w:r w:rsidR="007A4FBF">
              <w:t>ur</w:t>
            </w:r>
            <w:r w:rsidR="00FE263D">
              <w:t>alglia</w:t>
            </w:r>
          </w:p>
          <w:p w:rsidR="00993DBF" w:rsidRPr="007652DE" w:rsidRDefault="00993DBF" w:rsidP="00AB7A9E"/>
        </w:tc>
      </w:tr>
      <w:tr w:rsidR="00993DBF" w:rsidRPr="007652DE"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1038" w:type="dxa"/>
            <w:gridSpan w:val="6"/>
            <w:tcBorders>
              <w:bottom w:val="single" w:sz="8" w:space="0" w:color="auto"/>
            </w:tcBorders>
            <w:vAlign w:val="bottom"/>
          </w:tcPr>
          <w:p w:rsidR="0073431D" w:rsidRDefault="00993DBF">
            <w:pPr>
              <w:ind w:right="-71"/>
            </w:pPr>
            <w:r w:rsidRPr="007652DE">
              <w:t>Uncommon</w:t>
            </w:r>
          </w:p>
        </w:tc>
        <w:tc>
          <w:tcPr>
            <w:tcW w:w="2057" w:type="dxa"/>
            <w:gridSpan w:val="5"/>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Intracranial haemorrhage ^,</w:t>
            </w:r>
          </w:p>
        </w:tc>
      </w:tr>
      <w:tr w:rsidR="00993DBF" w:rsidRPr="007652DE"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Transient ischaemic attack,</w:t>
            </w:r>
          </w:p>
        </w:tc>
      </w:tr>
      <w:tr w:rsidR="00993DBF" w:rsidRPr="007652DE"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left w:val="single" w:sz="8" w:space="0" w:color="auto"/>
              <w:bottom w:val="single" w:sz="8" w:space="0" w:color="auto"/>
            </w:tcBorders>
            <w:vAlign w:val="bottom"/>
          </w:tcPr>
          <w:p w:rsidR="00993DBF" w:rsidRPr="007652DE" w:rsidRDefault="00993DBF" w:rsidP="00AB7A9E"/>
        </w:tc>
        <w:tc>
          <w:tcPr>
            <w:tcW w:w="3095" w:type="dxa"/>
            <w:gridSpan w:val="11"/>
            <w:tcBorders>
              <w:bottom w:val="single" w:sz="8" w:space="0" w:color="auto"/>
              <w:right w:val="single" w:sz="8" w:space="0" w:color="auto"/>
            </w:tcBorders>
            <w:vAlign w:val="bottom"/>
          </w:tcPr>
          <w:p w:rsidR="00993DBF" w:rsidRPr="007652DE" w:rsidRDefault="00993DBF" w:rsidP="00AB7A9E">
            <w:r w:rsidRPr="007652DE">
              <w:t>Cerebral ischaemia</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Eye Disorders</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Default="00993DBF" w:rsidP="00AB7A9E">
            <w:r w:rsidRPr="007652DE">
              <w:t>Cataracts, Blurred vision</w:t>
            </w:r>
          </w:p>
          <w:p w:rsidR="00993DBF" w:rsidRPr="007652DE" w:rsidRDefault="00993DBF" w:rsidP="00AB7A9E"/>
          <w:p w:rsidR="00993DBF" w:rsidRPr="00993DBF" w:rsidRDefault="00993DBF" w:rsidP="00AB7A9E">
            <w:pPr>
              <w:rPr>
                <w:u w:val="single"/>
              </w:rPr>
            </w:pPr>
            <w:r w:rsidRPr="00993DBF">
              <w:rPr>
                <w:u w:val="single"/>
              </w:rPr>
              <w:t>Common</w:t>
            </w:r>
          </w:p>
          <w:p w:rsidR="00993DBF" w:rsidRPr="00700414" w:rsidRDefault="00993DBF" w:rsidP="00AB7A9E">
            <w:pPr>
              <w:rPr>
                <w:u w:val="single"/>
              </w:rPr>
            </w:pPr>
            <w:r w:rsidRPr="007652DE">
              <w:t>Reduced visual acuity</w:t>
            </w:r>
          </w:p>
        </w:tc>
        <w:tc>
          <w:tcPr>
            <w:tcW w:w="30" w:type="dxa"/>
            <w:vAlign w:val="bottom"/>
          </w:tcPr>
          <w:p w:rsidR="00993DBF" w:rsidRPr="00700414" w:rsidRDefault="00993DBF" w:rsidP="00AB7A9E">
            <w:pPr>
              <w:rPr>
                <w:u w:val="single"/>
              </w:rPr>
            </w:pPr>
          </w:p>
        </w:tc>
        <w:tc>
          <w:tcPr>
            <w:tcW w:w="3095" w:type="dxa"/>
            <w:gridSpan w:val="11"/>
            <w:vMerge w:val="restart"/>
            <w:tcBorders>
              <w:right w:val="single" w:sz="8" w:space="0" w:color="auto"/>
            </w:tcBorders>
            <w:vAlign w:val="bottom"/>
          </w:tcPr>
          <w:p w:rsidR="00993DBF" w:rsidRPr="00700414" w:rsidRDefault="00993DBF" w:rsidP="00AB7A9E">
            <w:pPr>
              <w:rPr>
                <w:u w:val="single"/>
              </w:rPr>
            </w:pPr>
            <w:r w:rsidRPr="00700414">
              <w:rPr>
                <w:u w:val="single"/>
              </w:rPr>
              <w:t>Common</w:t>
            </w:r>
          </w:p>
          <w:p w:rsidR="00993DBF" w:rsidRDefault="00993DBF" w:rsidP="00AB7A9E">
            <w:r w:rsidRPr="007652DE">
              <w:t>Cataract</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652DE">
              <w:t>Blindness</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652DE" w:rsidRDefault="00993DBF" w:rsidP="00AB7A9E"/>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3095" w:type="dxa"/>
            <w:gridSpan w:val="11"/>
            <w:vMerge/>
            <w:tcBorders>
              <w:bottom w:val="single" w:sz="8" w:space="0" w:color="auto"/>
              <w:right w:val="single" w:sz="8" w:space="0" w:color="auto"/>
            </w:tcBorders>
            <w:vAlign w:val="bottom"/>
          </w:tcPr>
          <w:p w:rsidR="00993DBF" w:rsidRPr="007652DE" w:rsidRDefault="00993DBF" w:rsidP="00AB7A9E"/>
        </w:tc>
      </w:tr>
      <w:tr w:rsidR="00993DBF" w:rsidRPr="00700414"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Ear and</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tcPr>
          <w:p w:rsidR="00993DBF" w:rsidRPr="00993DBF" w:rsidRDefault="00993DBF" w:rsidP="00993DBF">
            <w:pPr>
              <w:rPr>
                <w:u w:val="single"/>
              </w:rPr>
            </w:pPr>
            <w:r w:rsidRPr="00993DBF">
              <w:rPr>
                <w:u w:val="single"/>
              </w:rPr>
              <w:t>Common</w:t>
            </w:r>
          </w:p>
          <w:p w:rsidR="00993DBF" w:rsidRPr="00700414" w:rsidRDefault="00993DBF" w:rsidP="00993DBF">
            <w:r w:rsidRPr="00700414">
              <w:t>Deafness (Including Hypoacusis), Tinnitus</w:t>
            </w:r>
          </w:p>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Labyrinth</w:t>
            </w: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5"/>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00414" w:rsidRDefault="00993DBF" w:rsidP="00AB7A9E"/>
        </w:tc>
        <w:tc>
          <w:tcPr>
            <w:tcW w:w="4707" w:type="dxa"/>
            <w:gridSpan w:val="7"/>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993DBF" w:rsidRPr="00700414" w:rsidRDefault="00993DBF" w:rsidP="00AB7A9E"/>
        </w:tc>
        <w:tc>
          <w:tcPr>
            <w:tcW w:w="220" w:type="dxa"/>
            <w:gridSpan w:val="3"/>
            <w:tcBorders>
              <w:bottom w:val="single" w:sz="8" w:space="0" w:color="auto"/>
            </w:tcBorders>
            <w:vAlign w:val="bottom"/>
          </w:tcPr>
          <w:p w:rsidR="00993DBF" w:rsidRPr="00700414" w:rsidRDefault="00993DBF" w:rsidP="00AB7A9E"/>
        </w:tc>
        <w:tc>
          <w:tcPr>
            <w:tcW w:w="280" w:type="dxa"/>
            <w:gridSpan w:val="3"/>
            <w:tcBorders>
              <w:bottom w:val="single" w:sz="8" w:space="0" w:color="auto"/>
            </w:tcBorders>
            <w:vAlign w:val="bottom"/>
          </w:tcPr>
          <w:p w:rsidR="00993DBF" w:rsidRPr="00700414" w:rsidRDefault="00993DBF" w:rsidP="00AB7A9E"/>
        </w:tc>
        <w:tc>
          <w:tcPr>
            <w:tcW w:w="1742" w:type="dxa"/>
            <w:tcBorders>
              <w:bottom w:val="single" w:sz="8" w:space="0" w:color="auto"/>
              <w:right w:val="single" w:sz="8" w:space="0" w:color="auto"/>
            </w:tcBorders>
            <w:vAlign w:val="bottom"/>
          </w:tcPr>
          <w:p w:rsidR="00993DBF" w:rsidRPr="00700414" w:rsidRDefault="00993DBF" w:rsidP="00AB7A9E"/>
        </w:tc>
      </w:tr>
      <w:tr w:rsidR="00993DBF" w:rsidRPr="00700414" w:rsidTr="00A70D7A">
        <w:trPr>
          <w:trHeight w:val="21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Cardiac Disorders</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Common</w:t>
            </w:r>
          </w:p>
          <w:p w:rsidR="00993DBF" w:rsidRDefault="00993DBF" w:rsidP="00AB7A9E">
            <w:r w:rsidRPr="00700414">
              <w:t>Atrial fibrillation</w:t>
            </w:r>
            <w:r w:rsidR="00335E11">
              <w:rPr>
                <w:rFonts w:eastAsia="Times New Roman"/>
                <w:spacing w:val="-3"/>
                <w:position w:val="8"/>
                <w:sz w:val="14"/>
                <w:szCs w:val="14"/>
              </w:rPr>
              <w:t>◊</w:t>
            </w:r>
            <w:r w:rsidR="00FE263D">
              <w:rPr>
                <w:rFonts w:eastAsia="Times New Roman"/>
                <w:spacing w:val="-3"/>
                <w:position w:val="8"/>
                <w:sz w:val="14"/>
                <w:szCs w:val="14"/>
              </w:rPr>
              <w:t>, ◊◊</w:t>
            </w:r>
            <w:r w:rsidRPr="00700414">
              <w:t>, Bradycardia</w:t>
            </w:r>
          </w:p>
          <w:p w:rsidR="00993DBF" w:rsidRPr="00700414"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r w:rsidRPr="00700414">
              <w:t>Arrhythmia, QT prolongation, Atrial flutter,</w:t>
            </w:r>
          </w:p>
          <w:p w:rsidR="00993DBF" w:rsidRPr="00700414" w:rsidRDefault="00993DBF" w:rsidP="00AB7A9E">
            <w:r w:rsidRPr="00700414">
              <w:t>Ventricular extrasystoles</w:t>
            </w:r>
          </w:p>
        </w:tc>
        <w:tc>
          <w:tcPr>
            <w:tcW w:w="65" w:type="dxa"/>
            <w:gridSpan w:val="2"/>
            <w:tcBorders>
              <w:left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73431D" w:rsidRDefault="00993DBF">
            <w:pPr>
              <w:ind w:right="-114"/>
            </w:pPr>
            <w:r w:rsidRPr="00700414">
              <w:t>Common</w:t>
            </w:r>
          </w:p>
        </w:tc>
        <w:tc>
          <w:tcPr>
            <w:tcW w:w="2242" w:type="dxa"/>
            <w:gridSpan w:val="7"/>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Myocardial infarction (including</w:t>
            </w:r>
          </w:p>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acute)^</w:t>
            </w:r>
            <w:r w:rsidR="008A0979" w:rsidRPr="008A0979">
              <w:rPr>
                <w:vertAlign w:val="superscript"/>
              </w:rPr>
              <w:t>,</w:t>
            </w:r>
            <w:r w:rsidR="00335E11">
              <w:rPr>
                <w:rFonts w:eastAsia="Times New Roman"/>
                <w:spacing w:val="-3"/>
                <w:position w:val="8"/>
                <w:sz w:val="14"/>
                <w:szCs w:val="14"/>
              </w:rPr>
              <w:t xml:space="preserve"> ◊</w:t>
            </w:r>
            <w:r w:rsidRPr="00700414">
              <w:t>, Atrial fibrillation</w:t>
            </w:r>
            <w:r w:rsidR="00335E11">
              <w:rPr>
                <w:rFonts w:eastAsia="Times New Roman"/>
                <w:spacing w:val="-3"/>
                <w:position w:val="8"/>
                <w:sz w:val="14"/>
                <w:szCs w:val="14"/>
              </w:rPr>
              <w:t>◊</w:t>
            </w:r>
            <w:r w:rsidR="00FE263D">
              <w:rPr>
                <w:rFonts w:eastAsia="Times New Roman"/>
                <w:spacing w:val="-3"/>
                <w:position w:val="8"/>
                <w:sz w:val="14"/>
                <w:szCs w:val="14"/>
              </w:rPr>
              <w:t>, ◊◊</w:t>
            </w:r>
            <w:r w:rsidRPr="00700414">
              <w:t>,</w:t>
            </w:r>
          </w:p>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Congestive cardiac failure</w:t>
            </w:r>
            <w:r w:rsidR="00335E11">
              <w:rPr>
                <w:rFonts w:eastAsia="Times New Roman"/>
                <w:spacing w:val="-3"/>
                <w:position w:val="8"/>
                <w:sz w:val="14"/>
                <w:szCs w:val="14"/>
              </w:rPr>
              <w:t>◊</w:t>
            </w:r>
            <w:r w:rsidRPr="00700414">
              <w:t>,</w:t>
            </w:r>
          </w:p>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Tachycardia, Cardiac failure</w:t>
            </w:r>
            <w:r w:rsidR="00335E11">
              <w:rPr>
                <w:rFonts w:eastAsia="Times New Roman"/>
                <w:spacing w:val="-3"/>
                <w:position w:val="8"/>
                <w:sz w:val="14"/>
                <w:szCs w:val="14"/>
              </w:rPr>
              <w:t>◊</w:t>
            </w:r>
            <w:r w:rsidR="00FE263D">
              <w:rPr>
                <w:rFonts w:eastAsia="Times New Roman"/>
                <w:spacing w:val="-3"/>
                <w:position w:val="8"/>
                <w:sz w:val="14"/>
                <w:szCs w:val="14"/>
              </w:rPr>
              <w:t>,◊◊</w:t>
            </w:r>
            <w:r w:rsidRPr="00700414">
              <w:t>,</w:t>
            </w:r>
          </w:p>
        </w:tc>
      </w:tr>
      <w:tr w:rsidR="00993DBF" w:rsidRPr="00700414"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00414" w:rsidRDefault="00993DBF" w:rsidP="00AB7A9E"/>
        </w:tc>
        <w:tc>
          <w:tcPr>
            <w:tcW w:w="4707" w:type="dxa"/>
            <w:gridSpan w:val="7"/>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3060" w:type="dxa"/>
            <w:gridSpan w:val="10"/>
            <w:tcBorders>
              <w:bottom w:val="single" w:sz="8" w:space="0" w:color="auto"/>
              <w:right w:val="single" w:sz="8" w:space="0" w:color="auto"/>
            </w:tcBorders>
            <w:vAlign w:val="bottom"/>
          </w:tcPr>
          <w:p w:rsidR="00993DBF" w:rsidRPr="00700414" w:rsidRDefault="00993DBF" w:rsidP="00AB7A9E">
            <w:r w:rsidRPr="00700414">
              <w:t>Myocardial ischaemia</w:t>
            </w:r>
            <w:r w:rsidR="00335E11">
              <w:rPr>
                <w:rFonts w:eastAsia="Times New Roman"/>
                <w:spacing w:val="-3"/>
                <w:position w:val="8"/>
                <w:sz w:val="14"/>
                <w:szCs w:val="14"/>
              </w:rPr>
              <w:t>◊</w:t>
            </w:r>
          </w:p>
        </w:tc>
      </w:tr>
      <w:tr w:rsidR="00993DBF" w:rsidRPr="00700414"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Vascular Disorders</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tcPr>
          <w:p w:rsidR="00993DBF" w:rsidRPr="00700414" w:rsidRDefault="00993DBF" w:rsidP="00CA12F4">
            <w:pPr>
              <w:rPr>
                <w:u w:val="single"/>
              </w:rPr>
            </w:pPr>
            <w:r w:rsidRPr="00700414">
              <w:rPr>
                <w:u w:val="single"/>
              </w:rPr>
              <w:t>Very Common</w:t>
            </w:r>
          </w:p>
          <w:p w:rsidR="00993DBF" w:rsidRPr="00700414" w:rsidRDefault="00993DBF" w:rsidP="00CA12F4">
            <w:r w:rsidRPr="00700414">
              <w:t>Venous thromboembolic events, predominantly</w:t>
            </w:r>
          </w:p>
          <w:p w:rsidR="00993DBF" w:rsidRDefault="00993DBF" w:rsidP="00CA12F4">
            <w:r w:rsidRPr="00700414">
              <w:t>deep vein thrombosis and pulmonary embolism^</w:t>
            </w:r>
            <w:r w:rsidR="008A0979" w:rsidRPr="008A0979">
              <w:rPr>
                <w:vertAlign w:val="superscript"/>
              </w:rPr>
              <w:t>,</w:t>
            </w:r>
            <w:r w:rsidR="00335E11">
              <w:rPr>
                <w:rFonts w:eastAsia="Times New Roman"/>
                <w:spacing w:val="-3"/>
                <w:position w:val="8"/>
                <w:sz w:val="14"/>
                <w:szCs w:val="14"/>
              </w:rPr>
              <w:t>◊</w:t>
            </w:r>
            <w:r w:rsidR="00FE263D">
              <w:rPr>
                <w:rFonts w:eastAsia="Times New Roman"/>
                <w:spacing w:val="-3"/>
                <w:position w:val="8"/>
                <w:sz w:val="14"/>
                <w:szCs w:val="14"/>
              </w:rPr>
              <w:t>, ◊◊</w:t>
            </w:r>
            <w:r w:rsidR="00175978" w:rsidRPr="00700414">
              <w:t>Hypotension</w:t>
            </w:r>
            <w:r w:rsidR="00175978">
              <w:rPr>
                <w:rFonts w:eastAsia="Times New Roman"/>
                <w:spacing w:val="-3"/>
                <w:position w:val="8"/>
                <w:sz w:val="14"/>
                <w:szCs w:val="14"/>
              </w:rPr>
              <w:t>◊◊</w:t>
            </w:r>
          </w:p>
          <w:p w:rsidR="00175978" w:rsidRDefault="00175978" w:rsidP="00CA12F4">
            <w:pPr>
              <w:rPr>
                <w:u w:val="single"/>
              </w:rPr>
            </w:pPr>
          </w:p>
          <w:p w:rsidR="00993DBF" w:rsidRPr="00CA12F4" w:rsidRDefault="00993DBF" w:rsidP="00CA12F4">
            <w:pPr>
              <w:rPr>
                <w:u w:val="single"/>
              </w:rPr>
            </w:pPr>
            <w:r w:rsidRPr="00CA12F4">
              <w:rPr>
                <w:u w:val="single"/>
              </w:rPr>
              <w:t>Common</w:t>
            </w:r>
          </w:p>
          <w:p w:rsidR="00993DBF" w:rsidRPr="00700414" w:rsidRDefault="00993DBF" w:rsidP="00CA12F4">
            <w:pPr>
              <w:rPr>
                <w:u w:val="single"/>
              </w:rPr>
            </w:pPr>
            <w:r w:rsidRPr="00700414">
              <w:t>Hypertension, Ecchymosis^</w:t>
            </w:r>
          </w:p>
        </w:tc>
        <w:tc>
          <w:tcPr>
            <w:tcW w:w="65" w:type="dxa"/>
            <w:gridSpan w:val="2"/>
            <w:vAlign w:val="bottom"/>
          </w:tcPr>
          <w:p w:rsidR="00993DBF" w:rsidRPr="00700414" w:rsidRDefault="00993DBF" w:rsidP="00AB7A9E">
            <w:pPr>
              <w:rPr>
                <w:u w:val="single"/>
              </w:rPr>
            </w:pPr>
          </w:p>
        </w:tc>
        <w:tc>
          <w:tcPr>
            <w:tcW w:w="3060" w:type="dxa"/>
            <w:gridSpan w:val="10"/>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00414" w:rsidRDefault="00993DBF" w:rsidP="00AB7A9E">
            <w:r w:rsidRPr="00700414">
              <w:t>Venous thromboembolic events,</w:t>
            </w:r>
          </w:p>
          <w:p w:rsidR="00993DBF" w:rsidRPr="00700414" w:rsidRDefault="00993DBF" w:rsidP="00AB7A9E">
            <w:r w:rsidRPr="00700414">
              <w:t>predominantly deep vein</w:t>
            </w:r>
          </w:p>
          <w:p w:rsidR="00993DBF" w:rsidRPr="00700414" w:rsidRDefault="00993DBF" w:rsidP="00AB7A9E">
            <w:r w:rsidRPr="00700414">
              <w:t>thrombosis and pulmonary</w:t>
            </w:r>
          </w:p>
          <w:p w:rsidR="00993DBF" w:rsidRDefault="00993DBF" w:rsidP="00AB7A9E">
            <w:r w:rsidRPr="00700414">
              <w:t>embolism^</w:t>
            </w:r>
            <w:r w:rsidR="008A0979" w:rsidRPr="008A0979">
              <w:rPr>
                <w:vertAlign w:val="superscript"/>
              </w:rPr>
              <w:t>,</w:t>
            </w:r>
            <w:r w:rsidR="00A70D7A">
              <w:rPr>
                <w:rFonts w:eastAsia="Times New Roman"/>
                <w:spacing w:val="-3"/>
                <w:position w:val="8"/>
                <w:sz w:val="14"/>
                <w:szCs w:val="14"/>
              </w:rPr>
              <w:t>◊</w:t>
            </w:r>
            <w:r w:rsidR="00175978">
              <w:rPr>
                <w:rFonts w:eastAsia="Times New Roman"/>
                <w:spacing w:val="-3"/>
                <w:position w:val="8"/>
                <w:sz w:val="14"/>
                <w:szCs w:val="14"/>
              </w:rPr>
              <w:t>,◊◊</w:t>
            </w:r>
          </w:p>
          <w:p w:rsidR="00993DBF" w:rsidRDefault="00993DBF" w:rsidP="00AB7A9E"/>
          <w:p w:rsidR="00993DBF" w:rsidRPr="00993DBF" w:rsidRDefault="00993DBF" w:rsidP="00AB7A9E">
            <w:pPr>
              <w:rPr>
                <w:u w:val="single"/>
              </w:rPr>
            </w:pPr>
            <w:r w:rsidRPr="00993DBF">
              <w:rPr>
                <w:u w:val="single"/>
              </w:rPr>
              <w:t>Common</w:t>
            </w:r>
          </w:p>
          <w:p w:rsidR="00993DBF" w:rsidRDefault="00993DBF" w:rsidP="00AB7A9E">
            <w:r w:rsidRPr="00700414">
              <w:t>Vasculitis</w:t>
            </w:r>
            <w:r w:rsidR="00175978">
              <w:t>, Hypotension</w:t>
            </w:r>
            <w:r w:rsidR="00175978">
              <w:rPr>
                <w:rFonts w:eastAsia="Times New Roman"/>
                <w:spacing w:val="-3"/>
                <w:position w:val="8"/>
                <w:sz w:val="14"/>
                <w:szCs w:val="14"/>
              </w:rPr>
              <w:t>◊◊</w:t>
            </w:r>
            <w:r w:rsidR="00175978">
              <w:t xml:space="preserve">, Hypertension </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r w:rsidRPr="00700414">
              <w:t>Ischemia, Peripheral ischemia,</w:t>
            </w:r>
          </w:p>
          <w:p w:rsidR="00993DBF" w:rsidRPr="00700414" w:rsidRDefault="00993DBF" w:rsidP="00AB7A9E">
            <w:r w:rsidRPr="00700414">
              <w:t>Intracranial venous sinus</w:t>
            </w:r>
          </w:p>
          <w:p w:rsidR="00993DBF" w:rsidRPr="00700414" w:rsidRDefault="00993DBF" w:rsidP="00AB7A9E">
            <w:pPr>
              <w:rPr>
                <w:u w:val="single"/>
              </w:rPr>
            </w:pPr>
            <w:r w:rsidRPr="00700414">
              <w:t>thrombosis</w:t>
            </w:r>
          </w:p>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1"/>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1100" w:type="dxa"/>
            <w:gridSpan w:val="2"/>
            <w:vAlign w:val="bottom"/>
          </w:tcPr>
          <w:p w:rsidR="00993DBF" w:rsidRPr="00700414" w:rsidRDefault="00993DBF" w:rsidP="00AB7A9E"/>
        </w:tc>
        <w:tc>
          <w:tcPr>
            <w:tcW w:w="144" w:type="dxa"/>
            <w:gridSpan w:val="2"/>
            <w:vAlign w:val="bottom"/>
          </w:tcPr>
          <w:p w:rsidR="00993DBF" w:rsidRPr="00700414" w:rsidRDefault="00993DBF" w:rsidP="00AB7A9E"/>
        </w:tc>
        <w:tc>
          <w:tcPr>
            <w:tcW w:w="260" w:type="dxa"/>
            <w:gridSpan w:val="2"/>
            <w:vAlign w:val="bottom"/>
          </w:tcPr>
          <w:p w:rsidR="00993DBF" w:rsidRPr="00700414" w:rsidRDefault="00993DBF" w:rsidP="00AB7A9E"/>
        </w:tc>
        <w:tc>
          <w:tcPr>
            <w:tcW w:w="3203" w:type="dxa"/>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1100" w:type="dxa"/>
            <w:gridSpan w:val="2"/>
            <w:vAlign w:val="bottom"/>
          </w:tcPr>
          <w:p w:rsidR="00993DBF" w:rsidRPr="00700414" w:rsidRDefault="00993DBF" w:rsidP="00AB7A9E"/>
        </w:tc>
        <w:tc>
          <w:tcPr>
            <w:tcW w:w="144" w:type="dxa"/>
            <w:gridSpan w:val="2"/>
            <w:vAlign w:val="bottom"/>
          </w:tcPr>
          <w:p w:rsidR="00993DBF" w:rsidRPr="00700414" w:rsidRDefault="00993DBF" w:rsidP="00AB7A9E"/>
        </w:tc>
        <w:tc>
          <w:tcPr>
            <w:tcW w:w="260" w:type="dxa"/>
            <w:gridSpan w:val="2"/>
            <w:vAlign w:val="bottom"/>
          </w:tcPr>
          <w:p w:rsidR="00993DBF" w:rsidRPr="00700414" w:rsidRDefault="00993DBF" w:rsidP="00AB7A9E"/>
        </w:tc>
        <w:tc>
          <w:tcPr>
            <w:tcW w:w="3203" w:type="dxa"/>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00414" w:rsidRDefault="00993DBF" w:rsidP="00AB7A9E"/>
        </w:tc>
        <w:tc>
          <w:tcPr>
            <w:tcW w:w="1100" w:type="dxa"/>
            <w:gridSpan w:val="2"/>
            <w:tcBorders>
              <w:bottom w:val="single" w:sz="8" w:space="0" w:color="auto"/>
            </w:tcBorders>
            <w:vAlign w:val="bottom"/>
          </w:tcPr>
          <w:p w:rsidR="00993DBF" w:rsidRPr="00700414" w:rsidRDefault="00993DBF" w:rsidP="00AB7A9E"/>
        </w:tc>
        <w:tc>
          <w:tcPr>
            <w:tcW w:w="144" w:type="dxa"/>
            <w:gridSpan w:val="2"/>
            <w:tcBorders>
              <w:bottom w:val="single" w:sz="8" w:space="0" w:color="auto"/>
            </w:tcBorders>
            <w:vAlign w:val="bottom"/>
          </w:tcPr>
          <w:p w:rsidR="00993DBF" w:rsidRPr="00700414" w:rsidRDefault="00993DBF" w:rsidP="00AB7A9E"/>
        </w:tc>
        <w:tc>
          <w:tcPr>
            <w:tcW w:w="260" w:type="dxa"/>
            <w:gridSpan w:val="2"/>
            <w:tcBorders>
              <w:bottom w:val="single" w:sz="8" w:space="0" w:color="auto"/>
            </w:tcBorders>
            <w:vAlign w:val="bottom"/>
          </w:tcPr>
          <w:p w:rsidR="00993DBF" w:rsidRPr="00700414" w:rsidRDefault="00993DBF" w:rsidP="00AB7A9E"/>
        </w:tc>
        <w:tc>
          <w:tcPr>
            <w:tcW w:w="3203" w:type="dxa"/>
            <w:tcBorders>
              <w:bottom w:val="single" w:sz="8" w:space="0" w:color="auto"/>
              <w:right w:val="single" w:sz="8" w:space="0" w:color="auto"/>
            </w:tcBorders>
            <w:vAlign w:val="bottom"/>
          </w:tcPr>
          <w:p w:rsidR="00993DBF" w:rsidRPr="00700414" w:rsidRDefault="00993DBF" w:rsidP="00AB7A9E"/>
        </w:tc>
        <w:tc>
          <w:tcPr>
            <w:tcW w:w="65" w:type="dxa"/>
            <w:gridSpan w:val="2"/>
            <w:tcBorders>
              <w:bottom w:val="single" w:sz="8" w:space="0" w:color="auto"/>
            </w:tcBorders>
            <w:vAlign w:val="bottom"/>
          </w:tcPr>
          <w:p w:rsidR="00993DBF" w:rsidRPr="00700414" w:rsidRDefault="00993DBF" w:rsidP="00AB7A9E"/>
        </w:tc>
        <w:tc>
          <w:tcPr>
            <w:tcW w:w="3060" w:type="dxa"/>
            <w:gridSpan w:val="10"/>
            <w:vMerge/>
            <w:tcBorders>
              <w:bottom w:val="single" w:sz="8" w:space="0" w:color="auto"/>
              <w:right w:val="single" w:sz="8" w:space="0" w:color="auto"/>
            </w:tcBorders>
            <w:vAlign w:val="bottom"/>
          </w:tcPr>
          <w:p w:rsidR="00993DBF" w:rsidRPr="00700414" w:rsidRDefault="00993DBF" w:rsidP="00AB7A9E"/>
        </w:tc>
      </w:tr>
      <w:tr w:rsidR="00506994" w:rsidRPr="00700414" w:rsidTr="00A70D7A">
        <w:trPr>
          <w:trHeight w:val="217"/>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Respiratory,</w:t>
            </w: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Pr="00700414" w:rsidRDefault="00506994" w:rsidP="00AB7A9E">
            <w:pPr>
              <w:rPr>
                <w:u w:val="single"/>
              </w:rPr>
            </w:pPr>
            <w:r w:rsidRPr="00700414">
              <w:rPr>
                <w:u w:val="single"/>
              </w:rPr>
              <w:t>Very Common</w:t>
            </w:r>
          </w:p>
        </w:tc>
        <w:tc>
          <w:tcPr>
            <w:tcW w:w="65" w:type="dxa"/>
            <w:gridSpan w:val="2"/>
            <w:vAlign w:val="bottom"/>
          </w:tcPr>
          <w:p w:rsidR="00506994" w:rsidRPr="00700414" w:rsidRDefault="00506994" w:rsidP="00AB7A9E">
            <w:pPr>
              <w:rPr>
                <w:u w:val="single"/>
              </w:rPr>
            </w:pPr>
          </w:p>
        </w:tc>
        <w:tc>
          <w:tcPr>
            <w:tcW w:w="3060" w:type="dxa"/>
            <w:gridSpan w:val="10"/>
            <w:tcBorders>
              <w:right w:val="single" w:sz="8" w:space="0" w:color="auto"/>
            </w:tcBorders>
            <w:vAlign w:val="bottom"/>
          </w:tcPr>
          <w:p w:rsidR="00506994" w:rsidRPr="00700414" w:rsidRDefault="00506994" w:rsidP="00AB7A9E">
            <w:pPr>
              <w:rPr>
                <w:u w:val="single"/>
              </w:rPr>
            </w:pPr>
            <w:r w:rsidRPr="00700414">
              <w:rPr>
                <w:u w:val="single"/>
              </w:rPr>
              <w:t>Common</w:t>
            </w:r>
          </w:p>
        </w:tc>
      </w:tr>
      <w:tr w:rsidR="00175978" w:rsidRPr="00700414" w:rsidTr="00A70D7A">
        <w:trPr>
          <w:trHeight w:val="259"/>
        </w:trPr>
        <w:tc>
          <w:tcPr>
            <w:tcW w:w="2058" w:type="dxa"/>
            <w:tcBorders>
              <w:left w:val="single" w:sz="8" w:space="0" w:color="auto"/>
              <w:right w:val="single" w:sz="8" w:space="0" w:color="auto"/>
            </w:tcBorders>
            <w:vAlign w:val="bottom"/>
          </w:tcPr>
          <w:p w:rsidR="00175978" w:rsidRPr="00700414" w:rsidRDefault="00175978" w:rsidP="00AB7A9E">
            <w:pPr>
              <w:rPr>
                <w:b/>
              </w:rPr>
            </w:pPr>
            <w:r w:rsidRPr="00700414">
              <w:rPr>
                <w:b/>
              </w:rPr>
              <w:t>Thoracic</w:t>
            </w:r>
          </w:p>
        </w:tc>
        <w:tc>
          <w:tcPr>
            <w:tcW w:w="100" w:type="dxa"/>
            <w:gridSpan w:val="2"/>
            <w:vAlign w:val="bottom"/>
          </w:tcPr>
          <w:p w:rsidR="00175978" w:rsidRPr="00700414" w:rsidRDefault="00175978" w:rsidP="00AB7A9E"/>
        </w:tc>
        <w:tc>
          <w:tcPr>
            <w:tcW w:w="4707" w:type="dxa"/>
            <w:gridSpan w:val="7"/>
            <w:tcBorders>
              <w:right w:val="single" w:sz="8" w:space="0" w:color="auto"/>
            </w:tcBorders>
            <w:vAlign w:val="bottom"/>
          </w:tcPr>
          <w:p w:rsidR="00175978" w:rsidRPr="00700414" w:rsidRDefault="00175978" w:rsidP="00AB7A9E">
            <w:r w:rsidRPr="00700414">
              <w:t>Dyspnoea</w:t>
            </w:r>
            <w:r>
              <w:rPr>
                <w:rFonts w:eastAsia="Times New Roman"/>
                <w:spacing w:val="-3"/>
                <w:position w:val="8"/>
                <w:sz w:val="14"/>
                <w:szCs w:val="14"/>
              </w:rPr>
              <w:t>◊, ◊◊</w:t>
            </w:r>
            <w:r w:rsidRPr="00700414">
              <w:t>, Epistaxis^</w:t>
            </w:r>
            <w:r>
              <w:t>, Cough</w:t>
            </w:r>
          </w:p>
        </w:tc>
        <w:tc>
          <w:tcPr>
            <w:tcW w:w="65" w:type="dxa"/>
            <w:gridSpan w:val="2"/>
            <w:vAlign w:val="bottom"/>
          </w:tcPr>
          <w:p w:rsidR="00175978" w:rsidRPr="00700414" w:rsidRDefault="00175978" w:rsidP="00AB7A9E"/>
        </w:tc>
        <w:tc>
          <w:tcPr>
            <w:tcW w:w="3060" w:type="dxa"/>
            <w:gridSpan w:val="10"/>
            <w:vMerge w:val="restart"/>
            <w:tcBorders>
              <w:right w:val="single" w:sz="8" w:space="0" w:color="auto"/>
            </w:tcBorders>
            <w:vAlign w:val="bottom"/>
          </w:tcPr>
          <w:p w:rsidR="00175978" w:rsidRPr="00700414" w:rsidRDefault="00175978" w:rsidP="00175978">
            <w:r w:rsidRPr="00700414">
              <w:t>Respiratory distress</w:t>
            </w:r>
            <w:r>
              <w:rPr>
                <w:rFonts w:eastAsia="Times New Roman"/>
                <w:spacing w:val="-3"/>
                <w:position w:val="8"/>
                <w:sz w:val="14"/>
                <w:szCs w:val="14"/>
              </w:rPr>
              <w:t>◊</w:t>
            </w:r>
            <w:r w:rsidRPr="00700414">
              <w:t>, Dyspnoea</w:t>
            </w:r>
            <w:r>
              <w:rPr>
                <w:rFonts w:eastAsia="Times New Roman"/>
                <w:spacing w:val="-3"/>
                <w:position w:val="8"/>
                <w:sz w:val="14"/>
                <w:szCs w:val="14"/>
              </w:rPr>
              <w:t>◊,◊◊</w:t>
            </w:r>
            <w:r>
              <w:t>, Hypoxia</w:t>
            </w:r>
            <w:r>
              <w:rPr>
                <w:rFonts w:eastAsia="Times New Roman"/>
                <w:spacing w:val="-3"/>
                <w:position w:val="8"/>
                <w:sz w:val="14"/>
                <w:szCs w:val="14"/>
              </w:rPr>
              <w:t>◊◊</w:t>
            </w:r>
            <w:r>
              <w:t>, Pleuritic pain</w:t>
            </w:r>
            <w:r>
              <w:rPr>
                <w:rFonts w:eastAsia="Times New Roman"/>
                <w:spacing w:val="-3"/>
                <w:position w:val="8"/>
                <w:sz w:val="14"/>
                <w:szCs w:val="14"/>
              </w:rPr>
              <w:t xml:space="preserve">◊◊ </w:t>
            </w:r>
          </w:p>
        </w:tc>
      </w:tr>
      <w:tr w:rsidR="00175978" w:rsidRPr="00700414" w:rsidTr="002C788B">
        <w:trPr>
          <w:trHeight w:val="254"/>
        </w:trPr>
        <w:tc>
          <w:tcPr>
            <w:tcW w:w="2058" w:type="dxa"/>
            <w:tcBorders>
              <w:left w:val="single" w:sz="8" w:space="0" w:color="auto"/>
              <w:right w:val="single" w:sz="8" w:space="0" w:color="auto"/>
            </w:tcBorders>
            <w:vAlign w:val="bottom"/>
          </w:tcPr>
          <w:p w:rsidR="00175978" w:rsidRPr="00700414" w:rsidRDefault="00175978" w:rsidP="00AB7A9E">
            <w:pPr>
              <w:rPr>
                <w:b/>
              </w:rPr>
            </w:pPr>
            <w:r w:rsidRPr="00700414">
              <w:rPr>
                <w:b/>
              </w:rPr>
              <w:t>and Mediastinal</w:t>
            </w:r>
          </w:p>
        </w:tc>
        <w:tc>
          <w:tcPr>
            <w:tcW w:w="100" w:type="dxa"/>
            <w:gridSpan w:val="2"/>
            <w:vAlign w:val="bottom"/>
          </w:tcPr>
          <w:p w:rsidR="00175978" w:rsidRPr="00700414" w:rsidRDefault="00175978" w:rsidP="00AB7A9E"/>
        </w:tc>
        <w:tc>
          <w:tcPr>
            <w:tcW w:w="1100" w:type="dxa"/>
            <w:gridSpan w:val="2"/>
            <w:vAlign w:val="bottom"/>
          </w:tcPr>
          <w:p w:rsidR="00175978" w:rsidRPr="00700414" w:rsidRDefault="00175978" w:rsidP="00AB7A9E"/>
        </w:tc>
        <w:tc>
          <w:tcPr>
            <w:tcW w:w="144" w:type="dxa"/>
            <w:gridSpan w:val="2"/>
            <w:vAlign w:val="bottom"/>
          </w:tcPr>
          <w:p w:rsidR="00175978" w:rsidRPr="00700414" w:rsidRDefault="00175978" w:rsidP="00AB7A9E"/>
        </w:tc>
        <w:tc>
          <w:tcPr>
            <w:tcW w:w="260" w:type="dxa"/>
            <w:gridSpan w:val="2"/>
            <w:vAlign w:val="bottom"/>
          </w:tcPr>
          <w:p w:rsidR="00175978" w:rsidRPr="00700414" w:rsidRDefault="00175978" w:rsidP="00AB7A9E"/>
        </w:tc>
        <w:tc>
          <w:tcPr>
            <w:tcW w:w="3203" w:type="dxa"/>
            <w:tcBorders>
              <w:right w:val="single" w:sz="8" w:space="0" w:color="auto"/>
            </w:tcBorders>
            <w:vAlign w:val="bottom"/>
          </w:tcPr>
          <w:p w:rsidR="00175978" w:rsidRPr="00700414" w:rsidRDefault="00175978" w:rsidP="00AB7A9E"/>
        </w:tc>
        <w:tc>
          <w:tcPr>
            <w:tcW w:w="65" w:type="dxa"/>
            <w:gridSpan w:val="2"/>
            <w:vAlign w:val="bottom"/>
          </w:tcPr>
          <w:p w:rsidR="00175978" w:rsidRPr="00700414" w:rsidRDefault="00175978" w:rsidP="00AB7A9E"/>
        </w:tc>
        <w:tc>
          <w:tcPr>
            <w:tcW w:w="3060" w:type="dxa"/>
            <w:gridSpan w:val="10"/>
            <w:vMerge/>
            <w:tcBorders>
              <w:right w:val="single" w:sz="8" w:space="0" w:color="auto"/>
            </w:tcBorders>
            <w:vAlign w:val="bottom"/>
          </w:tcPr>
          <w:p w:rsidR="00175978" w:rsidRPr="00700414" w:rsidRDefault="00175978" w:rsidP="00AB7A9E"/>
        </w:tc>
      </w:tr>
      <w:tr w:rsidR="00506994" w:rsidRPr="00700414" w:rsidTr="00A70D7A">
        <w:trPr>
          <w:trHeight w:val="253"/>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r w:rsidRPr="00700414">
              <w:rPr>
                <w:b/>
              </w:rPr>
              <w:t>Disorders</w:t>
            </w:r>
          </w:p>
        </w:tc>
        <w:tc>
          <w:tcPr>
            <w:tcW w:w="100" w:type="dxa"/>
            <w:gridSpan w:val="2"/>
            <w:tcBorders>
              <w:bottom w:val="single" w:sz="8" w:space="0" w:color="auto"/>
            </w:tcBorders>
            <w:vAlign w:val="bottom"/>
          </w:tcPr>
          <w:p w:rsidR="00506994" w:rsidRPr="00700414" w:rsidRDefault="00506994" w:rsidP="00AB7A9E"/>
        </w:tc>
        <w:tc>
          <w:tcPr>
            <w:tcW w:w="1100" w:type="dxa"/>
            <w:gridSpan w:val="2"/>
            <w:tcBorders>
              <w:bottom w:val="single" w:sz="8" w:space="0" w:color="auto"/>
            </w:tcBorders>
            <w:vAlign w:val="bottom"/>
          </w:tcPr>
          <w:p w:rsidR="00506994" w:rsidRPr="004273C8" w:rsidRDefault="00175978" w:rsidP="00AB7A9E">
            <w:pPr>
              <w:rPr>
                <w:u w:val="single"/>
              </w:rPr>
            </w:pPr>
            <w:r w:rsidRPr="004273C8">
              <w:rPr>
                <w:u w:val="single"/>
              </w:rPr>
              <w:t>Common</w:t>
            </w:r>
          </w:p>
          <w:p w:rsidR="00175978" w:rsidRPr="00700414" w:rsidRDefault="00175978" w:rsidP="00AB7A9E">
            <w:r>
              <w:t>Dysphonia</w:t>
            </w:r>
          </w:p>
        </w:tc>
        <w:tc>
          <w:tcPr>
            <w:tcW w:w="144" w:type="dxa"/>
            <w:gridSpan w:val="2"/>
            <w:tcBorders>
              <w:bottom w:val="single" w:sz="8" w:space="0" w:color="auto"/>
            </w:tcBorders>
            <w:vAlign w:val="bottom"/>
          </w:tcPr>
          <w:p w:rsidR="00506994" w:rsidRPr="00700414" w:rsidRDefault="00506994" w:rsidP="00AB7A9E"/>
        </w:tc>
        <w:tc>
          <w:tcPr>
            <w:tcW w:w="260" w:type="dxa"/>
            <w:gridSpan w:val="2"/>
            <w:tcBorders>
              <w:bottom w:val="single" w:sz="8" w:space="0" w:color="auto"/>
            </w:tcBorders>
            <w:vAlign w:val="bottom"/>
          </w:tcPr>
          <w:p w:rsidR="00506994" w:rsidRPr="00700414" w:rsidRDefault="00506994" w:rsidP="00AB7A9E"/>
        </w:tc>
        <w:tc>
          <w:tcPr>
            <w:tcW w:w="3203" w:type="dxa"/>
            <w:tcBorders>
              <w:bottom w:val="single" w:sz="8" w:space="0" w:color="auto"/>
              <w:right w:val="single" w:sz="8" w:space="0" w:color="auto"/>
            </w:tcBorders>
            <w:vAlign w:val="bottom"/>
          </w:tcPr>
          <w:p w:rsidR="00506994" w:rsidRPr="00700414" w:rsidRDefault="00506994" w:rsidP="00AB7A9E"/>
        </w:tc>
        <w:tc>
          <w:tcPr>
            <w:tcW w:w="65" w:type="dxa"/>
            <w:gridSpan w:val="2"/>
            <w:tcBorders>
              <w:bottom w:val="single" w:sz="8" w:space="0" w:color="auto"/>
            </w:tcBorders>
            <w:vAlign w:val="bottom"/>
          </w:tcPr>
          <w:p w:rsidR="00506994" w:rsidRPr="00700414" w:rsidRDefault="00506994" w:rsidP="00AB7A9E"/>
        </w:tc>
        <w:tc>
          <w:tcPr>
            <w:tcW w:w="818" w:type="dxa"/>
            <w:gridSpan w:val="3"/>
            <w:tcBorders>
              <w:bottom w:val="single" w:sz="8" w:space="0" w:color="auto"/>
            </w:tcBorders>
            <w:vAlign w:val="bottom"/>
          </w:tcPr>
          <w:p w:rsidR="00506994" w:rsidRPr="00700414" w:rsidRDefault="00506994" w:rsidP="00AB7A9E"/>
        </w:tc>
        <w:tc>
          <w:tcPr>
            <w:tcW w:w="220" w:type="dxa"/>
            <w:gridSpan w:val="3"/>
            <w:tcBorders>
              <w:bottom w:val="single" w:sz="8" w:space="0" w:color="auto"/>
            </w:tcBorders>
            <w:vAlign w:val="bottom"/>
          </w:tcPr>
          <w:p w:rsidR="00506994" w:rsidRPr="00700414" w:rsidRDefault="00506994" w:rsidP="00AB7A9E"/>
        </w:tc>
        <w:tc>
          <w:tcPr>
            <w:tcW w:w="280" w:type="dxa"/>
            <w:gridSpan w:val="3"/>
            <w:tcBorders>
              <w:bottom w:val="single" w:sz="8" w:space="0" w:color="auto"/>
            </w:tcBorders>
            <w:vAlign w:val="bottom"/>
          </w:tcPr>
          <w:p w:rsidR="00506994" w:rsidRPr="00700414" w:rsidRDefault="00506994" w:rsidP="00AB7A9E"/>
        </w:tc>
        <w:tc>
          <w:tcPr>
            <w:tcW w:w="1742" w:type="dxa"/>
            <w:tcBorders>
              <w:bottom w:val="single" w:sz="8" w:space="0" w:color="auto"/>
              <w:right w:val="single" w:sz="8" w:space="0" w:color="auto"/>
            </w:tcBorders>
            <w:vAlign w:val="bottom"/>
          </w:tcPr>
          <w:p w:rsidR="00506994" w:rsidRPr="00700414" w:rsidRDefault="00506994" w:rsidP="00AB7A9E"/>
        </w:tc>
      </w:tr>
      <w:tr w:rsidR="00993DBF" w:rsidRPr="00700414" w:rsidTr="00A70D7A">
        <w:trPr>
          <w:trHeight w:val="216"/>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Gastrointestinal</w:t>
            </w:r>
          </w:p>
        </w:tc>
        <w:tc>
          <w:tcPr>
            <w:tcW w:w="4807" w:type="dxa"/>
            <w:gridSpan w:val="9"/>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00414" w:rsidRDefault="00993DBF" w:rsidP="00AB7A9E">
            <w:r w:rsidRPr="00700414">
              <w:t>Diarrhoea</w:t>
            </w:r>
            <w:r w:rsidR="00A70D7A">
              <w:rPr>
                <w:rFonts w:eastAsia="Times New Roman"/>
                <w:spacing w:val="-3"/>
                <w:position w:val="8"/>
                <w:sz w:val="14"/>
                <w:szCs w:val="14"/>
              </w:rPr>
              <w:t>◊</w:t>
            </w:r>
            <w:r w:rsidR="00175978">
              <w:rPr>
                <w:rFonts w:eastAsia="Times New Roman"/>
                <w:spacing w:val="-3"/>
                <w:position w:val="8"/>
                <w:sz w:val="14"/>
                <w:szCs w:val="14"/>
              </w:rPr>
              <w:t>, ◊◊</w:t>
            </w:r>
            <w:r w:rsidRPr="00700414">
              <w:t>, Constipation</w:t>
            </w:r>
            <w:r w:rsidR="001F0EA4">
              <w:rPr>
                <w:rFonts w:eastAsia="Times New Roman"/>
                <w:spacing w:val="-3"/>
                <w:position w:val="8"/>
                <w:sz w:val="14"/>
                <w:szCs w:val="14"/>
              </w:rPr>
              <w:t>◊</w:t>
            </w:r>
            <w:r w:rsidRPr="00700414">
              <w:t>, Abdominal pain</w:t>
            </w:r>
            <w:r w:rsidR="00175978">
              <w:rPr>
                <w:rFonts w:eastAsia="Times New Roman"/>
                <w:spacing w:val="-3"/>
                <w:position w:val="8"/>
                <w:sz w:val="14"/>
                <w:szCs w:val="14"/>
              </w:rPr>
              <w:t>◊◊</w:t>
            </w:r>
            <w:r w:rsidRPr="00700414">
              <w:t>,</w:t>
            </w:r>
          </w:p>
          <w:p w:rsidR="00993DBF" w:rsidRDefault="00993DBF" w:rsidP="00AB7A9E">
            <w:r w:rsidRPr="00700414">
              <w:t>Nausea, Vomiting</w:t>
            </w:r>
            <w:r w:rsidR="00175978">
              <w:rPr>
                <w:rFonts w:eastAsia="Times New Roman"/>
                <w:spacing w:val="-3"/>
                <w:position w:val="8"/>
                <w:sz w:val="14"/>
                <w:szCs w:val="14"/>
              </w:rPr>
              <w:t>◊◊</w:t>
            </w:r>
            <w:r w:rsidRPr="00700414">
              <w:t>, Dyspepsia</w:t>
            </w:r>
            <w:r w:rsidR="00123017">
              <w:t xml:space="preserve">, </w:t>
            </w:r>
            <w:r w:rsidR="00123017" w:rsidRPr="00700414">
              <w:t>Dry mouth, Stomatitis</w:t>
            </w:r>
          </w:p>
          <w:p w:rsidR="00993DBF" w:rsidRDefault="00993DBF" w:rsidP="00AB7A9E"/>
          <w:p w:rsidR="00993DBF" w:rsidRPr="00993DBF" w:rsidRDefault="00993DBF" w:rsidP="00AB7A9E">
            <w:pPr>
              <w:rPr>
                <w:u w:val="single"/>
              </w:rPr>
            </w:pPr>
            <w:r w:rsidRPr="00993DBF">
              <w:rPr>
                <w:u w:val="single"/>
              </w:rPr>
              <w:t>Common</w:t>
            </w:r>
          </w:p>
          <w:p w:rsidR="00993DBF" w:rsidRPr="00700414" w:rsidRDefault="00993DBF" w:rsidP="00AB7A9E">
            <w:r w:rsidRPr="00700414">
              <w:t>Gastrointestinal haemorrhage (including rectal</w:t>
            </w:r>
          </w:p>
          <w:p w:rsidR="00993DBF" w:rsidRPr="00700414" w:rsidRDefault="00993DBF" w:rsidP="00AB7A9E">
            <w:r w:rsidRPr="00700414">
              <w:t>haemorrhage, haemorrhoidal haemorrhage,</w:t>
            </w:r>
          </w:p>
          <w:p w:rsidR="00993DBF" w:rsidRPr="00700414" w:rsidRDefault="00993DBF" w:rsidP="00AB7A9E">
            <w:r w:rsidRPr="00700414">
              <w:t>peptic ulcer haemorrhage and gingival</w:t>
            </w:r>
          </w:p>
          <w:p w:rsidR="00993DBF" w:rsidRDefault="00993DBF" w:rsidP="00AB7A9E">
            <w:r w:rsidRPr="00700414">
              <w:t>bleeding)^</w:t>
            </w:r>
            <w:r w:rsidR="00123017" w:rsidRPr="004273C8">
              <w:rPr>
                <w:vertAlign w:val="superscript"/>
              </w:rPr>
              <w:t>,</w:t>
            </w:r>
            <w:r w:rsidR="00123017" w:rsidRPr="004273C8">
              <w:rPr>
                <w:rFonts w:eastAsia="Times New Roman"/>
                <w:spacing w:val="-3"/>
                <w:position w:val="8"/>
                <w:sz w:val="14"/>
                <w:szCs w:val="14"/>
                <w:vertAlign w:val="superscript"/>
              </w:rPr>
              <w:t xml:space="preserve"> </w:t>
            </w:r>
            <w:r w:rsidR="00123017">
              <w:rPr>
                <w:rFonts w:eastAsia="Times New Roman"/>
                <w:spacing w:val="-3"/>
                <w:position w:val="8"/>
                <w:sz w:val="14"/>
                <w:szCs w:val="14"/>
              </w:rPr>
              <w:t>◊◊</w:t>
            </w:r>
            <w:r w:rsidRPr="00700414">
              <w:t>, Dysphagia</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00414">
              <w:t>Colitis, Caecitis</w:t>
            </w:r>
          </w:p>
        </w:tc>
        <w:tc>
          <w:tcPr>
            <w:tcW w:w="65" w:type="dxa"/>
            <w:gridSpan w:val="2"/>
            <w:tcBorders>
              <w:left w:val="single" w:sz="8" w:space="0" w:color="auto"/>
            </w:tcBorders>
            <w:vAlign w:val="bottom"/>
          </w:tcPr>
          <w:p w:rsidR="00993DBF" w:rsidRPr="00700414" w:rsidRDefault="00993DBF" w:rsidP="00AB7A9E">
            <w:pPr>
              <w:rPr>
                <w:u w:val="single"/>
              </w:rPr>
            </w:pPr>
          </w:p>
        </w:tc>
        <w:tc>
          <w:tcPr>
            <w:tcW w:w="3060" w:type="dxa"/>
            <w:gridSpan w:val="10"/>
            <w:tcBorders>
              <w:right w:val="single" w:sz="8" w:space="0" w:color="auto"/>
            </w:tcBorders>
            <w:vAlign w:val="bottom"/>
          </w:tcPr>
          <w:p w:rsidR="00993DBF" w:rsidRPr="00700414" w:rsidRDefault="00993DBF" w:rsidP="00AB7A9E">
            <w:pPr>
              <w:rPr>
                <w:u w:val="single"/>
              </w:rPr>
            </w:pPr>
            <w:r w:rsidRPr="00700414">
              <w:rPr>
                <w:u w:val="single"/>
              </w:rPr>
              <w:t>Common</w:t>
            </w:r>
          </w:p>
        </w:tc>
      </w:tr>
      <w:tr w:rsidR="00993DBF" w:rsidRPr="00700414"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175978" w:rsidP="00AB7A9E">
            <w:r>
              <w:t>Gastrointestinal haemorrhage</w:t>
            </w:r>
            <w:r w:rsidR="00123017" w:rsidRPr="004273C8">
              <w:rPr>
                <w:vertAlign w:val="superscript"/>
              </w:rPr>
              <w:t>^,◊,◊◊</w:t>
            </w:r>
            <w:r>
              <w:t>, Small intestinal obstruction</w:t>
            </w:r>
            <w:r w:rsidR="00123017">
              <w:t xml:space="preserve"> </w:t>
            </w:r>
            <w:r w:rsidR="00123017">
              <w:rPr>
                <w:rFonts w:eastAsia="Times New Roman"/>
                <w:spacing w:val="-3"/>
                <w:position w:val="8"/>
                <w:sz w:val="14"/>
                <w:szCs w:val="14"/>
              </w:rPr>
              <w:t>◊◊</w:t>
            </w:r>
            <w:r w:rsidR="00123017">
              <w:t xml:space="preserve">, </w:t>
            </w:r>
            <w:r w:rsidR="00993DBF" w:rsidRPr="00700414">
              <w:t>Diarrhoea</w:t>
            </w:r>
            <w:r w:rsidR="00123017" w:rsidRPr="00906518">
              <w:rPr>
                <w:vertAlign w:val="superscript"/>
              </w:rPr>
              <w:t>◊◊</w:t>
            </w:r>
            <w:r w:rsidR="00993DBF" w:rsidRPr="00700414">
              <w:t>, Constipation</w:t>
            </w:r>
            <w:r w:rsidR="00A70D7A">
              <w:rPr>
                <w:rFonts w:eastAsia="Times New Roman"/>
                <w:spacing w:val="-3"/>
                <w:position w:val="8"/>
                <w:sz w:val="14"/>
                <w:szCs w:val="14"/>
              </w:rPr>
              <w:t>◊</w:t>
            </w:r>
            <w:r w:rsidR="00993DBF" w:rsidRPr="00700414">
              <w:t>,</w:t>
            </w:r>
          </w:p>
        </w:tc>
      </w:tr>
      <w:tr w:rsidR="00993DBF" w:rsidRPr="00700414" w:rsidTr="00A70D7A">
        <w:trPr>
          <w:trHeight w:val="247"/>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Abdominal pain</w:t>
            </w:r>
            <w:r w:rsidR="00123017" w:rsidRPr="00906518">
              <w:rPr>
                <w:vertAlign w:val="superscript"/>
              </w:rPr>
              <w:t>◊◊</w:t>
            </w:r>
            <w:r w:rsidRPr="00700414">
              <w:t>, Nausea,</w:t>
            </w:r>
          </w:p>
        </w:tc>
      </w:tr>
      <w:tr w:rsidR="00993DBF" w:rsidRPr="00700414"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Vomiting</w:t>
            </w:r>
            <w:r w:rsidR="00123017" w:rsidRPr="00906518">
              <w:rPr>
                <w:vertAlign w:val="superscript"/>
              </w:rPr>
              <w:t>◊◊</w:t>
            </w:r>
          </w:p>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5"/>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993DBF" w:rsidRPr="00700414" w:rsidRDefault="00993DBF" w:rsidP="00AB7A9E"/>
        </w:tc>
        <w:tc>
          <w:tcPr>
            <w:tcW w:w="220" w:type="dxa"/>
            <w:gridSpan w:val="3"/>
            <w:tcBorders>
              <w:bottom w:val="single" w:sz="8" w:space="0" w:color="auto"/>
            </w:tcBorders>
            <w:vAlign w:val="bottom"/>
          </w:tcPr>
          <w:p w:rsidR="00993DBF" w:rsidRPr="00700414" w:rsidRDefault="00993DBF" w:rsidP="00AB7A9E"/>
        </w:tc>
        <w:tc>
          <w:tcPr>
            <w:tcW w:w="280" w:type="dxa"/>
            <w:gridSpan w:val="3"/>
            <w:tcBorders>
              <w:bottom w:val="single" w:sz="8" w:space="0" w:color="auto"/>
            </w:tcBorders>
            <w:vAlign w:val="bottom"/>
          </w:tcPr>
          <w:p w:rsidR="00993DBF" w:rsidRPr="00700414" w:rsidRDefault="00993DBF" w:rsidP="00AB7A9E"/>
        </w:tc>
        <w:tc>
          <w:tcPr>
            <w:tcW w:w="1742" w:type="dxa"/>
            <w:tcBorders>
              <w:bottom w:val="single" w:sz="8" w:space="0" w:color="auto"/>
              <w:right w:val="single" w:sz="8" w:space="0" w:color="auto"/>
            </w:tcBorders>
            <w:vAlign w:val="bottom"/>
          </w:tcPr>
          <w:p w:rsidR="00993DBF" w:rsidRPr="00700414" w:rsidRDefault="00993DBF" w:rsidP="00AB7A9E"/>
        </w:tc>
      </w:tr>
      <w:tr w:rsidR="000E410D" w:rsidRPr="00700414" w:rsidTr="004273C8">
        <w:trPr>
          <w:trHeight w:val="217"/>
        </w:trPr>
        <w:tc>
          <w:tcPr>
            <w:tcW w:w="2058" w:type="dxa"/>
            <w:vMerge w:val="restart"/>
            <w:tcBorders>
              <w:left w:val="single" w:sz="8" w:space="0" w:color="auto"/>
              <w:right w:val="single" w:sz="8" w:space="0" w:color="auto"/>
            </w:tcBorders>
          </w:tcPr>
          <w:p w:rsidR="000E410D" w:rsidRPr="00700414" w:rsidRDefault="000E410D" w:rsidP="00AB7A9E">
            <w:pPr>
              <w:rPr>
                <w:b/>
              </w:rPr>
            </w:pPr>
            <w:r w:rsidRPr="00700414">
              <w:rPr>
                <w:b/>
              </w:rPr>
              <w:t>Hepatobiliary</w:t>
            </w:r>
          </w:p>
          <w:p w:rsidR="000E410D" w:rsidRPr="00700414" w:rsidRDefault="000E410D" w:rsidP="00AB7A9E">
            <w:pPr>
              <w:rPr>
                <w:b/>
              </w:rPr>
            </w:pPr>
            <w:r w:rsidRPr="00700414">
              <w:rPr>
                <w:b/>
              </w:rPr>
              <w:t>Disorders</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4273C8" w:rsidRDefault="000E410D" w:rsidP="00AB7A9E">
            <w:pPr>
              <w:rPr>
                <w:u w:val="single"/>
              </w:rPr>
            </w:pPr>
            <w:r w:rsidRPr="004273C8">
              <w:rPr>
                <w:u w:val="single"/>
              </w:rPr>
              <w:t>Very common</w:t>
            </w:r>
          </w:p>
          <w:p w:rsidR="000E410D" w:rsidRDefault="000E410D" w:rsidP="00AB7A9E">
            <w:r>
              <w:t>Alanine aminotransferase increased, Aspartate aminotransferase increased</w:t>
            </w:r>
          </w:p>
          <w:p w:rsidR="000E410D" w:rsidRDefault="000E410D" w:rsidP="00AB7A9E"/>
          <w:p w:rsidR="000E410D" w:rsidRPr="004273C8" w:rsidRDefault="000E410D" w:rsidP="00AB7A9E">
            <w:pPr>
              <w:rPr>
                <w:u w:val="single"/>
              </w:rPr>
            </w:pPr>
            <w:r w:rsidRPr="004273C8">
              <w:rPr>
                <w:u w:val="single"/>
              </w:rPr>
              <w:t>Common</w:t>
            </w:r>
          </w:p>
        </w:tc>
        <w:tc>
          <w:tcPr>
            <w:tcW w:w="65" w:type="dxa"/>
            <w:gridSpan w:val="2"/>
          </w:tcPr>
          <w:p w:rsidR="000E410D" w:rsidRPr="00E158EB" w:rsidRDefault="000E410D" w:rsidP="00AB7A9E">
            <w:pPr>
              <w:rPr>
                <w:u w:val="single"/>
              </w:rPr>
            </w:pPr>
          </w:p>
        </w:tc>
        <w:tc>
          <w:tcPr>
            <w:tcW w:w="3060" w:type="dxa"/>
            <w:gridSpan w:val="10"/>
            <w:vMerge w:val="restart"/>
            <w:tcBorders>
              <w:right w:val="single" w:sz="8" w:space="0" w:color="auto"/>
            </w:tcBorders>
          </w:tcPr>
          <w:p w:rsidR="000E410D" w:rsidRPr="00E158EB" w:rsidRDefault="000E410D" w:rsidP="00AB7A9E">
            <w:pPr>
              <w:rPr>
                <w:u w:val="single"/>
              </w:rPr>
            </w:pPr>
            <w:r w:rsidRPr="00E158EB">
              <w:rPr>
                <w:u w:val="single"/>
              </w:rPr>
              <w:t>Common</w:t>
            </w:r>
          </w:p>
          <w:p w:rsidR="000E410D" w:rsidRPr="00E158EB" w:rsidRDefault="000E410D" w:rsidP="00AB7A9E">
            <w:r w:rsidRPr="00E158EB">
              <w:t>Cholestasis</w:t>
            </w:r>
            <w:r>
              <w:rPr>
                <w:rFonts w:eastAsia="Times New Roman"/>
                <w:spacing w:val="-3"/>
                <w:position w:val="8"/>
                <w:sz w:val="14"/>
                <w:szCs w:val="14"/>
              </w:rPr>
              <w:t>◊</w:t>
            </w:r>
            <w:r w:rsidRPr="00E158EB">
              <w:t xml:space="preserve">, </w:t>
            </w:r>
            <w:r w:rsidRPr="000E410D">
              <w:t>Hepatotoxicity</w:t>
            </w:r>
            <w:r>
              <w:t>, Hepatocellular injury</w:t>
            </w:r>
            <w:r>
              <w:rPr>
                <w:rFonts w:eastAsia="Times New Roman"/>
                <w:spacing w:val="-3"/>
                <w:position w:val="8"/>
                <w:sz w:val="14"/>
                <w:szCs w:val="14"/>
              </w:rPr>
              <w:t>◊◊</w:t>
            </w:r>
            <w:r>
              <w:t xml:space="preserve">, Alanine aminotransferase increased, </w:t>
            </w:r>
            <w:r w:rsidRPr="00E158EB">
              <w:t>Abnormal liver</w:t>
            </w:r>
          </w:p>
          <w:p w:rsidR="000E410D" w:rsidRDefault="000E410D" w:rsidP="00AB7A9E">
            <w:r w:rsidRPr="00E158EB">
              <w:t>function tests</w:t>
            </w:r>
            <w:r>
              <w:rPr>
                <w:rFonts w:eastAsia="Times New Roman"/>
                <w:spacing w:val="-3"/>
                <w:position w:val="8"/>
                <w:sz w:val="14"/>
                <w:szCs w:val="14"/>
              </w:rPr>
              <w:t>◊</w:t>
            </w:r>
          </w:p>
          <w:p w:rsidR="000E410D" w:rsidRPr="00E158EB" w:rsidRDefault="000E410D" w:rsidP="00AB7A9E"/>
          <w:p w:rsidR="000E410D" w:rsidRPr="00E158EB" w:rsidRDefault="000E410D" w:rsidP="00AB7A9E">
            <w:pPr>
              <w:rPr>
                <w:u w:val="single"/>
              </w:rPr>
            </w:pPr>
            <w:r w:rsidRPr="00E158EB">
              <w:rPr>
                <w:u w:val="single"/>
              </w:rPr>
              <w:t>Uncommon</w:t>
            </w:r>
          </w:p>
          <w:p w:rsidR="000E410D" w:rsidRPr="00E158EB" w:rsidRDefault="000E410D" w:rsidP="00AB7A9E">
            <w:r w:rsidRPr="00E158EB">
              <w:t>Hepatic failure^</w:t>
            </w:r>
          </w:p>
        </w:tc>
      </w:tr>
      <w:tr w:rsidR="00506994" w:rsidRPr="00700414" w:rsidTr="004273C8">
        <w:trPr>
          <w:trHeight w:val="259"/>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Default="000E410D" w:rsidP="00AB7A9E">
            <w:r>
              <w:t>Hepatocellular injury</w:t>
            </w:r>
            <w:r>
              <w:rPr>
                <w:rFonts w:eastAsia="Times New Roman"/>
                <w:spacing w:val="-3"/>
                <w:position w:val="8"/>
                <w:sz w:val="14"/>
                <w:szCs w:val="14"/>
              </w:rPr>
              <w:t>◊◊</w:t>
            </w:r>
            <w:r>
              <w:t xml:space="preserve">, </w:t>
            </w:r>
            <w:r w:rsidR="00506994" w:rsidRPr="00700414">
              <w:t>Abnormal liver function tests</w:t>
            </w:r>
            <w:r w:rsidR="001F0EA4">
              <w:rPr>
                <w:rFonts w:eastAsia="Times New Roman"/>
                <w:spacing w:val="-3"/>
                <w:position w:val="8"/>
                <w:sz w:val="14"/>
                <w:szCs w:val="14"/>
              </w:rPr>
              <w:t>◊</w:t>
            </w:r>
            <w:r>
              <w:t>, Hyperbilirubinaemia</w:t>
            </w:r>
          </w:p>
          <w:p w:rsidR="00506994" w:rsidRPr="00700414" w:rsidRDefault="00506994" w:rsidP="00AB7A9E"/>
        </w:tc>
        <w:tc>
          <w:tcPr>
            <w:tcW w:w="65" w:type="dxa"/>
            <w:gridSpan w:val="2"/>
          </w:tcPr>
          <w:p w:rsidR="00506994" w:rsidRPr="00700414" w:rsidRDefault="00506994" w:rsidP="00AB7A9E"/>
        </w:tc>
        <w:tc>
          <w:tcPr>
            <w:tcW w:w="3060" w:type="dxa"/>
            <w:gridSpan w:val="10"/>
            <w:vMerge/>
            <w:tcBorders>
              <w:right w:val="single" w:sz="8" w:space="0" w:color="auto"/>
            </w:tcBorders>
          </w:tcPr>
          <w:p w:rsidR="00506994" w:rsidRPr="00700414" w:rsidRDefault="00506994" w:rsidP="00AB7A9E"/>
        </w:tc>
      </w:tr>
      <w:tr w:rsidR="00506994" w:rsidRPr="00700414" w:rsidTr="004273C8">
        <w:trPr>
          <w:trHeight w:val="228"/>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4273C8" w:rsidRDefault="00506994" w:rsidP="00AB7A9E">
            <w:pPr>
              <w:rPr>
                <w:u w:val="single"/>
              </w:rPr>
            </w:pPr>
          </w:p>
        </w:tc>
        <w:tc>
          <w:tcPr>
            <w:tcW w:w="1244" w:type="dxa"/>
            <w:gridSpan w:val="4"/>
            <w:vAlign w:val="bottom"/>
          </w:tcPr>
          <w:p w:rsidR="0073431D" w:rsidRPr="004273C8" w:rsidRDefault="00506994">
            <w:pPr>
              <w:ind w:right="76"/>
              <w:rPr>
                <w:u w:val="single"/>
              </w:rPr>
            </w:pPr>
            <w:r w:rsidRPr="004273C8">
              <w:rPr>
                <w:u w:val="single"/>
              </w:rPr>
              <w:t>Uncommon</w:t>
            </w:r>
          </w:p>
        </w:tc>
        <w:tc>
          <w:tcPr>
            <w:tcW w:w="3463" w:type="dxa"/>
            <w:gridSpan w:val="3"/>
            <w:tcBorders>
              <w:right w:val="single" w:sz="8" w:space="0" w:color="auto"/>
            </w:tcBorders>
            <w:vAlign w:val="bottom"/>
          </w:tcPr>
          <w:p w:rsidR="00506994" w:rsidRPr="00700414" w:rsidRDefault="00506994" w:rsidP="00AB7A9E"/>
        </w:tc>
        <w:tc>
          <w:tcPr>
            <w:tcW w:w="65" w:type="dxa"/>
            <w:gridSpan w:val="2"/>
            <w:vAlign w:val="bottom"/>
          </w:tcPr>
          <w:p w:rsidR="00506994" w:rsidRPr="00700414" w:rsidRDefault="00506994" w:rsidP="00AB7A9E"/>
        </w:tc>
        <w:tc>
          <w:tcPr>
            <w:tcW w:w="3060" w:type="dxa"/>
            <w:gridSpan w:val="10"/>
            <w:vMerge/>
            <w:tcBorders>
              <w:right w:val="single" w:sz="8" w:space="0" w:color="auto"/>
            </w:tcBorders>
            <w:vAlign w:val="bottom"/>
          </w:tcPr>
          <w:p w:rsidR="00506994" w:rsidRPr="00700414" w:rsidRDefault="00506994" w:rsidP="00AB7A9E"/>
        </w:tc>
      </w:tr>
      <w:tr w:rsidR="00506994" w:rsidRPr="00700414" w:rsidTr="004273C8">
        <w:trPr>
          <w:trHeight w:val="232"/>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Pr="00700414" w:rsidRDefault="00506994" w:rsidP="00AB7A9E">
            <w:r w:rsidRPr="00700414">
              <w:t>Hepatic failure^</w:t>
            </w:r>
          </w:p>
        </w:tc>
        <w:tc>
          <w:tcPr>
            <w:tcW w:w="65" w:type="dxa"/>
            <w:gridSpan w:val="2"/>
            <w:vAlign w:val="bottom"/>
          </w:tcPr>
          <w:p w:rsidR="00506994" w:rsidRPr="00700414" w:rsidRDefault="00506994" w:rsidP="00AB7A9E"/>
        </w:tc>
        <w:tc>
          <w:tcPr>
            <w:tcW w:w="3060" w:type="dxa"/>
            <w:gridSpan w:val="10"/>
            <w:vMerge/>
            <w:tcBorders>
              <w:right w:val="single" w:sz="8" w:space="0" w:color="auto"/>
            </w:tcBorders>
            <w:vAlign w:val="bottom"/>
          </w:tcPr>
          <w:p w:rsidR="00506994" w:rsidRPr="00700414" w:rsidRDefault="00506994" w:rsidP="00AB7A9E"/>
        </w:tc>
      </w:tr>
      <w:tr w:rsidR="00506994" w:rsidRPr="00700414" w:rsidTr="00A70D7A">
        <w:trPr>
          <w:trHeight w:val="259"/>
        </w:trPr>
        <w:tc>
          <w:tcPr>
            <w:tcW w:w="2058" w:type="dxa"/>
            <w:vMerge/>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00414" w:rsidRDefault="00506994" w:rsidP="00AB7A9E"/>
        </w:tc>
        <w:tc>
          <w:tcPr>
            <w:tcW w:w="1100" w:type="dxa"/>
            <w:gridSpan w:val="2"/>
            <w:tcBorders>
              <w:bottom w:val="single" w:sz="8" w:space="0" w:color="auto"/>
            </w:tcBorders>
            <w:vAlign w:val="bottom"/>
          </w:tcPr>
          <w:p w:rsidR="00506994" w:rsidRPr="00700414" w:rsidRDefault="00506994" w:rsidP="00AB7A9E"/>
        </w:tc>
        <w:tc>
          <w:tcPr>
            <w:tcW w:w="144" w:type="dxa"/>
            <w:gridSpan w:val="2"/>
            <w:tcBorders>
              <w:bottom w:val="single" w:sz="8" w:space="0" w:color="auto"/>
            </w:tcBorders>
            <w:vAlign w:val="bottom"/>
          </w:tcPr>
          <w:p w:rsidR="00506994" w:rsidRPr="00700414" w:rsidRDefault="00506994" w:rsidP="00AB7A9E"/>
        </w:tc>
        <w:tc>
          <w:tcPr>
            <w:tcW w:w="260" w:type="dxa"/>
            <w:gridSpan w:val="2"/>
            <w:tcBorders>
              <w:bottom w:val="single" w:sz="8" w:space="0" w:color="auto"/>
            </w:tcBorders>
            <w:vAlign w:val="bottom"/>
          </w:tcPr>
          <w:p w:rsidR="00506994" w:rsidRPr="00700414" w:rsidRDefault="00506994" w:rsidP="00AB7A9E"/>
        </w:tc>
        <w:tc>
          <w:tcPr>
            <w:tcW w:w="3203" w:type="dxa"/>
            <w:tcBorders>
              <w:bottom w:val="single" w:sz="8" w:space="0" w:color="auto"/>
              <w:right w:val="single" w:sz="8" w:space="0" w:color="auto"/>
            </w:tcBorders>
            <w:vAlign w:val="bottom"/>
          </w:tcPr>
          <w:p w:rsidR="00506994" w:rsidRPr="00700414" w:rsidRDefault="00506994" w:rsidP="00AB7A9E"/>
        </w:tc>
        <w:tc>
          <w:tcPr>
            <w:tcW w:w="65" w:type="dxa"/>
            <w:gridSpan w:val="2"/>
            <w:tcBorders>
              <w:bottom w:val="single" w:sz="8" w:space="0" w:color="auto"/>
            </w:tcBorders>
            <w:vAlign w:val="bottom"/>
          </w:tcPr>
          <w:p w:rsidR="00506994" w:rsidRPr="00700414" w:rsidRDefault="00506994" w:rsidP="00AB7A9E"/>
        </w:tc>
        <w:tc>
          <w:tcPr>
            <w:tcW w:w="3060" w:type="dxa"/>
            <w:gridSpan w:val="10"/>
            <w:vMerge/>
            <w:tcBorders>
              <w:bottom w:val="single" w:sz="8" w:space="0" w:color="auto"/>
              <w:right w:val="single" w:sz="8" w:space="0" w:color="auto"/>
            </w:tcBorders>
            <w:vAlign w:val="bottom"/>
          </w:tcPr>
          <w:p w:rsidR="00506994" w:rsidRPr="00700414" w:rsidRDefault="00506994" w:rsidP="00AB7A9E"/>
        </w:tc>
      </w:tr>
      <w:tr w:rsidR="000E410D" w:rsidRPr="00700414" w:rsidTr="000E410D">
        <w:trPr>
          <w:trHeight w:val="217"/>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Skin and</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700414" w:rsidRDefault="000E410D" w:rsidP="00AB7A9E">
            <w:pPr>
              <w:rPr>
                <w:u w:val="single"/>
              </w:rPr>
            </w:pPr>
            <w:r w:rsidRPr="00700414">
              <w:rPr>
                <w:u w:val="single"/>
              </w:rPr>
              <w:t>Very Common</w:t>
            </w:r>
          </w:p>
        </w:tc>
        <w:tc>
          <w:tcPr>
            <w:tcW w:w="65" w:type="dxa"/>
            <w:gridSpan w:val="2"/>
            <w:vAlign w:val="bottom"/>
          </w:tcPr>
          <w:p w:rsidR="000E410D" w:rsidRPr="00700414" w:rsidRDefault="000E410D" w:rsidP="00AB7A9E">
            <w:pPr>
              <w:rPr>
                <w:u w:val="single"/>
              </w:rPr>
            </w:pPr>
          </w:p>
        </w:tc>
        <w:tc>
          <w:tcPr>
            <w:tcW w:w="3060" w:type="dxa"/>
            <w:gridSpan w:val="10"/>
            <w:vMerge w:val="restart"/>
            <w:tcBorders>
              <w:right w:val="single" w:sz="8" w:space="0" w:color="auto"/>
            </w:tcBorders>
          </w:tcPr>
          <w:p w:rsidR="000E410D" w:rsidRPr="00700414" w:rsidRDefault="000E410D" w:rsidP="00AB7A9E">
            <w:pPr>
              <w:rPr>
                <w:u w:val="single"/>
              </w:rPr>
            </w:pPr>
            <w:r w:rsidRPr="00700414">
              <w:rPr>
                <w:u w:val="single"/>
              </w:rPr>
              <w:t>Common</w:t>
            </w:r>
          </w:p>
          <w:p w:rsidR="000E410D" w:rsidRDefault="000E410D" w:rsidP="00AB7A9E">
            <w:pPr>
              <w:rPr>
                <w:rFonts w:eastAsia="Times New Roman"/>
                <w:spacing w:val="-3"/>
                <w:position w:val="8"/>
                <w:sz w:val="14"/>
                <w:szCs w:val="14"/>
              </w:rPr>
            </w:pPr>
            <w:r w:rsidRPr="00700414">
              <w:t>Rashes</w:t>
            </w:r>
            <w:r>
              <w:rPr>
                <w:rFonts w:eastAsia="Times New Roman"/>
                <w:spacing w:val="-3"/>
                <w:position w:val="8"/>
                <w:sz w:val="14"/>
                <w:szCs w:val="14"/>
              </w:rPr>
              <w:t>◊◊</w:t>
            </w:r>
          </w:p>
          <w:p w:rsidR="000E410D" w:rsidRPr="00700414" w:rsidRDefault="000E410D" w:rsidP="00AB7A9E"/>
          <w:p w:rsidR="000E410D" w:rsidRPr="00E57B97" w:rsidRDefault="000E410D" w:rsidP="00AB7A9E">
            <w:pPr>
              <w:rPr>
                <w:u w:val="single"/>
              </w:rPr>
            </w:pPr>
            <w:r w:rsidRPr="00E57B97">
              <w:rPr>
                <w:u w:val="single"/>
              </w:rPr>
              <w:t>Uncommon</w:t>
            </w:r>
          </w:p>
          <w:p w:rsidR="000E410D" w:rsidRPr="00700414" w:rsidRDefault="000E410D" w:rsidP="00AB7A9E">
            <w:pPr>
              <w:rPr>
                <w:u w:val="single"/>
              </w:rPr>
            </w:pPr>
            <w:r>
              <w:t>Drug rash with eosinophilia and systemic symptoms</w:t>
            </w:r>
            <w:r>
              <w:rPr>
                <w:rFonts w:eastAsia="Times New Roman"/>
                <w:spacing w:val="-3"/>
                <w:position w:val="8"/>
                <w:sz w:val="14"/>
                <w:szCs w:val="14"/>
              </w:rPr>
              <w:t>◊◊</w:t>
            </w:r>
          </w:p>
        </w:tc>
      </w:tr>
      <w:tr w:rsidR="000E410D" w:rsidRPr="00700414" w:rsidTr="000E410D">
        <w:trPr>
          <w:trHeight w:val="259"/>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Subcutaneous</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Default="000E410D" w:rsidP="00AB7A9E">
            <w:r w:rsidRPr="00700414">
              <w:t>Rashes</w:t>
            </w:r>
            <w:r>
              <w:rPr>
                <w:rFonts w:eastAsia="Times New Roman"/>
                <w:spacing w:val="-3"/>
                <w:position w:val="8"/>
                <w:sz w:val="14"/>
                <w:szCs w:val="14"/>
              </w:rPr>
              <w:t>◊◊</w:t>
            </w:r>
            <w:r w:rsidRPr="00700414">
              <w:t>, Pruritus</w:t>
            </w:r>
          </w:p>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28"/>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Tissue Disorders</w:t>
            </w:r>
          </w:p>
        </w:tc>
        <w:tc>
          <w:tcPr>
            <w:tcW w:w="100" w:type="dxa"/>
            <w:gridSpan w:val="2"/>
            <w:vAlign w:val="bottom"/>
          </w:tcPr>
          <w:p w:rsidR="000E410D" w:rsidRPr="004273C8" w:rsidRDefault="000E410D" w:rsidP="00AB7A9E">
            <w:pPr>
              <w:rPr>
                <w:u w:val="single"/>
              </w:rPr>
            </w:pPr>
          </w:p>
        </w:tc>
        <w:tc>
          <w:tcPr>
            <w:tcW w:w="1100" w:type="dxa"/>
            <w:gridSpan w:val="2"/>
            <w:vAlign w:val="bottom"/>
          </w:tcPr>
          <w:p w:rsidR="000E410D" w:rsidRPr="004273C8" w:rsidRDefault="000E410D" w:rsidP="00AB7A9E">
            <w:pPr>
              <w:rPr>
                <w:u w:val="single"/>
              </w:rPr>
            </w:pPr>
            <w:r w:rsidRPr="004273C8">
              <w:rPr>
                <w:u w:val="single"/>
              </w:rPr>
              <w:t>Common</w:t>
            </w:r>
          </w:p>
        </w:tc>
        <w:tc>
          <w:tcPr>
            <w:tcW w:w="3607" w:type="dxa"/>
            <w:gridSpan w:val="5"/>
            <w:tcBorders>
              <w:right w:val="single" w:sz="8" w:space="0" w:color="auto"/>
            </w:tcBorders>
            <w:vAlign w:val="bottom"/>
          </w:tcPr>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4"/>
        </w:trPr>
        <w:tc>
          <w:tcPr>
            <w:tcW w:w="2058" w:type="dxa"/>
            <w:tcBorders>
              <w:left w:val="single" w:sz="8" w:space="0" w:color="auto"/>
              <w:right w:val="single" w:sz="8" w:space="0" w:color="auto"/>
            </w:tcBorders>
            <w:vAlign w:val="bottom"/>
          </w:tcPr>
          <w:p w:rsidR="000E410D" w:rsidRPr="00700414" w:rsidRDefault="000E410D" w:rsidP="00AB7A9E"/>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700414" w:rsidRDefault="000E410D" w:rsidP="00AB7A9E">
            <w:r w:rsidRPr="00700414">
              <w:t>Urticaria, Hyperhidrosis, Dry skin, Skin</w:t>
            </w:r>
          </w:p>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4"/>
        </w:trPr>
        <w:tc>
          <w:tcPr>
            <w:tcW w:w="2058" w:type="dxa"/>
            <w:tcBorders>
              <w:left w:val="single" w:sz="8" w:space="0" w:color="auto"/>
              <w:right w:val="single" w:sz="8" w:space="0" w:color="auto"/>
            </w:tcBorders>
            <w:vAlign w:val="bottom"/>
          </w:tcPr>
          <w:p w:rsidR="000E410D" w:rsidRPr="00700414" w:rsidRDefault="000E410D" w:rsidP="00AB7A9E"/>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Default="000E410D" w:rsidP="00AB7A9E">
            <w:r w:rsidRPr="00700414">
              <w:t>hyperpigmentation, Eczema, Erythema</w:t>
            </w:r>
          </w:p>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31"/>
        </w:trPr>
        <w:tc>
          <w:tcPr>
            <w:tcW w:w="2058" w:type="dxa"/>
            <w:tcBorders>
              <w:left w:val="single" w:sz="8" w:space="0" w:color="auto"/>
              <w:right w:val="single" w:sz="8" w:space="0" w:color="auto"/>
            </w:tcBorders>
            <w:vAlign w:val="bottom"/>
          </w:tcPr>
          <w:p w:rsidR="000E410D" w:rsidRPr="00700414" w:rsidRDefault="000E410D" w:rsidP="00AB7A9E">
            <w:pPr>
              <w:rPr>
                <w:b/>
              </w:rPr>
            </w:pPr>
          </w:p>
        </w:tc>
        <w:tc>
          <w:tcPr>
            <w:tcW w:w="100" w:type="dxa"/>
            <w:gridSpan w:val="2"/>
            <w:vAlign w:val="bottom"/>
          </w:tcPr>
          <w:p w:rsidR="000E410D" w:rsidRPr="00700414" w:rsidRDefault="000E410D" w:rsidP="00AB7A9E"/>
        </w:tc>
        <w:tc>
          <w:tcPr>
            <w:tcW w:w="1244" w:type="dxa"/>
            <w:gridSpan w:val="4"/>
            <w:vAlign w:val="bottom"/>
          </w:tcPr>
          <w:p w:rsidR="000E410D" w:rsidRPr="004273C8" w:rsidRDefault="000E410D" w:rsidP="00AB7A9E">
            <w:pPr>
              <w:rPr>
                <w:u w:val="single"/>
              </w:rPr>
            </w:pPr>
            <w:r w:rsidRPr="004273C8">
              <w:rPr>
                <w:u w:val="single"/>
              </w:rPr>
              <w:t>Uncommon</w:t>
            </w:r>
          </w:p>
        </w:tc>
        <w:tc>
          <w:tcPr>
            <w:tcW w:w="3463" w:type="dxa"/>
            <w:gridSpan w:val="3"/>
            <w:tcBorders>
              <w:right w:val="single" w:sz="8" w:space="0" w:color="auto"/>
            </w:tcBorders>
            <w:vAlign w:val="bottom"/>
          </w:tcPr>
          <w:p w:rsidR="000E410D" w:rsidRPr="000E410D"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9"/>
        </w:trPr>
        <w:tc>
          <w:tcPr>
            <w:tcW w:w="2058" w:type="dxa"/>
            <w:tcBorders>
              <w:left w:val="single" w:sz="8" w:space="0" w:color="auto"/>
              <w:bottom w:val="single" w:sz="8" w:space="0" w:color="auto"/>
              <w:right w:val="single" w:sz="8" w:space="0" w:color="auto"/>
            </w:tcBorders>
            <w:vAlign w:val="bottom"/>
          </w:tcPr>
          <w:p w:rsidR="000E410D" w:rsidRPr="00700414" w:rsidRDefault="000E410D" w:rsidP="00AB7A9E">
            <w:pPr>
              <w:rPr>
                <w:b/>
              </w:rPr>
            </w:pPr>
          </w:p>
        </w:tc>
        <w:tc>
          <w:tcPr>
            <w:tcW w:w="100" w:type="dxa"/>
            <w:gridSpan w:val="2"/>
            <w:tcBorders>
              <w:bottom w:val="single" w:sz="8" w:space="0" w:color="auto"/>
            </w:tcBorders>
            <w:vAlign w:val="bottom"/>
          </w:tcPr>
          <w:p w:rsidR="000E410D" w:rsidRPr="00700414" w:rsidRDefault="000E410D" w:rsidP="00AB7A9E"/>
        </w:tc>
        <w:tc>
          <w:tcPr>
            <w:tcW w:w="4707" w:type="dxa"/>
            <w:gridSpan w:val="7"/>
            <w:tcBorders>
              <w:bottom w:val="single" w:sz="8" w:space="0" w:color="auto"/>
              <w:right w:val="single" w:sz="8" w:space="0" w:color="auto"/>
            </w:tcBorders>
            <w:vAlign w:val="bottom"/>
          </w:tcPr>
          <w:p w:rsidR="000E410D" w:rsidRPr="00700414" w:rsidRDefault="000E410D" w:rsidP="00AB7A9E">
            <w:r>
              <w:t>Drug rash with eosinophilia and systemic symptoms</w:t>
            </w:r>
            <w:r>
              <w:rPr>
                <w:rFonts w:eastAsia="Times New Roman"/>
                <w:spacing w:val="-3"/>
                <w:position w:val="8"/>
                <w:sz w:val="14"/>
                <w:szCs w:val="14"/>
              </w:rPr>
              <w:t>◊◊</w:t>
            </w:r>
            <w:r>
              <w:t>,S</w:t>
            </w:r>
            <w:r w:rsidRPr="00700414">
              <w:t>kin discolouration, Photosensitivity reaction</w:t>
            </w:r>
          </w:p>
        </w:tc>
        <w:tc>
          <w:tcPr>
            <w:tcW w:w="65" w:type="dxa"/>
            <w:gridSpan w:val="2"/>
            <w:tcBorders>
              <w:bottom w:val="single" w:sz="8" w:space="0" w:color="auto"/>
            </w:tcBorders>
            <w:vAlign w:val="bottom"/>
          </w:tcPr>
          <w:p w:rsidR="000E410D" w:rsidRPr="00700414" w:rsidRDefault="000E410D" w:rsidP="00AB7A9E"/>
        </w:tc>
        <w:tc>
          <w:tcPr>
            <w:tcW w:w="3060" w:type="dxa"/>
            <w:gridSpan w:val="10"/>
            <w:vMerge/>
            <w:tcBorders>
              <w:bottom w:val="single" w:sz="8" w:space="0" w:color="auto"/>
              <w:right w:val="single" w:sz="8" w:space="0" w:color="auto"/>
            </w:tcBorders>
            <w:vAlign w:val="bottom"/>
          </w:tcPr>
          <w:p w:rsidR="000E410D" w:rsidRPr="00700414" w:rsidRDefault="000E410D" w:rsidP="00AB7A9E"/>
        </w:tc>
      </w:tr>
      <w:tr w:rsidR="00A70D7A" w:rsidRPr="00700414" w:rsidTr="00A70D7A">
        <w:trPr>
          <w:trHeight w:val="217"/>
        </w:trPr>
        <w:tc>
          <w:tcPr>
            <w:tcW w:w="2058" w:type="dxa"/>
            <w:vMerge w:val="restart"/>
            <w:tcBorders>
              <w:left w:val="single" w:sz="8" w:space="0" w:color="auto"/>
              <w:right w:val="single" w:sz="8" w:space="0" w:color="auto"/>
            </w:tcBorders>
          </w:tcPr>
          <w:p w:rsidR="00A70D7A" w:rsidRPr="00700414" w:rsidRDefault="00A70D7A" w:rsidP="00A70D7A">
            <w:pPr>
              <w:rPr>
                <w:b/>
              </w:rPr>
            </w:pPr>
            <w:r w:rsidRPr="00700414">
              <w:rPr>
                <w:b/>
              </w:rPr>
              <w:t>Musculoskeletal</w:t>
            </w:r>
          </w:p>
          <w:p w:rsidR="00A70D7A" w:rsidRPr="00700414" w:rsidRDefault="00A70D7A" w:rsidP="00A70D7A">
            <w:pPr>
              <w:rPr>
                <w:b/>
              </w:rPr>
            </w:pPr>
            <w:r w:rsidRPr="00700414">
              <w:rPr>
                <w:b/>
              </w:rPr>
              <w:t>and Connective</w:t>
            </w:r>
          </w:p>
          <w:p w:rsidR="00A70D7A" w:rsidRPr="00700414" w:rsidRDefault="00A70D7A" w:rsidP="00A70D7A">
            <w:pPr>
              <w:rPr>
                <w:b/>
              </w:rPr>
            </w:pPr>
            <w:r w:rsidRPr="00700414">
              <w:rPr>
                <w:b/>
              </w:rPr>
              <w:t>Tissue Disorders</w:t>
            </w:r>
          </w:p>
        </w:tc>
        <w:tc>
          <w:tcPr>
            <w:tcW w:w="100" w:type="dxa"/>
            <w:gridSpan w:val="2"/>
          </w:tcPr>
          <w:p w:rsidR="00A70D7A" w:rsidRPr="00700414" w:rsidRDefault="00A70D7A" w:rsidP="00A70D7A"/>
        </w:tc>
        <w:tc>
          <w:tcPr>
            <w:tcW w:w="4707" w:type="dxa"/>
            <w:gridSpan w:val="7"/>
            <w:vMerge w:val="restart"/>
            <w:tcBorders>
              <w:right w:val="single" w:sz="8" w:space="0" w:color="auto"/>
            </w:tcBorders>
          </w:tcPr>
          <w:p w:rsidR="00A70D7A" w:rsidRPr="00700414" w:rsidRDefault="00A70D7A" w:rsidP="00A70D7A">
            <w:pPr>
              <w:rPr>
                <w:u w:val="single"/>
              </w:rPr>
            </w:pPr>
            <w:r w:rsidRPr="00700414">
              <w:rPr>
                <w:u w:val="single"/>
              </w:rPr>
              <w:t>Very Common</w:t>
            </w:r>
          </w:p>
          <w:p w:rsidR="00A70D7A" w:rsidRPr="00700414" w:rsidRDefault="000E410D" w:rsidP="00A70D7A">
            <w:r>
              <w:t>Muscular Weakness</w:t>
            </w:r>
            <w:r>
              <w:rPr>
                <w:rFonts w:eastAsia="Times New Roman"/>
                <w:spacing w:val="-3"/>
                <w:position w:val="8"/>
                <w:sz w:val="14"/>
                <w:szCs w:val="14"/>
              </w:rPr>
              <w:t>◊◊</w:t>
            </w:r>
            <w:r>
              <w:t>,</w:t>
            </w:r>
            <w:r w:rsidR="00A70D7A" w:rsidRPr="00700414">
              <w:t>Muscle spasms, Bone pain</w:t>
            </w:r>
            <w:r w:rsidR="00A70D7A">
              <w:rPr>
                <w:rFonts w:eastAsia="Times New Roman"/>
                <w:spacing w:val="-3"/>
                <w:position w:val="8"/>
                <w:sz w:val="14"/>
                <w:szCs w:val="14"/>
              </w:rPr>
              <w:t>◊</w:t>
            </w:r>
            <w:r w:rsidR="00A70D7A" w:rsidRPr="00700414">
              <w:t>,</w:t>
            </w:r>
          </w:p>
          <w:p w:rsidR="00A70D7A" w:rsidRPr="00700414" w:rsidRDefault="00A70D7A" w:rsidP="00A70D7A">
            <w:r w:rsidRPr="00700414">
              <w:t>Musculoskeletal and connective tissue pain and</w:t>
            </w:r>
          </w:p>
          <w:p w:rsidR="00A70D7A" w:rsidRDefault="0039205D" w:rsidP="00A70D7A">
            <w:pPr>
              <w:rPr>
                <w:rFonts w:eastAsia="Times New Roman"/>
                <w:spacing w:val="-3"/>
                <w:position w:val="8"/>
                <w:sz w:val="14"/>
                <w:szCs w:val="14"/>
              </w:rPr>
            </w:pPr>
            <w:r>
              <w:t>d</w:t>
            </w:r>
            <w:r w:rsidR="00A70D7A" w:rsidRPr="00700414">
              <w:t>iscomfort</w:t>
            </w:r>
            <w:r w:rsidR="00A82EB2">
              <w:t xml:space="preserve"> (including back pain</w:t>
            </w:r>
            <w:r w:rsidR="00A82EB2">
              <w:rPr>
                <w:rFonts w:eastAsia="Times New Roman"/>
                <w:spacing w:val="-3"/>
                <w:position w:val="8"/>
                <w:sz w:val="14"/>
                <w:szCs w:val="14"/>
              </w:rPr>
              <w:t>◊</w:t>
            </w:r>
            <w:r w:rsidR="00971C48">
              <w:rPr>
                <w:rFonts w:eastAsia="Times New Roman"/>
                <w:spacing w:val="-3"/>
                <w:position w:val="8"/>
                <w:sz w:val="14"/>
                <w:szCs w:val="14"/>
              </w:rPr>
              <w:t>,◊◊</w:t>
            </w:r>
            <w:r w:rsidR="00971C48">
              <w:t>)</w:t>
            </w:r>
            <w:r w:rsidR="00A70D7A" w:rsidRPr="00A82EB2">
              <w:t>,</w:t>
            </w:r>
            <w:r w:rsidR="00971C48">
              <w:t xml:space="preserve"> Pain in extremity, Myalgia, </w:t>
            </w:r>
            <w:r w:rsidR="00A70D7A" w:rsidRPr="00700414">
              <w:t>Arthralgia</w:t>
            </w:r>
            <w:r w:rsidR="00A70D7A">
              <w:rPr>
                <w:rFonts w:eastAsia="Times New Roman"/>
                <w:spacing w:val="-3"/>
                <w:position w:val="8"/>
                <w:sz w:val="14"/>
                <w:szCs w:val="14"/>
              </w:rPr>
              <w:t>◊</w:t>
            </w:r>
          </w:p>
          <w:p w:rsidR="00A82EB2" w:rsidRDefault="00A82EB2" w:rsidP="00A70D7A"/>
          <w:p w:rsidR="00D92917" w:rsidRDefault="008A0979" w:rsidP="00971C48">
            <w:r w:rsidRPr="008A0979">
              <w:rPr>
                <w:u w:val="single"/>
              </w:rPr>
              <w:t>C</w:t>
            </w:r>
            <w:r w:rsidR="00971C48">
              <w:rPr>
                <w:u w:val="single"/>
              </w:rPr>
              <w:t>om</w:t>
            </w:r>
            <w:r w:rsidRPr="008A0979">
              <w:rPr>
                <w:u w:val="single"/>
              </w:rPr>
              <w:t>mon</w:t>
            </w:r>
            <w:r w:rsidR="00A70D7A" w:rsidRPr="00700414">
              <w:t xml:space="preserve"> </w:t>
            </w:r>
          </w:p>
          <w:p w:rsidR="00A70D7A" w:rsidRPr="00700414" w:rsidRDefault="00A70D7A" w:rsidP="00971C48">
            <w:pPr>
              <w:rPr>
                <w:u w:val="single"/>
              </w:rPr>
            </w:pPr>
            <w:r w:rsidRPr="00700414">
              <w:t>Joint swelling</w:t>
            </w:r>
          </w:p>
        </w:tc>
        <w:tc>
          <w:tcPr>
            <w:tcW w:w="65" w:type="dxa"/>
            <w:gridSpan w:val="2"/>
            <w:vAlign w:val="bottom"/>
          </w:tcPr>
          <w:p w:rsidR="00A70D7A" w:rsidRPr="00700414" w:rsidRDefault="00A70D7A" w:rsidP="00AB7A9E">
            <w:pPr>
              <w:rPr>
                <w:u w:val="single"/>
              </w:rPr>
            </w:pPr>
          </w:p>
        </w:tc>
        <w:tc>
          <w:tcPr>
            <w:tcW w:w="3060" w:type="dxa"/>
            <w:gridSpan w:val="10"/>
            <w:tcBorders>
              <w:right w:val="single" w:sz="8" w:space="0" w:color="auto"/>
            </w:tcBorders>
            <w:vAlign w:val="bottom"/>
          </w:tcPr>
          <w:p w:rsidR="00A70D7A" w:rsidRPr="00700414" w:rsidRDefault="00A70D7A" w:rsidP="00AB7A9E">
            <w:pPr>
              <w:rPr>
                <w:u w:val="single"/>
              </w:rPr>
            </w:pPr>
            <w:r w:rsidRPr="00700414">
              <w:rPr>
                <w:u w:val="single"/>
              </w:rPr>
              <w:t>Common</w:t>
            </w:r>
          </w:p>
        </w:tc>
      </w:tr>
      <w:tr w:rsidR="00A70D7A" w:rsidRPr="00700414" w:rsidTr="00A70D7A">
        <w:trPr>
          <w:trHeight w:val="259"/>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3060" w:type="dxa"/>
            <w:gridSpan w:val="10"/>
            <w:tcBorders>
              <w:right w:val="single" w:sz="8" w:space="0" w:color="auto"/>
            </w:tcBorders>
            <w:vAlign w:val="bottom"/>
          </w:tcPr>
          <w:p w:rsidR="00A70D7A" w:rsidRPr="00700414" w:rsidRDefault="00A70D7A" w:rsidP="00A70D7A">
            <w:r w:rsidRPr="00700414">
              <w:t>Muscular weakness, Bone pain</w:t>
            </w:r>
            <w:r>
              <w:rPr>
                <w:rFonts w:eastAsia="Times New Roman"/>
                <w:spacing w:val="-3"/>
                <w:position w:val="8"/>
                <w:sz w:val="14"/>
                <w:szCs w:val="14"/>
              </w:rPr>
              <w:t>◊</w:t>
            </w:r>
            <w:r>
              <w:rPr>
                <w:rFonts w:eastAsia="Times New Roman"/>
                <w:spacing w:val="-1"/>
              </w:rPr>
              <w:t>, Musculoskeletal</w:t>
            </w:r>
            <w:r>
              <w:rPr>
                <w:rFonts w:eastAsia="Times New Roman"/>
                <w:spacing w:val="-2"/>
              </w:rPr>
              <w:t xml:space="preserve"> </w:t>
            </w:r>
            <w:r>
              <w:rPr>
                <w:rFonts w:eastAsia="Times New Roman"/>
              </w:rPr>
              <w:t xml:space="preserve">and </w:t>
            </w:r>
            <w:r>
              <w:rPr>
                <w:rFonts w:eastAsia="Times New Roman"/>
                <w:spacing w:val="-1"/>
              </w:rPr>
              <w:t>connective</w:t>
            </w:r>
            <w:r>
              <w:rPr>
                <w:rFonts w:eastAsia="Times New Roman"/>
              </w:rPr>
              <w:t xml:space="preserve"> </w:t>
            </w:r>
            <w:r>
              <w:rPr>
                <w:rFonts w:eastAsia="Times New Roman"/>
                <w:spacing w:val="-1"/>
              </w:rPr>
              <w:t>tissue</w:t>
            </w:r>
            <w:r>
              <w:rPr>
                <w:rFonts w:eastAsia="Times New Roman"/>
              </w:rPr>
              <w:t xml:space="preserve"> </w:t>
            </w:r>
            <w:r>
              <w:rPr>
                <w:rFonts w:eastAsia="Times New Roman"/>
                <w:spacing w:val="-1"/>
              </w:rPr>
              <w:t>pain</w:t>
            </w:r>
            <w:r>
              <w:rPr>
                <w:rFonts w:eastAsia="Times New Roman"/>
                <w:spacing w:val="-3"/>
              </w:rPr>
              <w:t xml:space="preserve"> </w:t>
            </w:r>
            <w:r>
              <w:rPr>
                <w:rFonts w:eastAsia="Times New Roman"/>
              </w:rPr>
              <w:t>and</w:t>
            </w:r>
            <w:r>
              <w:rPr>
                <w:rFonts w:eastAsia="Times New Roman"/>
                <w:spacing w:val="29"/>
              </w:rPr>
              <w:t xml:space="preserve"> </w:t>
            </w:r>
            <w:r>
              <w:rPr>
                <w:rFonts w:eastAsia="Times New Roman"/>
                <w:spacing w:val="-1"/>
              </w:rPr>
              <w:t>discomfort</w:t>
            </w:r>
            <w:r>
              <w:rPr>
                <w:rFonts w:eastAsia="Times New Roman"/>
                <w:spacing w:val="-17"/>
              </w:rPr>
              <w:t xml:space="preserve"> </w:t>
            </w:r>
            <w:r>
              <w:rPr>
                <w:rFonts w:eastAsia="Times New Roman"/>
                <w:spacing w:val="-1"/>
              </w:rPr>
              <w:t>(including</w:t>
            </w:r>
            <w:r>
              <w:rPr>
                <w:rFonts w:eastAsia="Times New Roman"/>
                <w:spacing w:val="-18"/>
              </w:rPr>
              <w:t xml:space="preserve"> </w:t>
            </w:r>
            <w:r>
              <w:rPr>
                <w:rFonts w:eastAsia="Times New Roman"/>
              </w:rPr>
              <w:t>back</w:t>
            </w:r>
            <w:r>
              <w:rPr>
                <w:rFonts w:eastAsia="Times New Roman"/>
                <w:spacing w:val="-18"/>
              </w:rPr>
              <w:t xml:space="preserve"> </w:t>
            </w:r>
            <w:r>
              <w:rPr>
                <w:rFonts w:eastAsia="Times New Roman"/>
                <w:spacing w:val="-1"/>
              </w:rPr>
              <w:t>pain</w:t>
            </w:r>
            <w:r>
              <w:rPr>
                <w:rFonts w:eastAsia="Times New Roman"/>
                <w:spacing w:val="-3"/>
                <w:position w:val="8"/>
                <w:sz w:val="14"/>
                <w:szCs w:val="14"/>
              </w:rPr>
              <w:t>◊</w:t>
            </w:r>
            <w:r>
              <w:rPr>
                <w:rFonts w:eastAsia="Times New Roman"/>
                <w:spacing w:val="-1"/>
              </w:rPr>
              <w:t>)</w:t>
            </w:r>
          </w:p>
        </w:tc>
      </w:tr>
      <w:tr w:rsidR="00A70D7A" w:rsidRPr="00700414" w:rsidTr="00A70D7A">
        <w:trPr>
          <w:trHeight w:val="228"/>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1038" w:type="dxa"/>
            <w:gridSpan w:val="6"/>
            <w:tcBorders>
              <w:bottom w:val="single" w:sz="8" w:space="0" w:color="auto"/>
            </w:tcBorders>
            <w:vAlign w:val="bottom"/>
          </w:tcPr>
          <w:p w:rsidR="00971C48" w:rsidRDefault="00971C48">
            <w:pPr>
              <w:ind w:right="-36"/>
            </w:pPr>
          </w:p>
          <w:p w:rsidR="0073431D" w:rsidRDefault="00A70D7A">
            <w:pPr>
              <w:ind w:right="-36"/>
            </w:pPr>
            <w:r w:rsidRPr="00700414">
              <w:t>Uncommon</w:t>
            </w:r>
          </w:p>
        </w:tc>
        <w:tc>
          <w:tcPr>
            <w:tcW w:w="2022" w:type="dxa"/>
            <w:gridSpan w:val="4"/>
            <w:tcBorders>
              <w:right w:val="single" w:sz="8" w:space="0" w:color="auto"/>
            </w:tcBorders>
            <w:vAlign w:val="bottom"/>
          </w:tcPr>
          <w:p w:rsidR="00A70D7A" w:rsidRPr="00700414" w:rsidRDefault="00A70D7A" w:rsidP="00AB7A9E"/>
        </w:tc>
      </w:tr>
      <w:tr w:rsidR="00A70D7A" w:rsidRPr="00700414" w:rsidTr="00A70D7A">
        <w:trPr>
          <w:trHeight w:val="254"/>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3060" w:type="dxa"/>
            <w:gridSpan w:val="10"/>
            <w:tcBorders>
              <w:right w:val="single" w:sz="8" w:space="0" w:color="auto"/>
            </w:tcBorders>
            <w:vAlign w:val="bottom"/>
          </w:tcPr>
          <w:p w:rsidR="00A70D7A" w:rsidRPr="00700414" w:rsidRDefault="00A70D7A" w:rsidP="00AB7A9E">
            <w:r w:rsidRPr="00700414">
              <w:t>Joint swelling</w:t>
            </w:r>
          </w:p>
        </w:tc>
      </w:tr>
      <w:tr w:rsidR="00A70D7A" w:rsidRPr="00700414" w:rsidTr="00A70D7A">
        <w:trPr>
          <w:trHeight w:val="232"/>
        </w:trPr>
        <w:tc>
          <w:tcPr>
            <w:tcW w:w="2058" w:type="dxa"/>
            <w:tcBorders>
              <w:left w:val="single" w:sz="8" w:space="0" w:color="auto"/>
              <w:right w:val="single" w:sz="8" w:space="0" w:color="auto"/>
            </w:tcBorders>
            <w:vAlign w:val="bottom"/>
          </w:tcPr>
          <w:p w:rsidR="00A70D7A" w:rsidRPr="00700414" w:rsidRDefault="00A70D7A" w:rsidP="00AB7A9E"/>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tcBorders>
              <w:left w:val="single" w:sz="8" w:space="0" w:color="auto"/>
            </w:tcBorders>
            <w:vAlign w:val="bottom"/>
          </w:tcPr>
          <w:p w:rsidR="00A70D7A" w:rsidRPr="00700414" w:rsidRDefault="00A70D7A" w:rsidP="00AB7A9E"/>
        </w:tc>
        <w:tc>
          <w:tcPr>
            <w:tcW w:w="818" w:type="dxa"/>
            <w:gridSpan w:val="3"/>
            <w:vAlign w:val="bottom"/>
          </w:tcPr>
          <w:p w:rsidR="00A70D7A" w:rsidRPr="00700414" w:rsidRDefault="00A70D7A" w:rsidP="00AB7A9E"/>
        </w:tc>
        <w:tc>
          <w:tcPr>
            <w:tcW w:w="220" w:type="dxa"/>
            <w:gridSpan w:val="3"/>
            <w:vAlign w:val="bottom"/>
          </w:tcPr>
          <w:p w:rsidR="00A70D7A" w:rsidRPr="00700414" w:rsidRDefault="00A70D7A" w:rsidP="00AB7A9E"/>
        </w:tc>
        <w:tc>
          <w:tcPr>
            <w:tcW w:w="280" w:type="dxa"/>
            <w:gridSpan w:val="3"/>
            <w:vAlign w:val="bottom"/>
          </w:tcPr>
          <w:p w:rsidR="00A70D7A" w:rsidRPr="00700414" w:rsidRDefault="00A70D7A" w:rsidP="00AB7A9E"/>
        </w:tc>
        <w:tc>
          <w:tcPr>
            <w:tcW w:w="1742" w:type="dxa"/>
            <w:tcBorders>
              <w:right w:val="single" w:sz="8" w:space="0" w:color="auto"/>
            </w:tcBorders>
            <w:vAlign w:val="bottom"/>
          </w:tcPr>
          <w:p w:rsidR="00A70D7A" w:rsidRPr="00700414" w:rsidRDefault="00A70D7A" w:rsidP="00AB7A9E"/>
        </w:tc>
      </w:tr>
      <w:tr w:rsidR="00A70D7A" w:rsidRPr="00700414" w:rsidTr="00A70D7A">
        <w:trPr>
          <w:trHeight w:val="259"/>
        </w:trPr>
        <w:tc>
          <w:tcPr>
            <w:tcW w:w="2058" w:type="dxa"/>
            <w:tcBorders>
              <w:left w:val="single" w:sz="8" w:space="0" w:color="auto"/>
              <w:bottom w:val="single" w:sz="8" w:space="0" w:color="auto"/>
              <w:right w:val="single" w:sz="8" w:space="0" w:color="auto"/>
            </w:tcBorders>
            <w:vAlign w:val="bottom"/>
          </w:tcPr>
          <w:p w:rsidR="00A70D7A" w:rsidRPr="00700414" w:rsidRDefault="00A70D7A" w:rsidP="00AB7A9E"/>
        </w:tc>
        <w:tc>
          <w:tcPr>
            <w:tcW w:w="100" w:type="dxa"/>
            <w:gridSpan w:val="2"/>
            <w:tcBorders>
              <w:bottom w:val="single" w:sz="8" w:space="0" w:color="auto"/>
            </w:tcBorders>
            <w:vAlign w:val="bottom"/>
          </w:tcPr>
          <w:p w:rsidR="00A70D7A" w:rsidRPr="00700414" w:rsidRDefault="00A70D7A" w:rsidP="00AB7A9E"/>
        </w:tc>
        <w:tc>
          <w:tcPr>
            <w:tcW w:w="4707" w:type="dxa"/>
            <w:gridSpan w:val="7"/>
            <w:vMerge/>
            <w:tcBorders>
              <w:bottom w:val="single" w:sz="8" w:space="0" w:color="auto"/>
              <w:right w:val="single" w:sz="8" w:space="0" w:color="auto"/>
            </w:tcBorders>
            <w:vAlign w:val="bottom"/>
          </w:tcPr>
          <w:p w:rsidR="00A70D7A" w:rsidRPr="00700414" w:rsidRDefault="00A70D7A" w:rsidP="00AB7A9E"/>
        </w:tc>
        <w:tc>
          <w:tcPr>
            <w:tcW w:w="65" w:type="dxa"/>
            <w:gridSpan w:val="2"/>
            <w:tcBorders>
              <w:bottom w:val="single" w:sz="8" w:space="0" w:color="auto"/>
            </w:tcBorders>
            <w:vAlign w:val="bottom"/>
          </w:tcPr>
          <w:p w:rsidR="00A70D7A" w:rsidRPr="00700414" w:rsidRDefault="00A70D7A" w:rsidP="00AB7A9E"/>
        </w:tc>
        <w:tc>
          <w:tcPr>
            <w:tcW w:w="818" w:type="dxa"/>
            <w:gridSpan w:val="3"/>
            <w:tcBorders>
              <w:bottom w:val="single" w:sz="8" w:space="0" w:color="auto"/>
            </w:tcBorders>
            <w:vAlign w:val="bottom"/>
          </w:tcPr>
          <w:p w:rsidR="00A70D7A" w:rsidRPr="00700414" w:rsidRDefault="00A70D7A" w:rsidP="00AB7A9E"/>
        </w:tc>
        <w:tc>
          <w:tcPr>
            <w:tcW w:w="220" w:type="dxa"/>
            <w:gridSpan w:val="3"/>
            <w:tcBorders>
              <w:bottom w:val="single" w:sz="8" w:space="0" w:color="auto"/>
            </w:tcBorders>
            <w:vAlign w:val="bottom"/>
          </w:tcPr>
          <w:p w:rsidR="00A70D7A" w:rsidRPr="00700414" w:rsidRDefault="00A70D7A" w:rsidP="00AB7A9E"/>
        </w:tc>
        <w:tc>
          <w:tcPr>
            <w:tcW w:w="280" w:type="dxa"/>
            <w:gridSpan w:val="3"/>
            <w:tcBorders>
              <w:bottom w:val="single" w:sz="8" w:space="0" w:color="auto"/>
            </w:tcBorders>
            <w:vAlign w:val="bottom"/>
          </w:tcPr>
          <w:p w:rsidR="00A70D7A" w:rsidRPr="00700414" w:rsidRDefault="00A70D7A" w:rsidP="00AB7A9E"/>
        </w:tc>
        <w:tc>
          <w:tcPr>
            <w:tcW w:w="1742" w:type="dxa"/>
            <w:tcBorders>
              <w:bottom w:val="single" w:sz="8" w:space="0" w:color="auto"/>
              <w:right w:val="single" w:sz="8" w:space="0" w:color="auto"/>
            </w:tcBorders>
            <w:vAlign w:val="bottom"/>
          </w:tcPr>
          <w:p w:rsidR="00A70D7A" w:rsidRPr="00700414" w:rsidRDefault="00A70D7A" w:rsidP="00AB7A9E"/>
        </w:tc>
      </w:tr>
      <w:tr w:rsidR="00CA12F4" w:rsidRPr="00700414" w:rsidTr="00A70D7A">
        <w:trPr>
          <w:trHeight w:val="215"/>
        </w:trPr>
        <w:tc>
          <w:tcPr>
            <w:tcW w:w="2058" w:type="dxa"/>
            <w:vMerge w:val="restart"/>
            <w:tcBorders>
              <w:left w:val="single" w:sz="8" w:space="0" w:color="auto"/>
              <w:right w:val="single" w:sz="8" w:space="0" w:color="auto"/>
            </w:tcBorders>
          </w:tcPr>
          <w:p w:rsidR="00CA12F4" w:rsidRPr="00700414" w:rsidRDefault="00CA12F4" w:rsidP="00CA12F4">
            <w:pPr>
              <w:rPr>
                <w:b/>
              </w:rPr>
            </w:pPr>
            <w:r w:rsidRPr="00700414">
              <w:rPr>
                <w:b/>
              </w:rPr>
              <w:t>Renal and</w:t>
            </w:r>
          </w:p>
          <w:p w:rsidR="00CA12F4" w:rsidRPr="00700414" w:rsidRDefault="00CA12F4" w:rsidP="00CA12F4">
            <w:pPr>
              <w:rPr>
                <w:b/>
              </w:rPr>
            </w:pPr>
            <w:r w:rsidRPr="00700414">
              <w:rPr>
                <w:b/>
              </w:rPr>
              <w:t>Urinary</w:t>
            </w:r>
          </w:p>
          <w:p w:rsidR="00CA12F4" w:rsidRPr="00700414" w:rsidRDefault="00CA12F4" w:rsidP="00CA12F4">
            <w:pPr>
              <w:rPr>
                <w:b/>
              </w:rPr>
            </w:pPr>
            <w:r w:rsidRPr="00700414">
              <w:rPr>
                <w:b/>
              </w:rPr>
              <w:t>Disorders</w:t>
            </w:r>
          </w:p>
        </w:tc>
        <w:tc>
          <w:tcPr>
            <w:tcW w:w="67" w:type="dxa"/>
          </w:tcPr>
          <w:p w:rsidR="00CA12F4" w:rsidRPr="00700414" w:rsidRDefault="00CA12F4" w:rsidP="00CA12F4"/>
        </w:tc>
        <w:tc>
          <w:tcPr>
            <w:tcW w:w="4740" w:type="dxa"/>
            <w:gridSpan w:val="8"/>
            <w:vMerge w:val="restart"/>
            <w:tcBorders>
              <w:right w:val="single" w:sz="8" w:space="0" w:color="auto"/>
            </w:tcBorders>
          </w:tcPr>
          <w:p w:rsidR="00CA12F4" w:rsidRPr="00700414" w:rsidRDefault="00CA12F4" w:rsidP="00CA12F4">
            <w:pPr>
              <w:rPr>
                <w:u w:val="single"/>
              </w:rPr>
            </w:pPr>
            <w:r w:rsidRPr="00700414">
              <w:rPr>
                <w:u w:val="single"/>
              </w:rPr>
              <w:t>Very Common</w:t>
            </w:r>
          </w:p>
          <w:p w:rsidR="00CA12F4" w:rsidRDefault="00CA12F4" w:rsidP="00CA12F4">
            <w:r w:rsidRPr="00700414">
              <w:t>Renal failure (including acute)</w:t>
            </w:r>
            <w:r w:rsidR="00A70D7A">
              <w:rPr>
                <w:rFonts w:eastAsia="Times New Roman"/>
                <w:spacing w:val="-3"/>
                <w:position w:val="8"/>
                <w:sz w:val="14"/>
                <w:szCs w:val="14"/>
              </w:rPr>
              <w:t xml:space="preserve"> ◊</w:t>
            </w:r>
            <w:r w:rsidR="00971C48">
              <w:rPr>
                <w:rFonts w:eastAsia="Times New Roman"/>
                <w:spacing w:val="-3"/>
                <w:position w:val="8"/>
                <w:sz w:val="14"/>
                <w:szCs w:val="14"/>
              </w:rPr>
              <w:t>, ◊◊</w:t>
            </w:r>
          </w:p>
          <w:p w:rsidR="00CA12F4" w:rsidRPr="00492E23" w:rsidRDefault="00EE3678" w:rsidP="00CA12F4">
            <w:pPr>
              <w:tabs>
                <w:tab w:val="right" w:leader="dot" w:pos="9923"/>
              </w:tabs>
              <w:spacing w:before="120"/>
              <w:ind w:left="1140" w:hanging="1140"/>
              <w:rPr>
                <w:u w:val="single"/>
              </w:rPr>
            </w:pPr>
            <w:r w:rsidRPr="00EE3678">
              <w:rPr>
                <w:u w:val="single"/>
              </w:rPr>
              <w:t>Common</w:t>
            </w:r>
          </w:p>
          <w:p w:rsidR="00CA12F4" w:rsidRPr="00700414" w:rsidRDefault="00CA12F4" w:rsidP="00CA12F4">
            <w:r w:rsidRPr="00700414">
              <w:t>Haematuria^, Urinary retention,</w:t>
            </w:r>
          </w:p>
          <w:p w:rsidR="00CA12F4" w:rsidRDefault="00CA12F4" w:rsidP="00CA12F4">
            <w:r w:rsidRPr="00700414">
              <w:t>Urinary incontinence</w:t>
            </w:r>
          </w:p>
          <w:p w:rsidR="00CA12F4" w:rsidRPr="00492E23" w:rsidRDefault="00EE3678" w:rsidP="00CA12F4">
            <w:pPr>
              <w:tabs>
                <w:tab w:val="right" w:leader="dot" w:pos="9923"/>
              </w:tabs>
              <w:spacing w:before="120"/>
              <w:ind w:left="1140" w:hanging="1140"/>
              <w:rPr>
                <w:u w:val="single"/>
              </w:rPr>
            </w:pPr>
            <w:r w:rsidRPr="00EE3678">
              <w:rPr>
                <w:u w:val="single"/>
              </w:rPr>
              <w:t>Uncommon</w:t>
            </w:r>
          </w:p>
          <w:p w:rsidR="00CA12F4" w:rsidRPr="00700414" w:rsidRDefault="00CA12F4" w:rsidP="00CA12F4">
            <w:pPr>
              <w:rPr>
                <w:u w:val="single"/>
              </w:rPr>
            </w:pPr>
            <w:r w:rsidRPr="00700414">
              <w:t>Acquired Fanconi syndrome</w:t>
            </w:r>
          </w:p>
        </w:tc>
        <w:tc>
          <w:tcPr>
            <w:tcW w:w="197" w:type="dxa"/>
            <w:gridSpan w:val="3"/>
          </w:tcPr>
          <w:p w:rsidR="00CA12F4" w:rsidRPr="00700414" w:rsidRDefault="00CA12F4" w:rsidP="00CA12F4">
            <w:pPr>
              <w:rPr>
                <w:u w:val="single"/>
              </w:rPr>
            </w:pPr>
          </w:p>
        </w:tc>
        <w:tc>
          <w:tcPr>
            <w:tcW w:w="2928" w:type="dxa"/>
            <w:gridSpan w:val="9"/>
            <w:vMerge w:val="restart"/>
            <w:tcBorders>
              <w:right w:val="single" w:sz="8" w:space="0" w:color="auto"/>
            </w:tcBorders>
          </w:tcPr>
          <w:p w:rsidR="00CA12F4" w:rsidRPr="00700414" w:rsidRDefault="00CA12F4" w:rsidP="00CA12F4">
            <w:pPr>
              <w:rPr>
                <w:u w:val="single"/>
              </w:rPr>
            </w:pPr>
            <w:r w:rsidRPr="00700414">
              <w:rPr>
                <w:u w:val="single"/>
              </w:rPr>
              <w:t>Uncommon</w:t>
            </w:r>
          </w:p>
          <w:p w:rsidR="00CA12F4" w:rsidRPr="00700414" w:rsidRDefault="00CA12F4" w:rsidP="00CA12F4">
            <w:pPr>
              <w:rPr>
                <w:u w:val="single"/>
              </w:rPr>
            </w:pPr>
            <w:r w:rsidRPr="00700414">
              <w:t>Renal tubular necrosis</w:t>
            </w:r>
          </w:p>
        </w:tc>
      </w:tr>
      <w:tr w:rsidR="00CA12F4" w:rsidRPr="00700414" w:rsidTr="00A70D7A">
        <w:trPr>
          <w:trHeight w:val="259"/>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28"/>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30"/>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60"/>
        </w:trPr>
        <w:tc>
          <w:tcPr>
            <w:tcW w:w="2058" w:type="dxa"/>
            <w:vMerge/>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2928" w:type="dxa"/>
            <w:gridSpan w:val="9"/>
            <w:vMerge/>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Reproductive</w:t>
            </w:r>
          </w:p>
        </w:tc>
        <w:tc>
          <w:tcPr>
            <w:tcW w:w="67" w:type="dxa"/>
            <w:vAlign w:val="bottom"/>
          </w:tcPr>
          <w:p w:rsidR="00CA12F4" w:rsidRPr="00700414" w:rsidRDefault="00CA12F4" w:rsidP="00AB7A9E"/>
        </w:tc>
        <w:tc>
          <w:tcPr>
            <w:tcW w:w="4740" w:type="dxa"/>
            <w:gridSpan w:val="8"/>
            <w:vMerge w:val="restart"/>
            <w:tcBorders>
              <w:right w:val="single" w:sz="8" w:space="0" w:color="auto"/>
            </w:tcBorders>
          </w:tcPr>
          <w:p w:rsidR="00CA12F4" w:rsidRPr="00CA12F4" w:rsidRDefault="00CA12F4" w:rsidP="00CA12F4">
            <w:pPr>
              <w:rPr>
                <w:u w:val="single"/>
              </w:rPr>
            </w:pPr>
            <w:r w:rsidRPr="00CA12F4">
              <w:rPr>
                <w:u w:val="single"/>
              </w:rPr>
              <w:t>Common</w:t>
            </w:r>
          </w:p>
          <w:p w:rsidR="00CA12F4" w:rsidRPr="00700414" w:rsidRDefault="00CA12F4" w:rsidP="00CA12F4">
            <w:r w:rsidRPr="00700414">
              <w:t>Erectile dysfunction</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9"/>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System and Breast</w:t>
            </w: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5"/>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r w:rsidRPr="00700414">
              <w:rPr>
                <w:b/>
              </w:rPr>
              <w:t>Disorders</w:t>
            </w: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left w:val="single" w:sz="8" w:space="0" w:color="auto"/>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4"/>
        </w:trPr>
        <w:tc>
          <w:tcPr>
            <w:tcW w:w="2058" w:type="dxa"/>
            <w:vMerge w:val="restart"/>
            <w:tcBorders>
              <w:left w:val="single" w:sz="8" w:space="0" w:color="auto"/>
              <w:right w:val="single" w:sz="8" w:space="0" w:color="auto"/>
            </w:tcBorders>
          </w:tcPr>
          <w:p w:rsidR="00CA12F4" w:rsidRPr="00700414" w:rsidRDefault="00CA12F4" w:rsidP="00CA12F4">
            <w:pPr>
              <w:rPr>
                <w:b/>
              </w:rPr>
            </w:pPr>
            <w:r w:rsidRPr="00700414">
              <w:rPr>
                <w:b/>
              </w:rPr>
              <w:t>General Disorders</w:t>
            </w:r>
          </w:p>
          <w:p w:rsidR="00CA12F4" w:rsidRPr="00700414" w:rsidRDefault="00CA12F4" w:rsidP="00CA12F4">
            <w:pPr>
              <w:rPr>
                <w:b/>
              </w:rPr>
            </w:pPr>
            <w:r w:rsidRPr="00700414">
              <w:rPr>
                <w:b/>
              </w:rPr>
              <w:t>and</w:t>
            </w:r>
          </w:p>
          <w:p w:rsidR="00CA12F4" w:rsidRPr="00700414" w:rsidRDefault="00CA12F4" w:rsidP="00CA12F4">
            <w:pPr>
              <w:rPr>
                <w:b/>
              </w:rPr>
            </w:pPr>
            <w:r w:rsidRPr="00700414">
              <w:rPr>
                <w:b/>
              </w:rPr>
              <w:t>Administration</w:t>
            </w:r>
          </w:p>
          <w:p w:rsidR="00CA12F4" w:rsidRPr="00700414" w:rsidRDefault="00CA12F4" w:rsidP="00CA12F4">
            <w:pPr>
              <w:rPr>
                <w:b/>
              </w:rPr>
            </w:pPr>
            <w:r w:rsidRPr="00700414">
              <w:rPr>
                <w:b/>
              </w:rPr>
              <w:t>Site Conditions</w:t>
            </w:r>
          </w:p>
        </w:tc>
        <w:tc>
          <w:tcPr>
            <w:tcW w:w="67" w:type="dxa"/>
            <w:vAlign w:val="bottom"/>
          </w:tcPr>
          <w:p w:rsidR="00CA12F4" w:rsidRPr="00700414" w:rsidRDefault="00CA12F4" w:rsidP="00AB7A9E"/>
        </w:tc>
        <w:tc>
          <w:tcPr>
            <w:tcW w:w="4740" w:type="dxa"/>
            <w:gridSpan w:val="8"/>
            <w:vMerge w:val="restart"/>
            <w:tcBorders>
              <w:right w:val="single" w:sz="8" w:space="0" w:color="auto"/>
            </w:tcBorders>
          </w:tcPr>
          <w:p w:rsidR="00CA12F4" w:rsidRPr="00700414" w:rsidRDefault="00CA12F4" w:rsidP="00CA12F4">
            <w:pPr>
              <w:rPr>
                <w:u w:val="single"/>
              </w:rPr>
            </w:pPr>
            <w:r w:rsidRPr="00700414">
              <w:rPr>
                <w:u w:val="single"/>
              </w:rPr>
              <w:t>Very Common</w:t>
            </w:r>
          </w:p>
          <w:p w:rsidR="00CA12F4" w:rsidRPr="004A3A6C" w:rsidRDefault="00CA12F4" w:rsidP="00CA12F4">
            <w:pPr>
              <w:rPr>
                <w:lang w:val="nl-NL"/>
              </w:rPr>
            </w:pPr>
            <w:r w:rsidRPr="004A3A6C">
              <w:rPr>
                <w:lang w:val="nl-NL"/>
              </w:rPr>
              <w:t>Fatigue</w:t>
            </w:r>
            <w:r w:rsidR="00A70D7A" w:rsidRPr="004A3A6C">
              <w:rPr>
                <w:rFonts w:eastAsia="Times New Roman"/>
                <w:spacing w:val="-3"/>
                <w:position w:val="8"/>
                <w:sz w:val="14"/>
                <w:szCs w:val="14"/>
                <w:lang w:val="nl-NL"/>
              </w:rPr>
              <w:t>◊</w:t>
            </w:r>
            <w:r w:rsidR="00971C48" w:rsidRPr="004A3A6C">
              <w:rPr>
                <w:rFonts w:eastAsia="Times New Roman"/>
                <w:spacing w:val="-3"/>
                <w:position w:val="8"/>
                <w:sz w:val="14"/>
                <w:szCs w:val="14"/>
                <w:lang w:val="nl-NL"/>
              </w:rPr>
              <w:t>,◊◊</w:t>
            </w:r>
            <w:r w:rsidRPr="004A3A6C">
              <w:rPr>
                <w:lang w:val="nl-NL"/>
              </w:rPr>
              <w:t>, Oedema (including peripheral oedema),</w:t>
            </w:r>
          </w:p>
          <w:p w:rsidR="00CA12F4" w:rsidRPr="00700414" w:rsidRDefault="00CA12F4" w:rsidP="00CA12F4">
            <w:r w:rsidRPr="00700414">
              <w:t>Pyrexia</w:t>
            </w:r>
            <w:r w:rsidR="00A70D7A">
              <w:rPr>
                <w:rFonts w:eastAsia="Times New Roman"/>
                <w:spacing w:val="-3"/>
                <w:position w:val="8"/>
                <w:sz w:val="14"/>
                <w:szCs w:val="14"/>
              </w:rPr>
              <w:t>◊</w:t>
            </w:r>
            <w:r w:rsidR="00971C48">
              <w:rPr>
                <w:rFonts w:eastAsia="Times New Roman"/>
                <w:spacing w:val="-3"/>
                <w:position w:val="8"/>
                <w:sz w:val="14"/>
                <w:szCs w:val="14"/>
              </w:rPr>
              <w:t>,◊◊</w:t>
            </w:r>
            <w:r w:rsidRPr="00700414">
              <w:t>, Asthenia, Influenza like illness</w:t>
            </w:r>
          </w:p>
          <w:p w:rsidR="00CA12F4" w:rsidRPr="00700414" w:rsidRDefault="00CA12F4" w:rsidP="00CA12F4">
            <w:r w:rsidRPr="00700414">
              <w:t>syndrome (including pyrexia, cough, myalgia,</w:t>
            </w:r>
          </w:p>
          <w:p w:rsidR="00CA12F4" w:rsidRDefault="00CA12F4" w:rsidP="00CA12F4">
            <w:r w:rsidRPr="00700414">
              <w:t>musculoskeletal pain, headache and rigors)</w:t>
            </w:r>
          </w:p>
          <w:p w:rsidR="00CA12F4" w:rsidRDefault="00CA12F4" w:rsidP="00CA12F4"/>
          <w:p w:rsidR="00CA12F4" w:rsidRPr="00CA12F4" w:rsidRDefault="00CA12F4" w:rsidP="00CA12F4">
            <w:pPr>
              <w:rPr>
                <w:u w:val="single"/>
              </w:rPr>
            </w:pPr>
            <w:r w:rsidRPr="00CA12F4">
              <w:rPr>
                <w:u w:val="single"/>
              </w:rPr>
              <w:t>Common</w:t>
            </w:r>
          </w:p>
          <w:p w:rsidR="00CA12F4" w:rsidRPr="00700414" w:rsidRDefault="00CA12F4" w:rsidP="00CA12F4">
            <w:pPr>
              <w:rPr>
                <w:u w:val="single"/>
              </w:rPr>
            </w:pPr>
            <w:r w:rsidRPr="00700414">
              <w:t>Chest pain</w:t>
            </w:r>
            <w:r w:rsidR="00971C48">
              <w:rPr>
                <w:rFonts w:eastAsia="Times New Roman"/>
                <w:spacing w:val="-3"/>
                <w:position w:val="8"/>
                <w:sz w:val="14"/>
                <w:szCs w:val="14"/>
              </w:rPr>
              <w:t>◊,◊◊</w:t>
            </w:r>
            <w:r w:rsidRPr="00700414">
              <w:t>, Lethargy</w:t>
            </w:r>
          </w:p>
        </w:tc>
        <w:tc>
          <w:tcPr>
            <w:tcW w:w="197" w:type="dxa"/>
            <w:gridSpan w:val="3"/>
            <w:vAlign w:val="bottom"/>
          </w:tcPr>
          <w:p w:rsidR="00CA12F4" w:rsidRPr="00700414" w:rsidRDefault="00CA12F4" w:rsidP="00AB7A9E">
            <w:pPr>
              <w:rPr>
                <w:u w:val="single"/>
              </w:rPr>
            </w:pPr>
          </w:p>
        </w:tc>
        <w:tc>
          <w:tcPr>
            <w:tcW w:w="2928" w:type="dxa"/>
            <w:gridSpan w:val="9"/>
            <w:vMerge w:val="restart"/>
            <w:tcBorders>
              <w:right w:val="single" w:sz="8" w:space="0" w:color="auto"/>
            </w:tcBorders>
          </w:tcPr>
          <w:p w:rsidR="00CA12F4" w:rsidRPr="00700414" w:rsidRDefault="00971C48" w:rsidP="00CA12F4">
            <w:pPr>
              <w:rPr>
                <w:u w:val="single"/>
              </w:rPr>
            </w:pPr>
            <w:r>
              <w:rPr>
                <w:u w:val="single"/>
              </w:rPr>
              <w:t xml:space="preserve">Very </w:t>
            </w:r>
            <w:r w:rsidR="00CA12F4" w:rsidRPr="00700414">
              <w:rPr>
                <w:u w:val="single"/>
              </w:rPr>
              <w:t>Common</w:t>
            </w:r>
          </w:p>
          <w:p w:rsidR="00971C48" w:rsidRDefault="00CA12F4" w:rsidP="00CA12F4">
            <w:r w:rsidRPr="00700414">
              <w:t>Fatigue</w:t>
            </w:r>
            <w:r w:rsidR="00A70D7A">
              <w:rPr>
                <w:rFonts w:eastAsia="Times New Roman"/>
                <w:spacing w:val="-3"/>
                <w:position w:val="8"/>
                <w:sz w:val="14"/>
                <w:szCs w:val="14"/>
              </w:rPr>
              <w:t>◊</w:t>
            </w:r>
            <w:r w:rsidR="00971C48">
              <w:rPr>
                <w:rFonts w:eastAsia="Times New Roman"/>
                <w:spacing w:val="-3"/>
                <w:position w:val="8"/>
                <w:sz w:val="14"/>
                <w:szCs w:val="14"/>
              </w:rPr>
              <w:t>,◊◊</w:t>
            </w:r>
            <w:r w:rsidRPr="00700414">
              <w:t xml:space="preserve">, </w:t>
            </w:r>
          </w:p>
          <w:p w:rsidR="00971C48" w:rsidRDefault="00971C48" w:rsidP="00CA12F4"/>
          <w:p w:rsidR="00971C48" w:rsidRPr="004273C8" w:rsidRDefault="00971C48" w:rsidP="00CA12F4">
            <w:pPr>
              <w:rPr>
                <w:u w:val="single"/>
              </w:rPr>
            </w:pPr>
            <w:r w:rsidRPr="004273C8">
              <w:rPr>
                <w:u w:val="single"/>
              </w:rPr>
              <w:t>Common</w:t>
            </w:r>
          </w:p>
          <w:p w:rsidR="00CA12F4" w:rsidRPr="00700414" w:rsidRDefault="00971C48" w:rsidP="00CA12F4">
            <w:pPr>
              <w:rPr>
                <w:u w:val="single"/>
              </w:rPr>
            </w:pPr>
            <w:r>
              <w:t xml:space="preserve">Oedema pereipheral, </w:t>
            </w:r>
            <w:r w:rsidR="00CA12F4" w:rsidRPr="00700414">
              <w:t>Pyrexia</w:t>
            </w:r>
            <w:r w:rsidR="00A70D7A">
              <w:rPr>
                <w:rFonts w:eastAsia="Times New Roman"/>
                <w:spacing w:val="-3"/>
                <w:position w:val="8"/>
                <w:sz w:val="14"/>
                <w:szCs w:val="14"/>
              </w:rPr>
              <w:t>◊</w:t>
            </w:r>
            <w:r>
              <w:rPr>
                <w:rFonts w:eastAsia="Times New Roman"/>
                <w:spacing w:val="-3"/>
                <w:position w:val="8"/>
                <w:sz w:val="14"/>
                <w:szCs w:val="14"/>
              </w:rPr>
              <w:t>,◊◊</w:t>
            </w:r>
            <w:r w:rsidR="00CA12F4" w:rsidRPr="00700414">
              <w:t>, Asthenia</w:t>
            </w:r>
          </w:p>
        </w:tc>
      </w:tr>
      <w:tr w:rsidR="00CA12F4" w:rsidRPr="00700414" w:rsidTr="00A70D7A">
        <w:trPr>
          <w:trHeight w:val="261"/>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2"/>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48"/>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32"/>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7"/>
        </w:trPr>
        <w:tc>
          <w:tcPr>
            <w:tcW w:w="2058" w:type="dxa"/>
            <w:vMerge/>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2928" w:type="dxa"/>
            <w:gridSpan w:val="9"/>
            <w:vMerge/>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Investigations</w:t>
            </w:r>
          </w:p>
        </w:tc>
        <w:tc>
          <w:tcPr>
            <w:tcW w:w="67" w:type="dxa"/>
            <w:vAlign w:val="bottom"/>
          </w:tcPr>
          <w:p w:rsidR="00CA12F4" w:rsidRPr="00700414" w:rsidRDefault="00CA12F4" w:rsidP="00AB7A9E"/>
        </w:tc>
        <w:tc>
          <w:tcPr>
            <w:tcW w:w="4740" w:type="dxa"/>
            <w:gridSpan w:val="8"/>
            <w:vMerge w:val="restart"/>
            <w:tcBorders>
              <w:right w:val="single" w:sz="8" w:space="0" w:color="auto"/>
            </w:tcBorders>
            <w:vAlign w:val="bottom"/>
          </w:tcPr>
          <w:p w:rsidR="00405969" w:rsidRPr="00405969" w:rsidRDefault="00405969" w:rsidP="00405969">
            <w:pPr>
              <w:rPr>
                <w:u w:val="single"/>
              </w:rPr>
            </w:pPr>
            <w:r w:rsidRPr="00405969">
              <w:rPr>
                <w:u w:val="single"/>
              </w:rPr>
              <w:t>Very Common</w:t>
            </w:r>
          </w:p>
          <w:p w:rsidR="00405969" w:rsidRPr="00405969" w:rsidRDefault="00405969" w:rsidP="00405969">
            <w:r w:rsidRPr="00405969">
              <w:t>Blood alkaline phosphatase increased</w:t>
            </w:r>
          </w:p>
          <w:p w:rsidR="00405969" w:rsidRDefault="00405969" w:rsidP="00AB7A9E">
            <w:pPr>
              <w:rPr>
                <w:u w:val="single"/>
              </w:rPr>
            </w:pPr>
          </w:p>
          <w:p w:rsidR="00CA12F4" w:rsidRPr="00CA12F4" w:rsidRDefault="00CA12F4" w:rsidP="00AB7A9E">
            <w:pPr>
              <w:rPr>
                <w:u w:val="single"/>
              </w:rPr>
            </w:pPr>
            <w:r w:rsidRPr="00CA12F4">
              <w:rPr>
                <w:u w:val="single"/>
              </w:rPr>
              <w:t>Common</w:t>
            </w:r>
          </w:p>
          <w:p w:rsidR="00CA12F4" w:rsidRPr="00700414" w:rsidRDefault="00CA12F4" w:rsidP="00AB7A9E">
            <w:r w:rsidRPr="00700414">
              <w:t>C-reactive protein increased</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60"/>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Injury, Poisoning</w:t>
            </w:r>
          </w:p>
        </w:tc>
        <w:tc>
          <w:tcPr>
            <w:tcW w:w="67" w:type="dxa"/>
          </w:tcPr>
          <w:p w:rsidR="00CA12F4" w:rsidRPr="00700414" w:rsidRDefault="00CA12F4" w:rsidP="00CA12F4"/>
        </w:tc>
        <w:tc>
          <w:tcPr>
            <w:tcW w:w="4740" w:type="dxa"/>
            <w:gridSpan w:val="8"/>
            <w:vMerge w:val="restart"/>
            <w:tcBorders>
              <w:right w:val="single" w:sz="8" w:space="0" w:color="auto"/>
            </w:tcBorders>
          </w:tcPr>
          <w:p w:rsidR="00CA12F4" w:rsidRPr="00CA12F4" w:rsidRDefault="00CA12F4" w:rsidP="00CA12F4">
            <w:pPr>
              <w:ind w:right="-142"/>
              <w:rPr>
                <w:u w:val="single"/>
              </w:rPr>
            </w:pPr>
            <w:r w:rsidRPr="00CA12F4">
              <w:rPr>
                <w:u w:val="single"/>
              </w:rPr>
              <w:t>Com</w:t>
            </w:r>
            <w:r>
              <w:rPr>
                <w:u w:val="single"/>
              </w:rPr>
              <w:t>m</w:t>
            </w:r>
            <w:r w:rsidRPr="00CA12F4">
              <w:rPr>
                <w:u w:val="single"/>
              </w:rPr>
              <w:t>on</w:t>
            </w:r>
          </w:p>
          <w:p w:rsidR="00CA12F4" w:rsidRPr="00CA12F4" w:rsidRDefault="00CA12F4" w:rsidP="00CA12F4">
            <w:r w:rsidRPr="00700414">
              <w:t>Fall, Contusion^</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61"/>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and Procedural</w:t>
            </w:r>
          </w:p>
        </w:tc>
        <w:tc>
          <w:tcPr>
            <w:tcW w:w="67" w:type="dxa"/>
          </w:tcPr>
          <w:p w:rsidR="00CA12F4" w:rsidRPr="00700414" w:rsidRDefault="00CA12F4" w:rsidP="00CA12F4"/>
        </w:tc>
        <w:tc>
          <w:tcPr>
            <w:tcW w:w="4740" w:type="dxa"/>
            <w:gridSpan w:val="8"/>
            <w:vMerge/>
            <w:tcBorders>
              <w:right w:val="single" w:sz="8" w:space="0" w:color="auto"/>
            </w:tcBorders>
          </w:tcPr>
          <w:p w:rsidR="00CA12F4" w:rsidRPr="00700414" w:rsidRDefault="00CA12F4" w:rsidP="00CA12F4"/>
        </w:tc>
        <w:tc>
          <w:tcPr>
            <w:tcW w:w="197" w:type="dxa"/>
            <w:gridSpan w:val="3"/>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r w:rsidRPr="00700414">
              <w:rPr>
                <w:b/>
              </w:rPr>
              <w:t>Complications</w:t>
            </w: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left w:val="single" w:sz="8" w:space="0" w:color="auto"/>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bl>
    <w:p w:rsidR="00F848D4" w:rsidRDefault="00F848D4" w:rsidP="00AB7A9E">
      <w:pPr>
        <w:rPr>
          <w:rFonts w:eastAsia="Times New Roman"/>
          <w:sz w:val="16"/>
          <w:szCs w:val="16"/>
        </w:rPr>
      </w:pPr>
      <w:r w:rsidRPr="00F848D4">
        <w:rPr>
          <w:rFonts w:eastAsia="Times New Roman"/>
          <w:sz w:val="16"/>
          <w:szCs w:val="16"/>
          <w:vertAlign w:val="superscript"/>
        </w:rPr>
        <w:t>◊◊</w:t>
      </w:r>
      <w:r w:rsidRPr="00F848D4">
        <w:rPr>
          <w:rFonts w:eastAsia="Times New Roman"/>
          <w:sz w:val="16"/>
          <w:szCs w:val="16"/>
        </w:rPr>
        <w:t>Adverse reactions reported as serious in clinical trials in patients with NDMM who had received lenalidomide in combination with bortezomib and dexamethasone</w:t>
      </w:r>
    </w:p>
    <w:p w:rsidR="00506994" w:rsidRDefault="00506994" w:rsidP="00AB7A9E">
      <w:pPr>
        <w:rPr>
          <w:rFonts w:eastAsia="Times New Roman"/>
          <w:sz w:val="16"/>
          <w:szCs w:val="16"/>
        </w:rPr>
      </w:pPr>
      <w:r w:rsidRPr="006F0CD6">
        <w:rPr>
          <w:rFonts w:eastAsia="Times New Roman"/>
          <w:sz w:val="16"/>
          <w:szCs w:val="16"/>
        </w:rPr>
        <w:t>^See section 4.8 description of selected adverse reactions</w:t>
      </w:r>
    </w:p>
    <w:p w:rsidR="00596F0D" w:rsidRDefault="00596F0D" w:rsidP="00596F0D">
      <w:pPr>
        <w:widowControl w:val="0"/>
        <w:numPr>
          <w:ilvl w:val="0"/>
          <w:numId w:val="67"/>
        </w:numPr>
        <w:tabs>
          <w:tab w:val="left" w:pos="142"/>
        </w:tabs>
        <w:ind w:left="142" w:right="1124" w:hanging="142"/>
        <w:rPr>
          <w:rFonts w:eastAsia="Times New Roman"/>
          <w:sz w:val="16"/>
          <w:szCs w:val="16"/>
        </w:rPr>
      </w:pPr>
      <w:r>
        <w:rPr>
          <w:spacing w:val="-2"/>
          <w:sz w:val="16"/>
        </w:rPr>
        <w:t xml:space="preserve">Adverse </w:t>
      </w:r>
      <w:r>
        <w:rPr>
          <w:spacing w:val="-1"/>
          <w:sz w:val="16"/>
        </w:rPr>
        <w:t>reactions</w:t>
      </w:r>
      <w:r>
        <w:rPr>
          <w:sz w:val="16"/>
        </w:rPr>
        <w:t xml:space="preserve"> </w:t>
      </w:r>
      <w:r>
        <w:rPr>
          <w:spacing w:val="-1"/>
          <w:sz w:val="16"/>
        </w:rPr>
        <w:t>reported</w:t>
      </w:r>
      <w:r>
        <w:rPr>
          <w:spacing w:val="2"/>
          <w:sz w:val="16"/>
        </w:rPr>
        <w:t xml:space="preserve"> </w:t>
      </w:r>
      <w:r>
        <w:rPr>
          <w:spacing w:val="-1"/>
          <w:sz w:val="16"/>
        </w:rPr>
        <w:t>as</w:t>
      </w:r>
      <w:r>
        <w:rPr>
          <w:sz w:val="16"/>
        </w:rPr>
        <w:t xml:space="preserve"> </w:t>
      </w:r>
      <w:r>
        <w:rPr>
          <w:spacing w:val="-1"/>
          <w:sz w:val="16"/>
        </w:rPr>
        <w:t>serious</w:t>
      </w:r>
      <w:r>
        <w:rPr>
          <w:sz w:val="16"/>
        </w:rPr>
        <w:t xml:space="preserve"> </w:t>
      </w:r>
      <w:r>
        <w:rPr>
          <w:spacing w:val="-1"/>
          <w:sz w:val="16"/>
        </w:rPr>
        <w:t>in</w:t>
      </w:r>
      <w:r>
        <w:rPr>
          <w:spacing w:val="2"/>
          <w:sz w:val="16"/>
        </w:rPr>
        <w:t xml:space="preserve"> </w:t>
      </w:r>
      <w:r>
        <w:rPr>
          <w:spacing w:val="-1"/>
          <w:sz w:val="16"/>
        </w:rPr>
        <w:t>clinical trials</w:t>
      </w:r>
      <w:r>
        <w:rPr>
          <w:sz w:val="16"/>
        </w:rPr>
        <w:t xml:space="preserve"> </w:t>
      </w:r>
      <w:r>
        <w:rPr>
          <w:spacing w:val="-1"/>
          <w:sz w:val="16"/>
        </w:rPr>
        <w:t>in patients</w:t>
      </w:r>
      <w:r>
        <w:rPr>
          <w:sz w:val="16"/>
        </w:rPr>
        <w:t xml:space="preserve"> </w:t>
      </w:r>
      <w:r>
        <w:rPr>
          <w:spacing w:val="-2"/>
          <w:sz w:val="16"/>
        </w:rPr>
        <w:t>with</w:t>
      </w:r>
      <w:r>
        <w:rPr>
          <w:spacing w:val="1"/>
          <w:sz w:val="16"/>
        </w:rPr>
        <w:t xml:space="preserve"> </w:t>
      </w:r>
      <w:r>
        <w:rPr>
          <w:spacing w:val="-2"/>
          <w:sz w:val="16"/>
        </w:rPr>
        <w:t xml:space="preserve">multiple </w:t>
      </w:r>
      <w:r>
        <w:rPr>
          <w:spacing w:val="-1"/>
          <w:sz w:val="16"/>
        </w:rPr>
        <w:t>myeloma</w:t>
      </w:r>
      <w:r>
        <w:rPr>
          <w:spacing w:val="1"/>
          <w:sz w:val="16"/>
        </w:rPr>
        <w:t xml:space="preserve"> </w:t>
      </w:r>
      <w:r>
        <w:rPr>
          <w:spacing w:val="-1"/>
          <w:sz w:val="16"/>
        </w:rPr>
        <w:t>treated</w:t>
      </w:r>
      <w:r>
        <w:rPr>
          <w:spacing w:val="2"/>
          <w:sz w:val="16"/>
        </w:rPr>
        <w:t xml:space="preserve"> </w:t>
      </w:r>
      <w:r>
        <w:rPr>
          <w:spacing w:val="-2"/>
          <w:sz w:val="16"/>
        </w:rPr>
        <w:t>with</w:t>
      </w:r>
      <w:r>
        <w:rPr>
          <w:spacing w:val="1"/>
          <w:sz w:val="16"/>
        </w:rPr>
        <w:t xml:space="preserve"> </w:t>
      </w:r>
      <w:r>
        <w:rPr>
          <w:spacing w:val="-1"/>
          <w:sz w:val="16"/>
        </w:rPr>
        <w:t>lenalidomide in</w:t>
      </w:r>
      <w:r>
        <w:rPr>
          <w:spacing w:val="2"/>
          <w:sz w:val="16"/>
        </w:rPr>
        <w:t xml:space="preserve"> </w:t>
      </w:r>
      <w:r>
        <w:rPr>
          <w:spacing w:val="-1"/>
          <w:sz w:val="16"/>
        </w:rPr>
        <w:t>combination</w:t>
      </w:r>
      <w:r>
        <w:rPr>
          <w:spacing w:val="2"/>
          <w:sz w:val="16"/>
        </w:rPr>
        <w:t xml:space="preserve"> </w:t>
      </w:r>
      <w:r>
        <w:rPr>
          <w:spacing w:val="-1"/>
          <w:sz w:val="16"/>
        </w:rPr>
        <w:t>with</w:t>
      </w:r>
      <w:r>
        <w:rPr>
          <w:spacing w:val="85"/>
          <w:sz w:val="16"/>
        </w:rPr>
        <w:t xml:space="preserve"> </w:t>
      </w:r>
      <w:r>
        <w:rPr>
          <w:spacing w:val="-1"/>
          <w:sz w:val="16"/>
        </w:rPr>
        <w:t>dexamethasone,</w:t>
      </w:r>
      <w:r>
        <w:rPr>
          <w:spacing w:val="1"/>
          <w:sz w:val="16"/>
        </w:rPr>
        <w:t xml:space="preserve"> </w:t>
      </w:r>
      <w:r>
        <w:rPr>
          <w:spacing w:val="-1"/>
          <w:sz w:val="16"/>
        </w:rPr>
        <w:t>or</w:t>
      </w:r>
      <w:r>
        <w:rPr>
          <w:sz w:val="16"/>
        </w:rPr>
        <w:t xml:space="preserve"> </w:t>
      </w:r>
      <w:r>
        <w:rPr>
          <w:spacing w:val="-1"/>
          <w:sz w:val="16"/>
        </w:rPr>
        <w:t>with</w:t>
      </w:r>
      <w:r>
        <w:rPr>
          <w:spacing w:val="2"/>
          <w:sz w:val="16"/>
        </w:rPr>
        <w:t xml:space="preserve"> </w:t>
      </w:r>
      <w:r>
        <w:rPr>
          <w:spacing w:val="-2"/>
          <w:sz w:val="16"/>
        </w:rPr>
        <w:t>melphalan</w:t>
      </w:r>
      <w:r>
        <w:rPr>
          <w:spacing w:val="1"/>
          <w:sz w:val="16"/>
        </w:rPr>
        <w:t xml:space="preserve"> </w:t>
      </w:r>
      <w:r>
        <w:rPr>
          <w:spacing w:val="-1"/>
          <w:sz w:val="16"/>
        </w:rPr>
        <w:t>and prednisone</w:t>
      </w:r>
    </w:p>
    <w:p w:rsidR="00596F0D" w:rsidRDefault="00596F0D" w:rsidP="00596F0D">
      <w:pPr>
        <w:tabs>
          <w:tab w:val="left" w:pos="142"/>
        </w:tabs>
        <w:ind w:left="142" w:hanging="142"/>
        <w:rPr>
          <w:rFonts w:eastAsia="Times New Roman"/>
          <w:sz w:val="16"/>
          <w:szCs w:val="16"/>
        </w:rPr>
      </w:pPr>
      <w:r>
        <w:rPr>
          <w:sz w:val="16"/>
        </w:rPr>
        <w:t>+</w:t>
      </w:r>
      <w:r>
        <w:rPr>
          <w:spacing w:val="20"/>
          <w:sz w:val="16"/>
        </w:rPr>
        <w:t xml:space="preserve"> </w:t>
      </w:r>
      <w:r>
        <w:rPr>
          <w:spacing w:val="-1"/>
          <w:sz w:val="16"/>
        </w:rPr>
        <w:t>Applies</w:t>
      </w:r>
      <w:r>
        <w:rPr>
          <w:sz w:val="16"/>
        </w:rPr>
        <w:t xml:space="preserve"> to</w:t>
      </w:r>
      <w:r>
        <w:rPr>
          <w:spacing w:val="-1"/>
          <w:sz w:val="16"/>
        </w:rPr>
        <w:t xml:space="preserve"> serious</w:t>
      </w:r>
      <w:r>
        <w:rPr>
          <w:spacing w:val="-2"/>
          <w:sz w:val="16"/>
        </w:rPr>
        <w:t xml:space="preserve"> </w:t>
      </w:r>
      <w:r>
        <w:rPr>
          <w:spacing w:val="-1"/>
          <w:sz w:val="16"/>
        </w:rPr>
        <w:t>adverse</w:t>
      </w:r>
      <w:r>
        <w:rPr>
          <w:spacing w:val="-2"/>
          <w:sz w:val="16"/>
        </w:rPr>
        <w:t xml:space="preserve"> </w:t>
      </w:r>
      <w:r>
        <w:rPr>
          <w:sz w:val="16"/>
        </w:rPr>
        <w:t>drug</w:t>
      </w:r>
      <w:r>
        <w:rPr>
          <w:spacing w:val="-1"/>
          <w:sz w:val="16"/>
        </w:rPr>
        <w:t xml:space="preserve"> reactions</w:t>
      </w:r>
      <w:r>
        <w:rPr>
          <w:sz w:val="16"/>
        </w:rPr>
        <w:t xml:space="preserve"> </w:t>
      </w:r>
      <w:r>
        <w:rPr>
          <w:spacing w:val="-1"/>
          <w:sz w:val="16"/>
        </w:rPr>
        <w:t>only</w:t>
      </w:r>
    </w:p>
    <w:p w:rsidR="00506994" w:rsidRPr="006F0CD6" w:rsidRDefault="00506994" w:rsidP="00596F0D">
      <w:pPr>
        <w:numPr>
          <w:ilvl w:val="0"/>
          <w:numId w:val="30"/>
        </w:numPr>
        <w:tabs>
          <w:tab w:val="left" w:pos="142"/>
        </w:tabs>
        <w:ind w:left="142" w:right="1060" w:hanging="142"/>
        <w:rPr>
          <w:rFonts w:eastAsia="Times New Roman"/>
          <w:sz w:val="16"/>
          <w:szCs w:val="16"/>
        </w:rPr>
      </w:pPr>
      <w:r w:rsidRPr="006F0CD6">
        <w:rPr>
          <w:rFonts w:eastAsia="Times New Roman"/>
          <w:sz w:val="16"/>
          <w:szCs w:val="16"/>
        </w:rPr>
        <w:t>Squamous skin cancer was reported in clinical trials in previously treated myeloma patients with lenalidomide/dexamethasone compared to controls</w:t>
      </w:r>
    </w:p>
    <w:p w:rsidR="00506994" w:rsidRPr="006F0CD6" w:rsidRDefault="00596F0D" w:rsidP="00596F0D">
      <w:pPr>
        <w:tabs>
          <w:tab w:val="left" w:pos="142"/>
        </w:tabs>
        <w:ind w:left="142" w:right="480" w:hanging="142"/>
        <w:rPr>
          <w:rFonts w:eastAsia="Times New Roman"/>
          <w:sz w:val="16"/>
          <w:szCs w:val="16"/>
        </w:rPr>
      </w:pPr>
      <w:r>
        <w:rPr>
          <w:rFonts w:eastAsia="Times New Roman"/>
          <w:sz w:val="16"/>
          <w:szCs w:val="16"/>
        </w:rPr>
        <w:t>**</w:t>
      </w:r>
      <w:r w:rsidR="00506994" w:rsidRPr="006F0CD6">
        <w:rPr>
          <w:rFonts w:eastAsia="Times New Roman"/>
          <w:sz w:val="16"/>
          <w:szCs w:val="16"/>
        </w:rPr>
        <w:t>Squamous cell carcinoma of skin was reported in a clinical trial in newly diagnosed myeloma patients with lenalidomide/</w:t>
      </w:r>
      <w:proofErr w:type="gramStart"/>
      <w:r w:rsidR="00506994" w:rsidRPr="006F0CD6">
        <w:rPr>
          <w:rFonts w:eastAsia="Times New Roman"/>
          <w:sz w:val="16"/>
          <w:szCs w:val="16"/>
        </w:rPr>
        <w:t xml:space="preserve">dexamethasone </w:t>
      </w:r>
      <w:r>
        <w:rPr>
          <w:rFonts w:eastAsia="Times New Roman"/>
          <w:sz w:val="16"/>
          <w:szCs w:val="16"/>
        </w:rPr>
        <w:t xml:space="preserve"> </w:t>
      </w:r>
      <w:r w:rsidR="00506994" w:rsidRPr="006F0CD6">
        <w:rPr>
          <w:rFonts w:eastAsia="Times New Roman"/>
          <w:sz w:val="16"/>
          <w:szCs w:val="16"/>
        </w:rPr>
        <w:t>compared</w:t>
      </w:r>
      <w:proofErr w:type="gramEnd"/>
      <w:r w:rsidR="00506994" w:rsidRPr="006F0CD6">
        <w:rPr>
          <w:rFonts w:eastAsia="Times New Roman"/>
          <w:sz w:val="16"/>
          <w:szCs w:val="16"/>
        </w:rPr>
        <w:t xml:space="preserve"> to controls</w:t>
      </w:r>
    </w:p>
    <w:p w:rsidR="00E73676" w:rsidRDefault="00E73676" w:rsidP="00E73676">
      <w:pPr>
        <w:rPr>
          <w:b/>
          <w:bCs/>
          <w:szCs w:val="32"/>
        </w:rPr>
      </w:pPr>
    </w:p>
    <w:p w:rsidR="00492E23" w:rsidRPr="00492E23" w:rsidRDefault="00EE3678" w:rsidP="00492E23">
      <w:pPr>
        <w:rPr>
          <w:bCs/>
          <w:i/>
          <w:szCs w:val="32"/>
          <w:u w:val="single"/>
        </w:rPr>
      </w:pPr>
      <w:r w:rsidRPr="00EE3678">
        <w:rPr>
          <w:bCs/>
          <w:i/>
          <w:szCs w:val="32"/>
          <w:u w:val="single"/>
        </w:rPr>
        <w:t>Tabulated summary from monotherapy</w:t>
      </w:r>
    </w:p>
    <w:p w:rsidR="00492E23" w:rsidRPr="00492E23" w:rsidRDefault="00EE3678" w:rsidP="00492E23">
      <w:pPr>
        <w:rPr>
          <w:bCs/>
          <w:szCs w:val="32"/>
        </w:rPr>
      </w:pPr>
      <w:r w:rsidRPr="00BE1980">
        <w:rPr>
          <w:bCs/>
          <w:szCs w:val="32"/>
        </w:rPr>
        <w:t>The following table</w:t>
      </w:r>
      <w:r w:rsidR="00BE1980">
        <w:rPr>
          <w:bCs/>
          <w:szCs w:val="32"/>
        </w:rPr>
        <w:t>s</w:t>
      </w:r>
      <w:r w:rsidRPr="00BE1980">
        <w:rPr>
          <w:bCs/>
          <w:szCs w:val="32"/>
        </w:rPr>
        <w:t xml:space="preserve"> are derived from data gathered during the main studies in monotherapy for</w:t>
      </w:r>
    </w:p>
    <w:p w:rsidR="00492E23" w:rsidRDefault="00EE3678" w:rsidP="00492E23">
      <w:pPr>
        <w:rPr>
          <w:bCs/>
          <w:szCs w:val="32"/>
        </w:rPr>
      </w:pPr>
      <w:r w:rsidRPr="00EE3678">
        <w:rPr>
          <w:bCs/>
          <w:szCs w:val="32"/>
        </w:rPr>
        <w:t>myelodysplastic syndromes and mantle cell lymphoma.</w:t>
      </w:r>
    </w:p>
    <w:p w:rsidR="00492E23" w:rsidRPr="00492E23" w:rsidRDefault="00492E23" w:rsidP="00492E23">
      <w:pPr>
        <w:rPr>
          <w:bCs/>
          <w:szCs w:val="32"/>
        </w:rPr>
      </w:pPr>
    </w:p>
    <w:p w:rsidR="000404D2" w:rsidRDefault="00E73676" w:rsidP="00D36971">
      <w:pPr>
        <w:pStyle w:val="Heading1"/>
        <w:numPr>
          <w:ilvl w:val="0"/>
          <w:numId w:val="0"/>
        </w:numPr>
        <w:spacing w:after="2"/>
        <w:ind w:right="1274"/>
      </w:pPr>
      <w:r w:rsidRPr="00E73676">
        <w:t>Table 3. ADRs reported in clinical trials in patients with myelodysplastic syndromes treated with lenalidomide#</w:t>
      </w:r>
    </w:p>
    <w:tbl>
      <w:tblPr>
        <w:tblW w:w="99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3795"/>
        <w:gridCol w:w="3596"/>
      </w:tblGrid>
      <w:tr w:rsidR="00E73676" w:rsidRPr="00E73676" w:rsidTr="00D36971">
        <w:trPr>
          <w:trHeight w:val="506"/>
          <w:tblHeader/>
        </w:trPr>
        <w:tc>
          <w:tcPr>
            <w:tcW w:w="2590" w:type="dxa"/>
          </w:tcPr>
          <w:p w:rsidR="00E73676" w:rsidRPr="00E73676" w:rsidRDefault="00E73676" w:rsidP="00AB751C">
            <w:pPr>
              <w:pStyle w:val="TableParagraph"/>
              <w:spacing w:before="2" w:line="252" w:lineRule="exact"/>
              <w:ind w:right="317"/>
              <w:rPr>
                <w:rFonts w:ascii="Times New Roman" w:hAnsi="Times New Roman" w:cs="Times New Roman"/>
                <w:b/>
              </w:rPr>
            </w:pPr>
            <w:r w:rsidRPr="00E73676">
              <w:rPr>
                <w:rFonts w:ascii="Times New Roman" w:hAnsi="Times New Roman" w:cs="Times New Roman"/>
                <w:b/>
              </w:rPr>
              <w:t>System Organ Class / Preferred Term</w:t>
            </w:r>
          </w:p>
        </w:tc>
        <w:tc>
          <w:tcPr>
            <w:tcW w:w="3795" w:type="dxa"/>
          </w:tcPr>
          <w:p w:rsidR="00E73676" w:rsidRPr="00E73676" w:rsidRDefault="00E73676" w:rsidP="00AB751C">
            <w:pPr>
              <w:pStyle w:val="TableParagraph"/>
              <w:spacing w:line="251" w:lineRule="exact"/>
              <w:ind w:left="105"/>
              <w:rPr>
                <w:rFonts w:ascii="Times New Roman" w:hAnsi="Times New Roman" w:cs="Times New Roman"/>
                <w:b/>
              </w:rPr>
            </w:pPr>
            <w:r w:rsidRPr="00E73676">
              <w:rPr>
                <w:rFonts w:ascii="Times New Roman" w:hAnsi="Times New Roman" w:cs="Times New Roman"/>
                <w:b/>
              </w:rPr>
              <w:t>All ADRs/Frequency</w:t>
            </w:r>
          </w:p>
        </w:tc>
        <w:tc>
          <w:tcPr>
            <w:tcW w:w="3596" w:type="dxa"/>
          </w:tcPr>
          <w:p w:rsidR="00E73676" w:rsidRPr="00E73676" w:rsidRDefault="00E73676" w:rsidP="00AB751C">
            <w:pPr>
              <w:pStyle w:val="TableParagraph"/>
              <w:spacing w:line="251" w:lineRule="exact"/>
              <w:ind w:left="104"/>
              <w:rPr>
                <w:rFonts w:ascii="Times New Roman" w:hAnsi="Times New Roman" w:cs="Times New Roman"/>
                <w:b/>
              </w:rPr>
            </w:pPr>
            <w:r w:rsidRPr="00E73676">
              <w:rPr>
                <w:rFonts w:ascii="Times New Roman" w:hAnsi="Times New Roman" w:cs="Times New Roman"/>
                <w:b/>
              </w:rPr>
              <w:t>Grade 3−4 ADRs/Frequency</w:t>
            </w:r>
          </w:p>
        </w:tc>
      </w:tr>
      <w:tr w:rsidR="00E73676" w:rsidRPr="00E73676" w:rsidTr="00D36971">
        <w:trPr>
          <w:trHeight w:val="756"/>
        </w:trPr>
        <w:tc>
          <w:tcPr>
            <w:tcW w:w="2590" w:type="dxa"/>
            <w:tcBorders>
              <w:bottom w:val="nil"/>
            </w:tcBorders>
          </w:tcPr>
          <w:p w:rsidR="00E73676" w:rsidRPr="00E73676" w:rsidRDefault="00E73676" w:rsidP="00AB751C">
            <w:pPr>
              <w:pStyle w:val="TableParagraph"/>
              <w:ind w:right="989"/>
              <w:rPr>
                <w:rFonts w:ascii="Times New Roman" w:hAnsi="Times New Roman" w:cs="Times New Roman"/>
                <w:b/>
              </w:rPr>
            </w:pPr>
            <w:r w:rsidRPr="00E73676">
              <w:rPr>
                <w:rFonts w:ascii="Times New Roman" w:hAnsi="Times New Roman" w:cs="Times New Roman"/>
                <w:b/>
              </w:rPr>
              <w:t>Infections and Infestations</w:t>
            </w:r>
          </w:p>
        </w:tc>
        <w:tc>
          <w:tcPr>
            <w:tcW w:w="3795"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1F0EA4">
            <w:pPr>
              <w:pStyle w:val="TableParagraph"/>
              <w:spacing w:before="1" w:line="254" w:lineRule="exact"/>
              <w:ind w:left="105" w:right="440"/>
              <w:rPr>
                <w:rFonts w:ascii="Times New Roman" w:hAnsi="Times New Roman" w:cs="Times New Roman"/>
              </w:rPr>
            </w:pPr>
            <w:r w:rsidRPr="00E73676">
              <w:rPr>
                <w:rFonts w:ascii="Times New Roman" w:hAnsi="Times New Roman" w:cs="Times New Roman"/>
              </w:rPr>
              <w:t>Bacterial, viral and fungal infections (including opportunistic infections)</w:t>
            </w:r>
            <w:r w:rsidR="005C6DBD">
              <w:rPr>
                <w:rFonts w:eastAsia="Times New Roman"/>
                <w:spacing w:val="-3"/>
                <w:position w:val="8"/>
                <w:sz w:val="14"/>
                <w:szCs w:val="14"/>
              </w:rPr>
              <w:t>◊</w:t>
            </w:r>
          </w:p>
        </w:tc>
        <w:tc>
          <w:tcPr>
            <w:tcW w:w="3596" w:type="dxa"/>
            <w:tcBorders>
              <w:bottom w:val="nil"/>
            </w:tcBorders>
          </w:tcPr>
          <w:p w:rsidR="00E73676" w:rsidRPr="00E73676" w:rsidRDefault="00E73676" w:rsidP="00AB751C">
            <w:pPr>
              <w:pStyle w:val="TableParagraph"/>
              <w:spacing w:line="232" w:lineRule="auto"/>
              <w:ind w:left="104" w:right="2148"/>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Pneumonia</w:t>
            </w:r>
            <w:r w:rsidR="00311E2E">
              <w:rPr>
                <w:rFonts w:eastAsia="Times New Roman"/>
                <w:spacing w:val="-3"/>
                <w:position w:val="8"/>
                <w:sz w:val="14"/>
                <w:szCs w:val="14"/>
              </w:rPr>
              <w:t>◊</w:t>
            </w:r>
          </w:p>
        </w:tc>
      </w:tr>
      <w:tr w:rsidR="00E73676" w:rsidRPr="00E73676" w:rsidTr="00D36971">
        <w:trPr>
          <w:trHeight w:val="1013"/>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rPr>
                <w:rFonts w:ascii="Times New Roman" w:hAnsi="Times New Roman" w:cs="Times New Roman"/>
              </w:rPr>
            </w:pPr>
          </w:p>
        </w:tc>
        <w:tc>
          <w:tcPr>
            <w:tcW w:w="3596" w:type="dxa"/>
            <w:tcBorders>
              <w:top w:val="nil"/>
            </w:tcBorders>
          </w:tcPr>
          <w:p w:rsidR="00E73676" w:rsidRPr="00E73676" w:rsidRDefault="00E73676" w:rsidP="00AB751C">
            <w:pPr>
              <w:pStyle w:val="TableParagraph"/>
              <w:spacing w:line="248"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5" w:line="252" w:lineRule="exact"/>
              <w:ind w:left="104" w:right="201"/>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Pr="00E73676">
              <w:rPr>
                <w:rFonts w:ascii="Times New Roman" w:hAnsi="Times New Roman" w:cs="Times New Roman"/>
                <w:spacing w:val="-31"/>
              </w:rPr>
              <w:t xml:space="preserve"> </w:t>
            </w:r>
            <w:r w:rsidR="008A0979" w:rsidRPr="008A0979">
              <w:rPr>
                <w:rFonts w:ascii="Times New Roman" w:hAnsi="Times New Roman" w:cs="Times New Roman"/>
                <w:position w:val="8"/>
                <w:vertAlign w:val="superscript"/>
              </w:rPr>
              <w:t>◊</w:t>
            </w:r>
            <w:r w:rsidRPr="00E73676">
              <w:rPr>
                <w:rFonts w:ascii="Times New Roman" w:hAnsi="Times New Roman" w:cs="Times New Roman"/>
              </w:rPr>
              <w:t>, Bronchitis</w:t>
            </w:r>
          </w:p>
        </w:tc>
      </w:tr>
      <w:tr w:rsidR="00E73676" w:rsidRPr="00E73676" w:rsidTr="00D36971">
        <w:trPr>
          <w:trHeight w:val="249"/>
        </w:trPr>
        <w:tc>
          <w:tcPr>
            <w:tcW w:w="2590" w:type="dxa"/>
            <w:tcBorders>
              <w:bottom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Blood and Lymphatic</w:t>
            </w:r>
          </w:p>
        </w:tc>
        <w:tc>
          <w:tcPr>
            <w:tcW w:w="3795" w:type="dxa"/>
            <w:tcBorders>
              <w:bottom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u w:val="single"/>
              </w:rPr>
              <w:t>Very Common</w:t>
            </w:r>
          </w:p>
        </w:tc>
        <w:tc>
          <w:tcPr>
            <w:tcW w:w="3596" w:type="dxa"/>
            <w:tcBorders>
              <w:bottom w:val="nil"/>
            </w:tcBorders>
          </w:tcPr>
          <w:p w:rsidR="00E73676" w:rsidRPr="00E73676" w:rsidRDefault="00E73676" w:rsidP="00AB751C">
            <w:pPr>
              <w:pStyle w:val="TableParagraph"/>
              <w:spacing w:line="230" w:lineRule="exact"/>
              <w:ind w:left="104"/>
              <w:rPr>
                <w:rFonts w:ascii="Times New Roman" w:hAnsi="Times New Roman" w:cs="Times New Roman"/>
              </w:rPr>
            </w:pPr>
            <w:r w:rsidRPr="00E73676">
              <w:rPr>
                <w:rFonts w:ascii="Times New Roman" w:hAnsi="Times New Roman" w:cs="Times New Roman"/>
                <w:u w:val="single"/>
              </w:rPr>
              <w:t>Very Common</w:t>
            </w:r>
          </w:p>
        </w:tc>
      </w:tr>
      <w:tr w:rsidR="00E73676" w:rsidRPr="00E73676" w:rsidTr="00D36971">
        <w:trPr>
          <w:trHeight w:val="256"/>
        </w:trPr>
        <w:tc>
          <w:tcPr>
            <w:tcW w:w="2590" w:type="dxa"/>
            <w:tcBorders>
              <w:top w:val="nil"/>
              <w:bottom w:val="nil"/>
            </w:tcBorders>
          </w:tcPr>
          <w:p w:rsidR="00E73676" w:rsidRPr="00E73676" w:rsidRDefault="00E73676" w:rsidP="00AB751C">
            <w:pPr>
              <w:pStyle w:val="TableParagraph"/>
              <w:spacing w:before="1" w:line="236" w:lineRule="exact"/>
              <w:rPr>
                <w:rFonts w:ascii="Times New Roman" w:hAnsi="Times New Roman" w:cs="Times New Roman"/>
                <w:b/>
              </w:rPr>
            </w:pPr>
            <w:r w:rsidRPr="00E73676">
              <w:rPr>
                <w:rFonts w:ascii="Times New Roman" w:hAnsi="Times New Roman" w:cs="Times New Roman"/>
                <w:b/>
              </w:rPr>
              <w:t>System Disorders</w:t>
            </w:r>
          </w:p>
        </w:tc>
        <w:tc>
          <w:tcPr>
            <w:tcW w:w="3795" w:type="dxa"/>
            <w:tcBorders>
              <w:top w:val="nil"/>
              <w:bottom w:val="nil"/>
            </w:tcBorders>
          </w:tcPr>
          <w:p w:rsidR="00E73676" w:rsidRPr="00E73676" w:rsidRDefault="00E73676" w:rsidP="00AB751C">
            <w:pPr>
              <w:pStyle w:val="TableParagraph"/>
              <w:spacing w:line="237" w:lineRule="exact"/>
              <w:ind w:left="105"/>
              <w:rPr>
                <w:rFonts w:ascii="Times New Roman" w:hAnsi="Times New Roman" w:cs="Times New Roman"/>
              </w:rPr>
            </w:pPr>
            <w:r w:rsidRPr="00E73676">
              <w:rPr>
                <w:rFonts w:ascii="Times New Roman" w:hAnsi="Times New Roman" w:cs="Times New Roman"/>
              </w:rPr>
              <w:t>Thrombocytopenia^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 Neutropenia^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w:t>
            </w:r>
          </w:p>
        </w:tc>
        <w:tc>
          <w:tcPr>
            <w:tcW w:w="3596" w:type="dxa"/>
            <w:tcBorders>
              <w:top w:val="nil"/>
              <w:bottom w:val="nil"/>
            </w:tcBorders>
          </w:tcPr>
          <w:p w:rsidR="00E73676" w:rsidRPr="00E73676" w:rsidRDefault="00E73676" w:rsidP="00311E2E">
            <w:pPr>
              <w:pStyle w:val="TableParagraph"/>
              <w:spacing w:line="237" w:lineRule="exact"/>
              <w:ind w:left="104"/>
              <w:rPr>
                <w:rFonts w:ascii="Times New Roman" w:hAnsi="Times New Roman" w:cs="Times New Roman"/>
              </w:rPr>
            </w:pPr>
            <w:r w:rsidRPr="00E73676">
              <w:rPr>
                <w:rFonts w:ascii="Times New Roman" w:hAnsi="Times New Roman" w:cs="Times New Roman"/>
              </w:rPr>
              <w:t>Thrombocytopenia^</w:t>
            </w:r>
            <w:r w:rsidR="00311E2E">
              <w:rPr>
                <w:rFonts w:eastAsia="Times New Roman"/>
                <w:spacing w:val="-3"/>
                <w:position w:val="8"/>
                <w:sz w:val="14"/>
                <w:szCs w:val="14"/>
              </w:rPr>
              <w:t>◊</w:t>
            </w:r>
            <w:r w:rsidRPr="00E73676">
              <w:rPr>
                <w:rFonts w:ascii="Times New Roman" w:hAnsi="Times New Roman" w:cs="Times New Roman"/>
              </w:rPr>
              <w:t>, Neutropenia^</w:t>
            </w:r>
            <w:r w:rsidR="00311E2E">
              <w:rPr>
                <w:rFonts w:eastAsia="Times New Roman"/>
                <w:spacing w:val="-3"/>
                <w:position w:val="8"/>
                <w:sz w:val="14"/>
                <w:szCs w:val="14"/>
              </w:rPr>
              <w:t>◊</w:t>
            </w:r>
            <w:r w:rsidRPr="00E73676">
              <w:rPr>
                <w:rFonts w:ascii="Times New Roman" w:hAnsi="Times New Roman" w:cs="Times New Roman"/>
              </w:rPr>
              <w:t>,</w:t>
            </w:r>
          </w:p>
        </w:tc>
      </w:tr>
      <w:tr w:rsidR="00E73676" w:rsidRPr="00E73676" w:rsidTr="00D36971">
        <w:trPr>
          <w:trHeight w:val="378"/>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Leucopenias</w:t>
            </w:r>
          </w:p>
        </w:tc>
        <w:tc>
          <w:tcPr>
            <w:tcW w:w="3596" w:type="dxa"/>
            <w:tcBorders>
              <w:top w:val="nil"/>
              <w:bottom w:val="nil"/>
            </w:tcBorders>
          </w:tcPr>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rPr>
              <w:t>Leucopenias</w:t>
            </w:r>
          </w:p>
        </w:tc>
      </w:tr>
      <w:tr w:rsidR="00E73676" w:rsidRPr="00E73676" w:rsidTr="00D36971">
        <w:trPr>
          <w:trHeight w:val="375"/>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596" w:type="dxa"/>
            <w:tcBorders>
              <w:top w:val="nil"/>
              <w:bottom w:val="nil"/>
            </w:tcBorders>
          </w:tcPr>
          <w:p w:rsidR="00E73676" w:rsidRPr="00E73676" w:rsidRDefault="00E73676" w:rsidP="00AB751C">
            <w:pPr>
              <w:pStyle w:val="TableParagraph"/>
              <w:spacing w:before="122" w:line="234" w:lineRule="exact"/>
              <w:ind w:left="104"/>
              <w:rPr>
                <w:rFonts w:ascii="Times New Roman" w:hAnsi="Times New Roman" w:cs="Times New Roman"/>
              </w:rPr>
            </w:pPr>
            <w:r w:rsidRPr="00E73676">
              <w:rPr>
                <w:rFonts w:ascii="Times New Roman" w:hAnsi="Times New Roman" w:cs="Times New Roman"/>
                <w:u w:val="single"/>
              </w:rPr>
              <w:t>Common</w:t>
            </w:r>
          </w:p>
        </w:tc>
      </w:tr>
      <w:tr w:rsidR="00E73676" w:rsidRPr="00E73676" w:rsidTr="00D36971">
        <w:trPr>
          <w:trHeight w:val="256"/>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rPr>
                <w:rFonts w:ascii="Times New Roman" w:hAnsi="Times New Roman" w:cs="Times New Roman"/>
              </w:rPr>
            </w:pPr>
          </w:p>
        </w:tc>
        <w:tc>
          <w:tcPr>
            <w:tcW w:w="3596" w:type="dxa"/>
            <w:tcBorders>
              <w:top w:val="nil"/>
            </w:tcBorders>
          </w:tcPr>
          <w:p w:rsidR="00E73676" w:rsidRPr="00E73676" w:rsidRDefault="00E73676" w:rsidP="00AB751C">
            <w:pPr>
              <w:pStyle w:val="TableParagraph"/>
              <w:spacing w:line="236" w:lineRule="exact"/>
              <w:ind w:left="104"/>
              <w:rPr>
                <w:rFonts w:ascii="Times New Roman" w:hAnsi="Times New Roman" w:cs="Times New Roman"/>
              </w:rPr>
            </w:pPr>
            <w:r w:rsidRPr="00E73676">
              <w:rPr>
                <w:rFonts w:ascii="Times New Roman" w:hAnsi="Times New Roman" w:cs="Times New Roman"/>
              </w:rPr>
              <w:t>Febrile neutropenia^</w:t>
            </w:r>
            <w:r w:rsidR="00311E2E">
              <w:rPr>
                <w:rFonts w:eastAsia="Times New Roman"/>
                <w:spacing w:val="-3"/>
                <w:position w:val="8"/>
                <w:sz w:val="14"/>
                <w:szCs w:val="14"/>
              </w:rPr>
              <w:t>◊</w:t>
            </w:r>
          </w:p>
        </w:tc>
      </w:tr>
      <w:tr w:rsidR="00E73676" w:rsidRPr="00E73676" w:rsidTr="00D36971">
        <w:trPr>
          <w:trHeight w:val="506"/>
        </w:trPr>
        <w:tc>
          <w:tcPr>
            <w:tcW w:w="2590" w:type="dxa"/>
          </w:tcPr>
          <w:p w:rsidR="00E73676" w:rsidRPr="00E73676" w:rsidRDefault="00E73676" w:rsidP="00AB751C">
            <w:pPr>
              <w:pStyle w:val="TableParagraph"/>
              <w:spacing w:before="1"/>
              <w:rPr>
                <w:rFonts w:ascii="Times New Roman" w:hAnsi="Times New Roman" w:cs="Times New Roman"/>
                <w:b/>
              </w:rPr>
            </w:pPr>
            <w:r w:rsidRPr="00E73676">
              <w:rPr>
                <w:rFonts w:ascii="Times New Roman" w:hAnsi="Times New Roman" w:cs="Times New Roman"/>
                <w:b/>
              </w:rPr>
              <w:t>Endocrine Disorders</w:t>
            </w:r>
          </w:p>
        </w:tc>
        <w:tc>
          <w:tcPr>
            <w:tcW w:w="3795" w:type="dxa"/>
          </w:tcPr>
          <w:p w:rsidR="00E73676" w:rsidRPr="00E73676" w:rsidRDefault="00E73676" w:rsidP="00AB751C">
            <w:pPr>
              <w:pStyle w:val="TableParagraph"/>
              <w:spacing w:line="252" w:lineRule="exact"/>
              <w:ind w:left="105" w:right="2217"/>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Hypothyroidism</w:t>
            </w:r>
          </w:p>
        </w:tc>
        <w:tc>
          <w:tcPr>
            <w:tcW w:w="3596" w:type="dxa"/>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634"/>
        </w:trPr>
        <w:tc>
          <w:tcPr>
            <w:tcW w:w="2590" w:type="dxa"/>
            <w:tcBorders>
              <w:bottom w:val="nil"/>
            </w:tcBorders>
          </w:tcPr>
          <w:p w:rsidR="00E73676" w:rsidRPr="00E73676" w:rsidRDefault="00E73676" w:rsidP="00AB751C">
            <w:pPr>
              <w:pStyle w:val="TableParagraph"/>
              <w:ind w:right="476"/>
              <w:rPr>
                <w:rFonts w:ascii="Times New Roman" w:hAnsi="Times New Roman" w:cs="Times New Roman"/>
                <w:b/>
              </w:rPr>
            </w:pPr>
            <w:r w:rsidRPr="00E73676">
              <w:rPr>
                <w:rFonts w:ascii="Times New Roman" w:hAnsi="Times New Roman" w:cs="Times New Roman"/>
                <w:b/>
              </w:rPr>
              <w:t>Metabolism and Nutrition Disorders</w:t>
            </w:r>
          </w:p>
        </w:tc>
        <w:tc>
          <w:tcPr>
            <w:tcW w:w="3795" w:type="dxa"/>
            <w:tcBorders>
              <w:bottom w:val="nil"/>
            </w:tcBorders>
          </w:tcPr>
          <w:p w:rsidR="00E73676" w:rsidRPr="00E73676" w:rsidRDefault="00E73676" w:rsidP="00AB751C">
            <w:pPr>
              <w:pStyle w:val="TableParagraph"/>
              <w:spacing w:line="242" w:lineRule="auto"/>
              <w:ind w:left="105" w:right="1992"/>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Decreased appetite</w:t>
            </w:r>
          </w:p>
        </w:tc>
        <w:tc>
          <w:tcPr>
            <w:tcW w:w="3596" w:type="dxa"/>
            <w:tcBorders>
              <w:bottom w:val="nil"/>
            </w:tcBorders>
          </w:tcPr>
          <w:p w:rsidR="00E73676" w:rsidRPr="00E73676" w:rsidRDefault="00E73676" w:rsidP="00AB751C">
            <w:pPr>
              <w:pStyle w:val="TableParagraph"/>
              <w:spacing w:line="245"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ind w:left="104"/>
              <w:rPr>
                <w:rFonts w:ascii="Times New Roman" w:hAnsi="Times New Roman" w:cs="Times New Roman"/>
              </w:rPr>
            </w:pPr>
            <w:r w:rsidRPr="00E73676">
              <w:rPr>
                <w:rFonts w:ascii="Times New Roman" w:hAnsi="Times New Roman" w:cs="Times New Roman"/>
              </w:rPr>
              <w:t>Hyperglycaemia</w:t>
            </w:r>
            <w:r w:rsidR="00311E2E">
              <w:rPr>
                <w:rFonts w:eastAsia="Times New Roman"/>
                <w:spacing w:val="-3"/>
                <w:position w:val="8"/>
                <w:sz w:val="14"/>
                <w:szCs w:val="14"/>
              </w:rPr>
              <w:t>◊</w:t>
            </w:r>
            <w:r w:rsidRPr="00E73676">
              <w:rPr>
                <w:rFonts w:ascii="Times New Roman" w:hAnsi="Times New Roman" w:cs="Times New Roman"/>
              </w:rPr>
              <w:t>, Decreased appetite</w:t>
            </w:r>
          </w:p>
        </w:tc>
      </w:tr>
      <w:tr w:rsidR="00E73676" w:rsidRPr="00E73676" w:rsidTr="00D36971">
        <w:trPr>
          <w:trHeight w:val="632"/>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before="120"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Iron overload, Weight decreased</w:t>
            </w:r>
          </w:p>
        </w:tc>
        <w:tc>
          <w:tcPr>
            <w:tcW w:w="3596"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506"/>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Psychiatric 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43"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3" w:lineRule="exact"/>
              <w:ind w:left="104"/>
              <w:rPr>
                <w:rFonts w:ascii="Times New Roman" w:hAnsi="Times New Roman" w:cs="Times New Roman"/>
              </w:rPr>
            </w:pPr>
            <w:r w:rsidRPr="00E73676">
              <w:rPr>
                <w:rFonts w:ascii="Times New Roman" w:hAnsi="Times New Roman" w:cs="Times New Roman"/>
              </w:rPr>
              <w:t>Altered mood</w:t>
            </w:r>
            <w:r w:rsidR="001F0EA4">
              <w:rPr>
                <w:rFonts w:eastAsia="Times New Roman"/>
                <w:spacing w:val="-3"/>
                <w:position w:val="8"/>
                <w:sz w:val="14"/>
                <w:szCs w:val="14"/>
              </w:rPr>
              <w:t>◊</w:t>
            </w:r>
            <w:r w:rsidR="001F0EA4">
              <w:rPr>
                <w:rFonts w:ascii="Times New Roman" w:hAnsi="Times New Roman" w:cs="Times New Roman"/>
                <w:position w:val="8"/>
              </w:rPr>
              <w:t>,</w:t>
            </w:r>
            <w:r w:rsidRPr="00E73676">
              <w:rPr>
                <w:rFonts w:ascii="Times New Roman" w:hAnsi="Times New Roman" w:cs="Times New Roman"/>
                <w:position w:val="8"/>
              </w:rPr>
              <w:t>~</w:t>
            </w:r>
          </w:p>
        </w:tc>
      </w:tr>
      <w:tr w:rsidR="00E73676" w:rsidRPr="00E73676" w:rsidTr="00D36971">
        <w:trPr>
          <w:trHeight w:val="247"/>
        </w:trPr>
        <w:tc>
          <w:tcPr>
            <w:tcW w:w="2590" w:type="dxa"/>
            <w:tcBorders>
              <w:bottom w:val="nil"/>
            </w:tcBorders>
          </w:tcPr>
          <w:p w:rsidR="00E73676" w:rsidRPr="00E73676" w:rsidRDefault="00E73676" w:rsidP="00AB751C">
            <w:pPr>
              <w:pStyle w:val="TableParagraph"/>
              <w:spacing w:line="228" w:lineRule="exact"/>
              <w:rPr>
                <w:rFonts w:ascii="Times New Roman" w:hAnsi="Times New Roman" w:cs="Times New Roman"/>
                <w:b/>
              </w:rPr>
            </w:pPr>
            <w:r w:rsidRPr="00E73676">
              <w:rPr>
                <w:rFonts w:ascii="Times New Roman" w:hAnsi="Times New Roman" w:cs="Times New Roman"/>
                <w:b/>
              </w:rPr>
              <w:t>Nervous System</w:t>
            </w:r>
          </w:p>
        </w:tc>
        <w:tc>
          <w:tcPr>
            <w:tcW w:w="3795" w:type="dxa"/>
            <w:tcBorders>
              <w:bottom w:val="nil"/>
            </w:tcBorders>
          </w:tcPr>
          <w:p w:rsidR="00E73676" w:rsidRPr="00E73676" w:rsidRDefault="00E73676" w:rsidP="00AB751C">
            <w:pPr>
              <w:pStyle w:val="TableParagraph"/>
              <w:spacing w:line="228" w:lineRule="exact"/>
              <w:ind w:left="105"/>
              <w:rPr>
                <w:rFonts w:ascii="Times New Roman" w:hAnsi="Times New Roman" w:cs="Times New Roman"/>
              </w:rPr>
            </w:pPr>
            <w:r w:rsidRPr="00E73676">
              <w:rPr>
                <w:rFonts w:ascii="Times New Roman" w:hAnsi="Times New Roman" w:cs="Times New Roman"/>
                <w:u w:val="single"/>
              </w:rPr>
              <w:t>Very Common</w:t>
            </w:r>
          </w:p>
        </w:tc>
        <w:tc>
          <w:tcPr>
            <w:tcW w:w="3596" w:type="dxa"/>
            <w:vMerge w:val="restart"/>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369"/>
        </w:trPr>
        <w:tc>
          <w:tcPr>
            <w:tcW w:w="2590" w:type="dxa"/>
            <w:tcBorders>
              <w:top w:val="nil"/>
              <w:bottom w:val="nil"/>
            </w:tcBorders>
          </w:tcPr>
          <w:p w:rsidR="00E73676" w:rsidRPr="00E73676" w:rsidRDefault="00E73676" w:rsidP="00AB751C">
            <w:pPr>
              <w:pStyle w:val="TableParagraph"/>
              <w:spacing w:line="245" w:lineRule="exact"/>
              <w:rPr>
                <w:rFonts w:ascii="Times New Roman" w:hAnsi="Times New Roman" w:cs="Times New Roman"/>
                <w:b/>
              </w:rPr>
            </w:pPr>
            <w:r w:rsidRPr="00E73676">
              <w:rPr>
                <w:rFonts w:ascii="Times New Roman" w:hAnsi="Times New Roman" w:cs="Times New Roman"/>
                <w:b/>
              </w:rPr>
              <w:t>Disorders</w:t>
            </w:r>
          </w:p>
        </w:tc>
        <w:tc>
          <w:tcPr>
            <w:tcW w:w="3795" w:type="dxa"/>
            <w:tcBorders>
              <w:top w:val="nil"/>
              <w:bottom w:val="nil"/>
            </w:tcBorders>
          </w:tcPr>
          <w:p w:rsidR="00E73676" w:rsidRPr="00E73676" w:rsidRDefault="00E73676" w:rsidP="00AB751C">
            <w:pPr>
              <w:pStyle w:val="TableParagraph"/>
              <w:spacing w:line="241" w:lineRule="exact"/>
              <w:ind w:left="105"/>
              <w:rPr>
                <w:rFonts w:ascii="Times New Roman" w:hAnsi="Times New Roman" w:cs="Times New Roman"/>
              </w:rPr>
            </w:pPr>
            <w:r w:rsidRPr="00E73676">
              <w:rPr>
                <w:rFonts w:ascii="Times New Roman" w:hAnsi="Times New Roman" w:cs="Times New Roman"/>
              </w:rPr>
              <w:t>Dizziness, Headache</w:t>
            </w:r>
          </w:p>
        </w:tc>
        <w:tc>
          <w:tcPr>
            <w:tcW w:w="3596" w:type="dxa"/>
            <w:vMerge/>
            <w:tcBorders>
              <w:top w:val="nil"/>
            </w:tcBorders>
          </w:tcPr>
          <w:p w:rsidR="00E73676" w:rsidRPr="00E73676" w:rsidRDefault="00E73676" w:rsidP="00AB751C"/>
        </w:tc>
      </w:tr>
      <w:tr w:rsidR="00E73676" w:rsidRPr="00E73676" w:rsidTr="00D36971">
        <w:trPr>
          <w:trHeight w:val="366"/>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spacing w:before="115" w:line="232" w:lineRule="exact"/>
              <w:ind w:left="105"/>
              <w:rPr>
                <w:rFonts w:ascii="Times New Roman" w:hAnsi="Times New Roman" w:cs="Times New Roman"/>
              </w:rPr>
            </w:pPr>
            <w:r w:rsidRPr="00E73676">
              <w:rPr>
                <w:rFonts w:ascii="Times New Roman" w:hAnsi="Times New Roman" w:cs="Times New Roman"/>
                <w:u w:val="single"/>
              </w:rPr>
              <w:t>Common</w:t>
            </w:r>
          </w:p>
        </w:tc>
        <w:tc>
          <w:tcPr>
            <w:tcW w:w="3596" w:type="dxa"/>
            <w:vMerge/>
            <w:tcBorders>
              <w:top w:val="nil"/>
            </w:tcBorders>
          </w:tcPr>
          <w:p w:rsidR="00E73676" w:rsidRPr="00E73676" w:rsidRDefault="00E73676" w:rsidP="00AB751C"/>
        </w:tc>
      </w:tr>
      <w:tr w:rsidR="00E73676" w:rsidRPr="00E73676" w:rsidTr="00D36971">
        <w:trPr>
          <w:trHeight w:val="250"/>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rPr>
              <w:t>Paraesthesia</w:t>
            </w:r>
          </w:p>
        </w:tc>
        <w:tc>
          <w:tcPr>
            <w:tcW w:w="3596" w:type="dxa"/>
            <w:vMerge/>
            <w:tcBorders>
              <w:top w:val="nil"/>
            </w:tcBorders>
          </w:tcPr>
          <w:p w:rsidR="00E73676" w:rsidRPr="00E73676" w:rsidRDefault="00E73676" w:rsidP="00AB751C"/>
        </w:tc>
      </w:tr>
      <w:tr w:rsidR="00E73676" w:rsidRPr="00E73676" w:rsidTr="00D36971">
        <w:trPr>
          <w:trHeight w:val="757"/>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Cardiac 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44"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4" w:line="254" w:lineRule="exact"/>
              <w:ind w:left="104" w:right="186"/>
              <w:rPr>
                <w:rFonts w:ascii="Times New Roman" w:hAnsi="Times New Roman" w:cs="Times New Roman"/>
              </w:rPr>
            </w:pPr>
            <w:r w:rsidRPr="00E73676">
              <w:rPr>
                <w:rFonts w:ascii="Times New Roman" w:hAnsi="Times New Roman" w:cs="Times New Roman"/>
              </w:rPr>
              <w:t>Acute myocardial infarction</w:t>
            </w:r>
            <w:r w:rsidRPr="001F0EA4">
              <w:rPr>
                <w:rFonts w:ascii="Times New Roman" w:hAnsi="Times New Roman" w:cs="Times New Roman"/>
              </w:rPr>
              <w:t>^</w:t>
            </w:r>
            <w:r w:rsidR="008A0979" w:rsidRPr="008A0979">
              <w:rPr>
                <w:rFonts w:ascii="Times New Roman" w:hAnsi="Times New Roman" w:cs="Times New Roman"/>
              </w:rPr>
              <w:t>,</w:t>
            </w:r>
            <w:r w:rsidR="00311E2E" w:rsidRPr="001F0EA4">
              <w:rPr>
                <w:rFonts w:eastAsia="Times New Roman"/>
                <w:spacing w:val="-3"/>
                <w:position w:val="8"/>
                <w:sz w:val="14"/>
                <w:szCs w:val="14"/>
              </w:rPr>
              <w:t>◊</w:t>
            </w:r>
            <w:r w:rsidRPr="00E73676">
              <w:rPr>
                <w:rFonts w:ascii="Times New Roman" w:hAnsi="Times New Roman" w:cs="Times New Roman"/>
              </w:rPr>
              <w:t>, Atrial fibrillation</w:t>
            </w:r>
            <w:r w:rsidR="00311E2E">
              <w:rPr>
                <w:rFonts w:eastAsia="Times New Roman"/>
                <w:spacing w:val="-3"/>
                <w:position w:val="8"/>
                <w:sz w:val="14"/>
                <w:szCs w:val="14"/>
              </w:rPr>
              <w:t>◊</w:t>
            </w:r>
            <w:r w:rsidRPr="00E73676">
              <w:rPr>
                <w:rFonts w:ascii="Times New Roman" w:hAnsi="Times New Roman" w:cs="Times New Roman"/>
              </w:rPr>
              <w:t>, Cardiac failure</w:t>
            </w:r>
            <w:r w:rsidR="00311E2E">
              <w:rPr>
                <w:rFonts w:eastAsia="Times New Roman"/>
                <w:spacing w:val="-3"/>
                <w:position w:val="8"/>
                <w:sz w:val="14"/>
                <w:szCs w:val="14"/>
              </w:rPr>
              <w:t>◊</w:t>
            </w:r>
          </w:p>
        </w:tc>
      </w:tr>
      <w:tr w:rsidR="00E73676" w:rsidRPr="00E73676" w:rsidTr="00D36971">
        <w:trPr>
          <w:trHeight w:val="1012"/>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Vascular Disorders</w:t>
            </w:r>
          </w:p>
        </w:tc>
        <w:tc>
          <w:tcPr>
            <w:tcW w:w="3795" w:type="dxa"/>
          </w:tcPr>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1"/>
              <w:ind w:left="105"/>
              <w:rPr>
                <w:rFonts w:ascii="Times New Roman" w:hAnsi="Times New Roman" w:cs="Times New Roman"/>
              </w:rPr>
            </w:pPr>
            <w:r w:rsidRPr="00E73676">
              <w:rPr>
                <w:rFonts w:ascii="Times New Roman" w:hAnsi="Times New Roman" w:cs="Times New Roman"/>
              </w:rPr>
              <w:t>Hypertension, Haematoma</w:t>
            </w:r>
          </w:p>
        </w:tc>
        <w:tc>
          <w:tcPr>
            <w:tcW w:w="3596" w:type="dxa"/>
          </w:tcPr>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5" w:line="252" w:lineRule="exact"/>
              <w:ind w:left="104" w:right="242"/>
              <w:rPr>
                <w:rFonts w:ascii="Times New Roman" w:hAnsi="Times New Roman" w:cs="Times New Roman"/>
              </w:rPr>
            </w:pPr>
            <w:r w:rsidRPr="00E73676">
              <w:rPr>
                <w:rFonts w:ascii="Times New Roman" w:hAnsi="Times New Roman" w:cs="Times New Roman"/>
              </w:rPr>
              <w:t>Venous thromboembolic events, predominantly deep vein thrombosis and pulmonary embolism</w:t>
            </w:r>
            <w:r w:rsidRPr="001F0EA4">
              <w:rPr>
                <w:rFonts w:ascii="Times New Roman" w:hAnsi="Times New Roman" w:cs="Times New Roman"/>
              </w:rPr>
              <w:t>^</w:t>
            </w:r>
            <w:r w:rsidR="001F0EA4" w:rsidRPr="001F0EA4">
              <w:rPr>
                <w:rFonts w:ascii="Times New Roman" w:hAnsi="Times New Roman" w:cs="Times New Roman"/>
              </w:rPr>
              <w:t>,</w:t>
            </w:r>
            <w:r w:rsidR="00311E2E" w:rsidRPr="001F0EA4">
              <w:rPr>
                <w:rFonts w:eastAsia="Times New Roman"/>
                <w:spacing w:val="-3"/>
                <w:position w:val="8"/>
                <w:sz w:val="14"/>
                <w:szCs w:val="14"/>
              </w:rPr>
              <w:t>◊</w:t>
            </w:r>
          </w:p>
        </w:tc>
      </w:tr>
      <w:tr w:rsidR="00E73676" w:rsidRPr="00E73676" w:rsidTr="00D36971">
        <w:trPr>
          <w:trHeight w:val="758"/>
        </w:trPr>
        <w:tc>
          <w:tcPr>
            <w:tcW w:w="2590" w:type="dxa"/>
          </w:tcPr>
          <w:p w:rsidR="00E73676" w:rsidRPr="00E73676" w:rsidRDefault="00E73676" w:rsidP="00AB751C">
            <w:pPr>
              <w:pStyle w:val="TableParagraph"/>
              <w:ind w:right="250"/>
              <w:rPr>
                <w:rFonts w:ascii="Times New Roman" w:hAnsi="Times New Roman" w:cs="Times New Roman"/>
                <w:b/>
              </w:rPr>
            </w:pPr>
            <w:r w:rsidRPr="00E73676">
              <w:rPr>
                <w:rFonts w:ascii="Times New Roman" w:hAnsi="Times New Roman" w:cs="Times New Roman"/>
                <w:b/>
              </w:rPr>
              <w:t>Respiratory, Thoracic and Mediastinal</w:t>
            </w:r>
          </w:p>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Disorders</w:t>
            </w:r>
          </w:p>
        </w:tc>
        <w:tc>
          <w:tcPr>
            <w:tcW w:w="3795" w:type="dxa"/>
          </w:tcPr>
          <w:p w:rsidR="00E73676" w:rsidRPr="00E73676" w:rsidRDefault="00E73676" w:rsidP="00AB751C">
            <w:pPr>
              <w:pStyle w:val="TableParagraph"/>
              <w:ind w:left="105" w:right="2346"/>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Epistaxis^</w:t>
            </w:r>
          </w:p>
        </w:tc>
        <w:tc>
          <w:tcPr>
            <w:tcW w:w="3596" w:type="dxa"/>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884"/>
        </w:trPr>
        <w:tc>
          <w:tcPr>
            <w:tcW w:w="2590" w:type="dxa"/>
            <w:tcBorders>
              <w:bottom w:val="nil"/>
            </w:tcBorders>
          </w:tcPr>
          <w:p w:rsidR="00E73676" w:rsidRPr="00E73676" w:rsidRDefault="00E73676" w:rsidP="00AB751C">
            <w:pPr>
              <w:pStyle w:val="TableParagraph"/>
              <w:ind w:right="812"/>
              <w:rPr>
                <w:rFonts w:ascii="Times New Roman" w:hAnsi="Times New Roman" w:cs="Times New Roman"/>
                <w:b/>
              </w:rPr>
            </w:pPr>
            <w:r w:rsidRPr="00E73676">
              <w:rPr>
                <w:rFonts w:ascii="Times New Roman" w:hAnsi="Times New Roman" w:cs="Times New Roman"/>
                <w:b/>
              </w:rPr>
              <w:t>Gastrointestinal Disorders</w:t>
            </w:r>
          </w:p>
        </w:tc>
        <w:tc>
          <w:tcPr>
            <w:tcW w:w="3795"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before="1"/>
              <w:ind w:left="105" w:right="140"/>
              <w:rPr>
                <w:rFonts w:ascii="Times New Roman" w:hAnsi="Times New Roman" w:cs="Times New Roman"/>
              </w:rPr>
            </w:pPr>
            <w:r w:rsidRPr="00E73676">
              <w:rPr>
                <w:rFonts w:ascii="Times New Roman" w:hAnsi="Times New Roman" w:cs="Times New Roman"/>
              </w:rPr>
              <w:t>Diarrhoea</w:t>
            </w:r>
            <w:r w:rsidR="005C6DBD">
              <w:rPr>
                <w:rFonts w:eastAsia="Times New Roman"/>
                <w:spacing w:val="-3"/>
                <w:position w:val="8"/>
                <w:sz w:val="14"/>
                <w:szCs w:val="14"/>
              </w:rPr>
              <w:t>◊</w:t>
            </w:r>
            <w:r w:rsidRPr="00E73676">
              <w:rPr>
                <w:rFonts w:ascii="Times New Roman" w:hAnsi="Times New Roman" w:cs="Times New Roman"/>
              </w:rPr>
              <w:t>, Abdominal pain (including upper), Nausea, Vomiting, Constipation</w:t>
            </w:r>
          </w:p>
        </w:tc>
        <w:tc>
          <w:tcPr>
            <w:tcW w:w="3596" w:type="dxa"/>
            <w:tcBorders>
              <w:bottom w:val="nil"/>
            </w:tcBorders>
          </w:tcPr>
          <w:p w:rsidR="00E73676" w:rsidRPr="00E73676" w:rsidRDefault="00E73676" w:rsidP="00AB751C">
            <w:pPr>
              <w:pStyle w:val="TableParagraph"/>
              <w:spacing w:line="245"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ind w:left="104"/>
              <w:rPr>
                <w:rFonts w:ascii="Times New Roman" w:hAnsi="Times New Roman" w:cs="Times New Roman"/>
              </w:rPr>
            </w:pPr>
            <w:r w:rsidRPr="00E73676">
              <w:rPr>
                <w:rFonts w:ascii="Times New Roman" w:hAnsi="Times New Roman" w:cs="Times New Roman"/>
              </w:rPr>
              <w:t>Diarrhoea</w:t>
            </w:r>
            <w:r w:rsidR="00311E2E">
              <w:rPr>
                <w:rFonts w:eastAsia="Times New Roman"/>
                <w:spacing w:val="-3"/>
                <w:position w:val="8"/>
                <w:sz w:val="14"/>
                <w:szCs w:val="14"/>
              </w:rPr>
              <w:t>◊</w:t>
            </w:r>
            <w:r w:rsidRPr="00E73676">
              <w:rPr>
                <w:rFonts w:ascii="Times New Roman" w:hAnsi="Times New Roman" w:cs="Times New Roman"/>
              </w:rPr>
              <w:t>, Nausea, Toothache</w:t>
            </w:r>
          </w:p>
        </w:tc>
      </w:tr>
      <w:tr w:rsidR="00E73676" w:rsidRPr="00E73676" w:rsidTr="00D36971">
        <w:trPr>
          <w:trHeight w:val="634"/>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before="122" w:line="253"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Dry mouth, Dyspepsia</w:t>
            </w:r>
          </w:p>
        </w:tc>
        <w:tc>
          <w:tcPr>
            <w:tcW w:w="3596"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506"/>
        </w:trPr>
        <w:tc>
          <w:tcPr>
            <w:tcW w:w="2590" w:type="dxa"/>
          </w:tcPr>
          <w:p w:rsidR="00E73676" w:rsidRPr="00E73676" w:rsidRDefault="00E73676" w:rsidP="00AB751C">
            <w:pPr>
              <w:pStyle w:val="TableParagraph"/>
              <w:spacing w:before="2" w:line="252" w:lineRule="exact"/>
              <w:ind w:right="1020"/>
              <w:rPr>
                <w:rFonts w:ascii="Times New Roman" w:hAnsi="Times New Roman" w:cs="Times New Roman"/>
                <w:b/>
              </w:rPr>
            </w:pPr>
            <w:r w:rsidRPr="00E73676">
              <w:rPr>
                <w:rFonts w:ascii="Times New Roman" w:hAnsi="Times New Roman" w:cs="Times New Roman"/>
                <w:b/>
              </w:rPr>
              <w:t>Hepatobiliary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Abnormal liver function tests</w:t>
            </w:r>
          </w:p>
        </w:tc>
        <w:tc>
          <w:tcPr>
            <w:tcW w:w="3596" w:type="dxa"/>
          </w:tcPr>
          <w:p w:rsidR="00E73676" w:rsidRPr="00E73676" w:rsidRDefault="00E73676" w:rsidP="00AB751C">
            <w:pPr>
              <w:pStyle w:val="TableParagraph"/>
              <w:spacing w:line="246"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4"/>
              <w:rPr>
                <w:rFonts w:ascii="Times New Roman" w:hAnsi="Times New Roman" w:cs="Times New Roman"/>
              </w:rPr>
            </w:pPr>
            <w:r w:rsidRPr="00E73676">
              <w:rPr>
                <w:rFonts w:ascii="Times New Roman" w:hAnsi="Times New Roman" w:cs="Times New Roman"/>
              </w:rPr>
              <w:t>Abnormal liver function tests</w:t>
            </w:r>
          </w:p>
        </w:tc>
      </w:tr>
      <w:tr w:rsidR="00E73676" w:rsidRPr="00E73676" w:rsidTr="00D36971">
        <w:trPr>
          <w:trHeight w:val="506"/>
        </w:trPr>
        <w:tc>
          <w:tcPr>
            <w:tcW w:w="2590" w:type="dxa"/>
          </w:tcPr>
          <w:p w:rsidR="00E73676" w:rsidRPr="00E73676" w:rsidRDefault="00E73676" w:rsidP="00AB751C">
            <w:pPr>
              <w:pStyle w:val="TableParagraph"/>
              <w:spacing w:before="2" w:line="252" w:lineRule="exact"/>
              <w:ind w:right="126"/>
              <w:rPr>
                <w:rFonts w:ascii="Times New Roman" w:hAnsi="Times New Roman" w:cs="Times New Roman"/>
                <w:b/>
              </w:rPr>
            </w:pPr>
            <w:r w:rsidRPr="00E73676">
              <w:rPr>
                <w:rFonts w:ascii="Times New Roman" w:hAnsi="Times New Roman" w:cs="Times New Roman"/>
                <w:b/>
              </w:rPr>
              <w:t>Skin and Subcutaneous Tissue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Rashes, Dry Skin, Pruritus</w:t>
            </w:r>
          </w:p>
        </w:tc>
        <w:tc>
          <w:tcPr>
            <w:tcW w:w="3596" w:type="dxa"/>
          </w:tcPr>
          <w:p w:rsidR="00E73676" w:rsidRPr="00E73676" w:rsidRDefault="00E73676" w:rsidP="00AB751C">
            <w:pPr>
              <w:pStyle w:val="TableParagraph"/>
              <w:spacing w:line="246"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4"/>
              <w:rPr>
                <w:rFonts w:ascii="Times New Roman" w:hAnsi="Times New Roman" w:cs="Times New Roman"/>
              </w:rPr>
            </w:pPr>
            <w:r w:rsidRPr="00E73676">
              <w:rPr>
                <w:rFonts w:ascii="Times New Roman" w:hAnsi="Times New Roman" w:cs="Times New Roman"/>
              </w:rPr>
              <w:t>Rashes, Pruritus</w:t>
            </w:r>
          </w:p>
        </w:tc>
      </w:tr>
      <w:tr w:rsidR="00E73676" w:rsidRPr="00E73676" w:rsidTr="00D36971">
        <w:trPr>
          <w:trHeight w:val="1012"/>
        </w:trPr>
        <w:tc>
          <w:tcPr>
            <w:tcW w:w="2590" w:type="dxa"/>
          </w:tcPr>
          <w:p w:rsidR="00E73676" w:rsidRPr="00E73676" w:rsidRDefault="00E73676" w:rsidP="00AB751C">
            <w:pPr>
              <w:pStyle w:val="TableParagraph"/>
              <w:ind w:right="402"/>
              <w:rPr>
                <w:rFonts w:ascii="Times New Roman" w:hAnsi="Times New Roman" w:cs="Times New Roman"/>
                <w:b/>
              </w:rPr>
            </w:pPr>
            <w:r w:rsidRPr="00E73676">
              <w:rPr>
                <w:rFonts w:ascii="Times New Roman" w:hAnsi="Times New Roman" w:cs="Times New Roman"/>
                <w:b/>
              </w:rPr>
              <w:t>Musculoskeletal and Connective Tissue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rPr>
              <w:t>Muscle spasms, Musculoskeletal pain</w:t>
            </w:r>
          </w:p>
          <w:p w:rsidR="00E73676" w:rsidRPr="00E73676" w:rsidRDefault="00E73676" w:rsidP="00AB751C">
            <w:pPr>
              <w:pStyle w:val="TableParagraph"/>
              <w:spacing w:before="5" w:line="252" w:lineRule="exact"/>
              <w:ind w:left="105" w:right="819"/>
              <w:rPr>
                <w:rFonts w:ascii="Times New Roman" w:hAnsi="Times New Roman" w:cs="Times New Roman"/>
              </w:rPr>
            </w:pPr>
            <w:r w:rsidRPr="00E73676">
              <w:rPr>
                <w:rFonts w:ascii="Times New Roman" w:hAnsi="Times New Roman" w:cs="Times New Roman"/>
              </w:rPr>
              <w:t>(including back pain</w:t>
            </w:r>
            <w:r w:rsidR="005C6DBD">
              <w:rPr>
                <w:rFonts w:eastAsia="Times New Roman"/>
                <w:spacing w:val="-3"/>
                <w:position w:val="8"/>
                <w:sz w:val="14"/>
                <w:szCs w:val="14"/>
              </w:rPr>
              <w:t>◊</w:t>
            </w:r>
            <w:r w:rsidRPr="00E73676">
              <w:rPr>
                <w:rFonts w:ascii="Times New Roman" w:hAnsi="Times New Roman" w:cs="Times New Roman"/>
              </w:rPr>
              <w:t xml:space="preserve"> and pain in extremity), Arthralgia, Myalgia</w:t>
            </w:r>
          </w:p>
        </w:tc>
        <w:tc>
          <w:tcPr>
            <w:tcW w:w="3596" w:type="dxa"/>
          </w:tcPr>
          <w:p w:rsidR="00E73676" w:rsidRPr="00E73676" w:rsidRDefault="00E73676" w:rsidP="00AB751C">
            <w:pPr>
              <w:pStyle w:val="TableParagraph"/>
              <w:spacing w:line="235" w:lineRule="auto"/>
              <w:ind w:left="104" w:right="250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Back pain</w:t>
            </w:r>
            <w:r w:rsidR="00311E2E">
              <w:rPr>
                <w:rFonts w:eastAsia="Times New Roman"/>
                <w:spacing w:val="-3"/>
                <w:position w:val="8"/>
                <w:sz w:val="14"/>
                <w:szCs w:val="14"/>
              </w:rPr>
              <w:t>◊</w:t>
            </w:r>
          </w:p>
        </w:tc>
      </w:tr>
      <w:tr w:rsidR="00E73676" w:rsidRPr="00E73676" w:rsidTr="00D36971">
        <w:trPr>
          <w:trHeight w:val="505"/>
        </w:trPr>
        <w:tc>
          <w:tcPr>
            <w:tcW w:w="2590" w:type="dxa"/>
          </w:tcPr>
          <w:p w:rsidR="00E73676" w:rsidRPr="00E73676" w:rsidRDefault="00E73676" w:rsidP="00AB751C">
            <w:pPr>
              <w:pStyle w:val="TableParagraph"/>
              <w:spacing w:line="246" w:lineRule="exact"/>
              <w:rPr>
                <w:rFonts w:ascii="Times New Roman" w:hAnsi="Times New Roman" w:cs="Times New Roman"/>
                <w:b/>
              </w:rPr>
            </w:pPr>
            <w:r w:rsidRPr="00E73676">
              <w:rPr>
                <w:rFonts w:ascii="Times New Roman" w:hAnsi="Times New Roman" w:cs="Times New Roman"/>
                <w:b/>
              </w:rPr>
              <w:t>Renal and Urinary</w:t>
            </w:r>
          </w:p>
          <w:p w:rsidR="00E73676" w:rsidRPr="00E73676" w:rsidRDefault="00E73676" w:rsidP="00AB751C">
            <w:pPr>
              <w:pStyle w:val="TableParagraph"/>
              <w:spacing w:line="240" w:lineRule="exact"/>
              <w:rPr>
                <w:rFonts w:ascii="Times New Roman" w:hAnsi="Times New Roman" w:cs="Times New Roman"/>
                <w:b/>
              </w:rPr>
            </w:pPr>
            <w:r w:rsidRPr="00E73676">
              <w:rPr>
                <w:rFonts w:ascii="Times New Roman" w:hAnsi="Times New Roman" w:cs="Times New Roman"/>
                <w:b/>
              </w:rPr>
              <w:t>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39"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rPr>
              <w:t>Renal failure</w:t>
            </w:r>
            <w:r w:rsidR="00311E2E">
              <w:rPr>
                <w:rFonts w:eastAsia="Times New Roman"/>
                <w:spacing w:val="-3"/>
                <w:position w:val="8"/>
                <w:sz w:val="14"/>
                <w:szCs w:val="14"/>
              </w:rPr>
              <w:t>◊</w:t>
            </w:r>
          </w:p>
        </w:tc>
      </w:tr>
      <w:tr w:rsidR="00E73676" w:rsidRPr="00E73676" w:rsidTr="00D36971">
        <w:trPr>
          <w:trHeight w:val="1266"/>
        </w:trPr>
        <w:tc>
          <w:tcPr>
            <w:tcW w:w="2590" w:type="dxa"/>
          </w:tcPr>
          <w:p w:rsidR="00E73676" w:rsidRPr="00E73676" w:rsidRDefault="00E73676" w:rsidP="00AB751C">
            <w:pPr>
              <w:pStyle w:val="TableParagraph"/>
              <w:ind w:right="189"/>
              <w:rPr>
                <w:rFonts w:ascii="Times New Roman" w:hAnsi="Times New Roman" w:cs="Times New Roman"/>
                <w:b/>
              </w:rPr>
            </w:pPr>
            <w:r w:rsidRPr="00E73676">
              <w:rPr>
                <w:rFonts w:ascii="Times New Roman" w:hAnsi="Times New Roman" w:cs="Times New Roman"/>
                <w:b/>
              </w:rPr>
              <w:t>General Disorders and Administration Site Conditions</w:t>
            </w:r>
          </w:p>
        </w:tc>
        <w:tc>
          <w:tcPr>
            <w:tcW w:w="3795" w:type="dxa"/>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06"/>
              <w:rPr>
                <w:rFonts w:ascii="Times New Roman" w:hAnsi="Times New Roman" w:cs="Times New Roman"/>
              </w:rPr>
            </w:pPr>
            <w:r w:rsidRPr="00E73676">
              <w:rPr>
                <w:rFonts w:ascii="Times New Roman" w:hAnsi="Times New Roman" w:cs="Times New Roman"/>
              </w:rPr>
              <w:t>Fatigue, Peripheral oedema, Influenza like illness syndrome (including pyrexia, cough, pharyngitis, myalgia,</w:t>
            </w:r>
          </w:p>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musculoskeletal pain, headache)</w:t>
            </w:r>
          </w:p>
        </w:tc>
        <w:tc>
          <w:tcPr>
            <w:tcW w:w="3596" w:type="dxa"/>
          </w:tcPr>
          <w:p w:rsidR="00E73676" w:rsidRPr="00E73676" w:rsidRDefault="00E73676" w:rsidP="00AB751C">
            <w:pPr>
              <w:pStyle w:val="TableParagraph"/>
              <w:ind w:left="104" w:right="2148"/>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Pyrexia</w:t>
            </w:r>
          </w:p>
        </w:tc>
      </w:tr>
      <w:tr w:rsidR="00E73676" w:rsidRPr="00E73676" w:rsidTr="00D36971">
        <w:trPr>
          <w:trHeight w:val="758"/>
        </w:trPr>
        <w:tc>
          <w:tcPr>
            <w:tcW w:w="2590" w:type="dxa"/>
          </w:tcPr>
          <w:p w:rsidR="00E73676" w:rsidRPr="00E73676" w:rsidRDefault="00E73676" w:rsidP="00AB751C">
            <w:pPr>
              <w:pStyle w:val="TableParagraph"/>
              <w:ind w:right="280"/>
              <w:rPr>
                <w:rFonts w:ascii="Times New Roman" w:hAnsi="Times New Roman" w:cs="Times New Roman"/>
                <w:b/>
              </w:rPr>
            </w:pPr>
            <w:r w:rsidRPr="00E73676">
              <w:rPr>
                <w:rFonts w:ascii="Times New Roman" w:hAnsi="Times New Roman" w:cs="Times New Roman"/>
                <w:b/>
              </w:rPr>
              <w:t>Injury, Poisoning and Procedural</w:t>
            </w:r>
          </w:p>
          <w:p w:rsidR="00E73676" w:rsidRPr="00E73676" w:rsidRDefault="00E73676" w:rsidP="00AB751C">
            <w:pPr>
              <w:pStyle w:val="TableParagraph"/>
              <w:spacing w:line="240" w:lineRule="exact"/>
              <w:rPr>
                <w:rFonts w:ascii="Times New Roman" w:hAnsi="Times New Roman" w:cs="Times New Roman"/>
                <w:b/>
              </w:rPr>
            </w:pPr>
            <w:r w:rsidRPr="00E73676">
              <w:rPr>
                <w:rFonts w:ascii="Times New Roman" w:hAnsi="Times New Roman" w:cs="Times New Roman"/>
                <w:b/>
              </w:rPr>
              <w:t>Complications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ind w:left="104" w:right="250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Fall</w:t>
            </w:r>
          </w:p>
        </w:tc>
      </w:tr>
    </w:tbl>
    <w:p w:rsidR="00E73676" w:rsidRDefault="00E73676" w:rsidP="00E73676">
      <w:pPr>
        <w:spacing w:line="170" w:lineRule="exact"/>
        <w:ind w:left="238"/>
        <w:rPr>
          <w:sz w:val="16"/>
        </w:rPr>
      </w:pPr>
      <w:r>
        <w:rPr>
          <w:sz w:val="16"/>
        </w:rPr>
        <w:t>^see section 4.8 description of selected adverse reactions</w:t>
      </w:r>
    </w:p>
    <w:p w:rsidR="00E73676" w:rsidRDefault="00E73676" w:rsidP="00E73676">
      <w:pPr>
        <w:spacing w:line="186" w:lineRule="exact"/>
        <w:ind w:left="238"/>
        <w:rPr>
          <w:sz w:val="16"/>
        </w:rPr>
      </w:pPr>
      <w:r>
        <w:rPr>
          <w:position w:val="6"/>
          <w:sz w:val="10"/>
        </w:rPr>
        <w:t>◊</w:t>
      </w:r>
      <w:r>
        <w:rPr>
          <w:sz w:val="16"/>
        </w:rPr>
        <w:t>Adverse events reported as serious in myelodysplastic syndromes clinical trials</w:t>
      </w:r>
    </w:p>
    <w:p w:rsidR="00E73676" w:rsidRDefault="00E73676" w:rsidP="00E73676">
      <w:pPr>
        <w:spacing w:before="1"/>
        <w:ind w:left="238" w:right="290"/>
        <w:rPr>
          <w:sz w:val="16"/>
        </w:rPr>
      </w:pPr>
      <w:r>
        <w:rPr>
          <w:sz w:val="16"/>
        </w:rPr>
        <w:t xml:space="preserve">~Altered mood was reported as a common serious adverse event in the myelodysplastic syndromes phase </w:t>
      </w:r>
      <w:r w:rsidR="00745A94">
        <w:rPr>
          <w:sz w:val="16"/>
        </w:rPr>
        <w:t>3</w:t>
      </w:r>
      <w:r>
        <w:rPr>
          <w:sz w:val="16"/>
        </w:rPr>
        <w:t xml:space="preserve"> study; it was not reported as a grade 3 or 4 adverse event</w:t>
      </w:r>
    </w:p>
    <w:p w:rsidR="00E73676" w:rsidRDefault="00E73676" w:rsidP="00E73676">
      <w:pPr>
        <w:ind w:left="238" w:right="313"/>
        <w:rPr>
          <w:sz w:val="16"/>
        </w:rPr>
      </w:pPr>
      <w:r>
        <w:rPr>
          <w:sz w:val="16"/>
        </w:rPr>
        <w:t xml:space="preserve">Algorithm applied for inclusion in the SmPC: All ADRs captured by the phase </w:t>
      </w:r>
      <w:r w:rsidR="00745A94">
        <w:rPr>
          <w:sz w:val="16"/>
        </w:rPr>
        <w:t>3</w:t>
      </w:r>
      <w:r>
        <w:rPr>
          <w:sz w:val="16"/>
        </w:rPr>
        <w:t xml:space="preserve"> study algorithm are included in the EU SmPC. For these ADRs, an additional check of the frequency of the ADRs captured by the phase </w:t>
      </w:r>
      <w:r w:rsidR="00745A94">
        <w:rPr>
          <w:sz w:val="16"/>
        </w:rPr>
        <w:t>2</w:t>
      </w:r>
      <w:r>
        <w:rPr>
          <w:sz w:val="16"/>
        </w:rPr>
        <w:t xml:space="preserve"> study algorithm was undertaken and, if the frequency of the ADRs in the phase </w:t>
      </w:r>
      <w:r w:rsidR="00745A94">
        <w:rPr>
          <w:sz w:val="16"/>
        </w:rPr>
        <w:t>2</w:t>
      </w:r>
      <w:r>
        <w:rPr>
          <w:sz w:val="16"/>
        </w:rPr>
        <w:t xml:space="preserve"> study was higher than in the phase </w:t>
      </w:r>
      <w:r w:rsidR="00185C42">
        <w:rPr>
          <w:sz w:val="16"/>
        </w:rPr>
        <w:t>3</w:t>
      </w:r>
      <w:r>
        <w:rPr>
          <w:sz w:val="16"/>
        </w:rPr>
        <w:t xml:space="preserve"> study, the event was included in the EU SmPC at the frequency it occurred in the phase </w:t>
      </w:r>
      <w:r w:rsidR="00745A94">
        <w:rPr>
          <w:sz w:val="16"/>
        </w:rPr>
        <w:t>2</w:t>
      </w:r>
      <w:r>
        <w:rPr>
          <w:sz w:val="16"/>
        </w:rPr>
        <w:t xml:space="preserve"> study.</w:t>
      </w:r>
    </w:p>
    <w:p w:rsidR="00E73676" w:rsidRDefault="00E73676" w:rsidP="00E73676">
      <w:pPr>
        <w:ind w:left="238"/>
        <w:rPr>
          <w:sz w:val="16"/>
        </w:rPr>
      </w:pPr>
      <w:r>
        <w:rPr>
          <w:sz w:val="16"/>
        </w:rPr>
        <w:t># Algorithm applied for myelodysplastic syndromes:</w:t>
      </w:r>
    </w:p>
    <w:p w:rsidR="00E73676" w:rsidRPr="00D5270E" w:rsidRDefault="00E73676" w:rsidP="00D5270E">
      <w:pPr>
        <w:pStyle w:val="ListParagraph"/>
        <w:widowControl w:val="0"/>
        <w:numPr>
          <w:ilvl w:val="0"/>
          <w:numId w:val="65"/>
        </w:numPr>
        <w:tabs>
          <w:tab w:val="left" w:pos="958"/>
          <w:tab w:val="left" w:pos="959"/>
        </w:tabs>
        <w:autoSpaceDE w:val="0"/>
        <w:autoSpaceDN w:val="0"/>
        <w:spacing w:before="2" w:line="237" w:lineRule="auto"/>
        <w:ind w:right="609"/>
        <w:rPr>
          <w:rFonts w:ascii="Symbol"/>
          <w:sz w:val="16"/>
        </w:rPr>
      </w:pPr>
      <w:r w:rsidRPr="00D5270E">
        <w:rPr>
          <w:sz w:val="16"/>
        </w:rPr>
        <w:t xml:space="preserve">Myelodysplastic syndromes phase </w:t>
      </w:r>
      <w:r w:rsidR="00745A94">
        <w:rPr>
          <w:sz w:val="16"/>
        </w:rPr>
        <w:t>3</w:t>
      </w:r>
      <w:r w:rsidRPr="00D5270E">
        <w:rPr>
          <w:sz w:val="16"/>
        </w:rPr>
        <w:t xml:space="preserve"> study (double-blind safety population, difference between lenalidomide 5/10mg and placebo by initial dosing regimen occurring in at least 2</w:t>
      </w:r>
      <w:r w:rsidRPr="00D5270E">
        <w:rPr>
          <w:spacing w:val="-6"/>
          <w:sz w:val="16"/>
        </w:rPr>
        <w:t xml:space="preserve"> </w:t>
      </w:r>
      <w:r w:rsidRPr="00D5270E">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before="1" w:line="190" w:lineRule="exact"/>
        <w:contextualSpacing w:val="0"/>
        <w:rPr>
          <w:sz w:val="16"/>
        </w:rPr>
      </w:pPr>
      <w:r>
        <w:rPr>
          <w:sz w:val="16"/>
        </w:rPr>
        <w:t>All</w:t>
      </w:r>
      <w:r>
        <w:rPr>
          <w:spacing w:val="-3"/>
          <w:sz w:val="16"/>
        </w:rPr>
        <w:t xml:space="preserve"> </w:t>
      </w:r>
      <w:r>
        <w:rPr>
          <w:sz w:val="16"/>
        </w:rPr>
        <w:t>treatment-emergent</w:t>
      </w:r>
      <w:r>
        <w:rPr>
          <w:spacing w:val="-1"/>
          <w:sz w:val="16"/>
        </w:rPr>
        <w:t xml:space="preserve"> </w:t>
      </w:r>
      <w:r>
        <w:rPr>
          <w:sz w:val="16"/>
        </w:rPr>
        <w:t>adverse</w:t>
      </w:r>
      <w:r>
        <w:rPr>
          <w:spacing w:val="-3"/>
          <w:sz w:val="16"/>
        </w:rPr>
        <w:t xml:space="preserve"> </w:t>
      </w:r>
      <w:r>
        <w:rPr>
          <w:sz w:val="16"/>
        </w:rPr>
        <w:t>events</w:t>
      </w:r>
      <w:r>
        <w:rPr>
          <w:spacing w:val="-2"/>
          <w:sz w:val="16"/>
        </w:rPr>
        <w:t xml:space="preserve"> </w:t>
      </w:r>
      <w:r>
        <w:rPr>
          <w:sz w:val="16"/>
        </w:rPr>
        <w:t>with</w:t>
      </w:r>
      <w:r>
        <w:rPr>
          <w:spacing w:val="-3"/>
          <w:sz w:val="16"/>
        </w:rPr>
        <w:t xml:space="preserve"> </w:t>
      </w:r>
      <w:r>
        <w:rPr>
          <w:sz w:val="16"/>
        </w:rPr>
        <w:t>≥</w:t>
      </w:r>
      <w:r>
        <w:rPr>
          <w:spacing w:val="-3"/>
          <w:sz w:val="16"/>
        </w:rPr>
        <w:t xml:space="preserve"> </w:t>
      </w:r>
      <w:r>
        <w:rPr>
          <w:sz w:val="16"/>
        </w:rPr>
        <w:t>5%</w:t>
      </w:r>
      <w:r>
        <w:rPr>
          <w:spacing w:val="-1"/>
          <w:sz w:val="16"/>
        </w:rPr>
        <w:t xml:space="preserve"> </w:t>
      </w:r>
      <w:r>
        <w:rPr>
          <w:sz w:val="16"/>
        </w:rPr>
        <w:t>of</w:t>
      </w:r>
      <w:r>
        <w:rPr>
          <w:spacing w:val="-2"/>
          <w:sz w:val="16"/>
        </w:rPr>
        <w:t xml:space="preserve"> </w:t>
      </w:r>
      <w:r>
        <w:rPr>
          <w:sz w:val="16"/>
        </w:rPr>
        <w:t>subjects</w:t>
      </w:r>
      <w:r>
        <w:rPr>
          <w:spacing w:val="-4"/>
          <w:sz w:val="16"/>
        </w:rPr>
        <w:t xml:space="preserve"> </w:t>
      </w:r>
      <w:r>
        <w:rPr>
          <w:sz w:val="16"/>
        </w:rPr>
        <w:t>in</w:t>
      </w:r>
      <w:r>
        <w:rPr>
          <w:spacing w:val="-1"/>
          <w:sz w:val="16"/>
        </w:rPr>
        <w:t xml:space="preserve"> </w:t>
      </w:r>
      <w:r>
        <w:rPr>
          <w:sz w:val="16"/>
        </w:rPr>
        <w:t>lenalidomide</w:t>
      </w:r>
      <w:r>
        <w:rPr>
          <w:spacing w:val="-3"/>
          <w:sz w:val="16"/>
        </w:rPr>
        <w:t xml:space="preserve"> </w:t>
      </w:r>
      <w:r>
        <w:rPr>
          <w:sz w:val="16"/>
        </w:rPr>
        <w:t>and</w:t>
      </w:r>
      <w:r>
        <w:rPr>
          <w:spacing w:val="-3"/>
          <w:sz w:val="16"/>
        </w:rPr>
        <w:t xml:space="preserve"> </w:t>
      </w:r>
      <w:r>
        <w:rPr>
          <w:sz w:val="16"/>
        </w:rPr>
        <w:t>at</w:t>
      </w:r>
      <w:r>
        <w:rPr>
          <w:spacing w:val="-3"/>
          <w:sz w:val="16"/>
        </w:rPr>
        <w:t xml:space="preserve"> </w:t>
      </w:r>
      <w:r>
        <w:rPr>
          <w:sz w:val="16"/>
        </w:rPr>
        <w:t>least</w:t>
      </w:r>
      <w:r>
        <w:rPr>
          <w:spacing w:val="-3"/>
          <w:sz w:val="16"/>
        </w:rPr>
        <w:t xml:space="preserve"> </w:t>
      </w:r>
      <w:r>
        <w:rPr>
          <w:sz w:val="16"/>
        </w:rPr>
        <w:t>2%</w:t>
      </w:r>
      <w:r>
        <w:rPr>
          <w:spacing w:val="-3"/>
          <w:sz w:val="16"/>
        </w:rPr>
        <w:t xml:space="preserve"> </w:t>
      </w:r>
      <w:r>
        <w:rPr>
          <w:sz w:val="16"/>
        </w:rPr>
        <w:t>difference</w:t>
      </w:r>
      <w:r>
        <w:rPr>
          <w:spacing w:val="-3"/>
          <w:sz w:val="16"/>
        </w:rPr>
        <w:t xml:space="preserve"> </w:t>
      </w:r>
      <w:r>
        <w:rPr>
          <w:sz w:val="16"/>
        </w:rPr>
        <w:t>in</w:t>
      </w:r>
      <w:r>
        <w:rPr>
          <w:spacing w:val="-3"/>
          <w:sz w:val="16"/>
        </w:rPr>
        <w:t xml:space="preserve"> </w:t>
      </w:r>
      <w:r>
        <w:rPr>
          <w:sz w:val="16"/>
        </w:rPr>
        <w:t>proportion</w:t>
      </w:r>
      <w:r>
        <w:rPr>
          <w:spacing w:val="-3"/>
          <w:sz w:val="16"/>
        </w:rPr>
        <w:t xml:space="preserve"> </w:t>
      </w:r>
      <w:r>
        <w:rPr>
          <w:sz w:val="16"/>
        </w:rPr>
        <w:t>between</w:t>
      </w:r>
    </w:p>
    <w:p w:rsidR="00E73676" w:rsidRDefault="00E73676" w:rsidP="00E73676">
      <w:pPr>
        <w:spacing w:line="176" w:lineRule="exact"/>
        <w:ind w:left="1678"/>
        <w:rPr>
          <w:sz w:val="16"/>
        </w:rPr>
      </w:pPr>
      <w:r>
        <w:rPr>
          <w:sz w:val="16"/>
        </w:rPr>
        <w:t>lenalidomide and placebo</w:t>
      </w:r>
    </w:p>
    <w:p w:rsidR="00E73676" w:rsidRDefault="00E73676" w:rsidP="00E73676">
      <w:pPr>
        <w:pStyle w:val="ListParagraph"/>
        <w:widowControl w:val="0"/>
        <w:numPr>
          <w:ilvl w:val="2"/>
          <w:numId w:val="64"/>
        </w:numPr>
        <w:tabs>
          <w:tab w:val="left" w:pos="1678"/>
          <w:tab w:val="left" w:pos="1679"/>
        </w:tabs>
        <w:autoSpaceDE w:val="0"/>
        <w:autoSpaceDN w:val="0"/>
        <w:spacing w:before="9" w:line="225" w:lineRule="auto"/>
        <w:ind w:right="393"/>
        <w:contextualSpacing w:val="0"/>
        <w:rPr>
          <w:sz w:val="16"/>
        </w:rPr>
      </w:pPr>
      <w:r>
        <w:rPr>
          <w:sz w:val="16"/>
        </w:rPr>
        <w:t>All treatment-emergent grade 3 or 4 adverse events in 1% of subjects in lenalidomide and at least 1% difference in proportion between lenalidomide and</w:t>
      </w:r>
      <w:r>
        <w:rPr>
          <w:spacing w:val="-1"/>
          <w:sz w:val="16"/>
        </w:rPr>
        <w:t xml:space="preserve"> </w:t>
      </w:r>
      <w:r>
        <w:rPr>
          <w:sz w:val="16"/>
        </w:rPr>
        <w:t>placebo</w:t>
      </w:r>
    </w:p>
    <w:p w:rsidR="00E73676" w:rsidRDefault="00E73676" w:rsidP="00E73676">
      <w:pPr>
        <w:pStyle w:val="ListParagraph"/>
        <w:widowControl w:val="0"/>
        <w:numPr>
          <w:ilvl w:val="2"/>
          <w:numId w:val="64"/>
        </w:numPr>
        <w:tabs>
          <w:tab w:val="left" w:pos="1678"/>
          <w:tab w:val="left" w:pos="1679"/>
        </w:tabs>
        <w:autoSpaceDE w:val="0"/>
        <w:autoSpaceDN w:val="0"/>
        <w:spacing w:before="7" w:line="225" w:lineRule="auto"/>
        <w:ind w:right="708"/>
        <w:contextualSpacing w:val="0"/>
        <w:rPr>
          <w:sz w:val="16"/>
        </w:rPr>
      </w:pPr>
      <w:r>
        <w:rPr>
          <w:sz w:val="16"/>
        </w:rPr>
        <w:t>All treatment-emergent serious adverse events in 1% of subjects in lenalidomide and at least 1% difference in proportion between lenalidomide and</w:t>
      </w:r>
      <w:r>
        <w:rPr>
          <w:spacing w:val="-1"/>
          <w:sz w:val="16"/>
        </w:rPr>
        <w:t xml:space="preserve"> </w:t>
      </w:r>
      <w:r>
        <w:rPr>
          <w:sz w:val="16"/>
        </w:rPr>
        <w:t>placebo</w:t>
      </w:r>
    </w:p>
    <w:p w:rsidR="00E73676" w:rsidRPr="00D5270E" w:rsidRDefault="00E73676" w:rsidP="00D5270E">
      <w:pPr>
        <w:pStyle w:val="ListParagraph"/>
        <w:widowControl w:val="0"/>
        <w:numPr>
          <w:ilvl w:val="0"/>
          <w:numId w:val="65"/>
        </w:numPr>
        <w:tabs>
          <w:tab w:val="left" w:pos="958"/>
          <w:tab w:val="left" w:pos="959"/>
        </w:tabs>
        <w:autoSpaceDE w:val="0"/>
        <w:autoSpaceDN w:val="0"/>
        <w:spacing w:before="3" w:line="195" w:lineRule="exact"/>
        <w:rPr>
          <w:rFonts w:ascii="Symbol"/>
          <w:sz w:val="16"/>
        </w:rPr>
      </w:pPr>
      <w:r w:rsidRPr="00D5270E">
        <w:rPr>
          <w:sz w:val="16"/>
        </w:rPr>
        <w:t xml:space="preserve">Myelodysplastic syndromes phase </w:t>
      </w:r>
      <w:r w:rsidR="00745A94">
        <w:rPr>
          <w:sz w:val="16"/>
        </w:rPr>
        <w:t>2</w:t>
      </w:r>
      <w:r w:rsidRPr="00D5270E">
        <w:rPr>
          <w:spacing w:val="-6"/>
          <w:sz w:val="16"/>
        </w:rPr>
        <w:t xml:space="preserve"> </w:t>
      </w:r>
      <w:r w:rsidRPr="00D5270E">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adverse events with ≥ 5% of lenalidomide treated</w:t>
      </w:r>
      <w:r>
        <w:rPr>
          <w:spacing w:val="-4"/>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84" w:lineRule="exact"/>
        <w:contextualSpacing w:val="0"/>
        <w:rPr>
          <w:sz w:val="16"/>
        </w:rPr>
      </w:pPr>
      <w:r>
        <w:rPr>
          <w:sz w:val="16"/>
        </w:rPr>
        <w:t>All treatment-emergent grade 3 or 4 adverse\events in 1% of lenalidomide treated</w:t>
      </w:r>
      <w:r>
        <w:rPr>
          <w:spacing w:val="-8"/>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serious adverse events in 1% of lenalidomide treated</w:t>
      </w:r>
      <w:r>
        <w:rPr>
          <w:spacing w:val="-5"/>
          <w:sz w:val="16"/>
        </w:rPr>
        <w:t xml:space="preserve"> </w:t>
      </w:r>
      <w:r>
        <w:rPr>
          <w:sz w:val="16"/>
        </w:rPr>
        <w:t>subjects</w:t>
      </w:r>
    </w:p>
    <w:p w:rsidR="00E73676" w:rsidRDefault="00E73676" w:rsidP="00E73676">
      <w:pPr>
        <w:pStyle w:val="BodyText"/>
        <w:spacing w:before="2"/>
        <w:rPr>
          <w:sz w:val="21"/>
        </w:rPr>
      </w:pPr>
    </w:p>
    <w:p w:rsidR="00E73676" w:rsidRDefault="00E73676" w:rsidP="00E73676">
      <w:pPr>
        <w:pStyle w:val="Heading1"/>
        <w:numPr>
          <w:ilvl w:val="0"/>
          <w:numId w:val="0"/>
        </w:numPr>
        <w:spacing w:after="2"/>
        <w:ind w:left="238" w:right="1274"/>
      </w:pPr>
      <w:r>
        <w:t>Table 4. ADRs reported in clinical trials in patients with mantle cell lymphoma treated with lenalidomide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3852"/>
        <w:gridCol w:w="4119"/>
      </w:tblGrid>
      <w:tr w:rsidR="00E73676" w:rsidRPr="00E73676" w:rsidTr="00970238">
        <w:trPr>
          <w:trHeight w:val="760"/>
          <w:tblHeader/>
        </w:trPr>
        <w:tc>
          <w:tcPr>
            <w:tcW w:w="1884"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System Organ</w:t>
            </w:r>
          </w:p>
          <w:p w:rsidR="00E73676" w:rsidRPr="00E73676" w:rsidRDefault="00E73676" w:rsidP="00AB751C">
            <w:pPr>
              <w:pStyle w:val="TableParagraph"/>
              <w:spacing w:before="5" w:line="252" w:lineRule="exact"/>
              <w:ind w:right="158"/>
              <w:rPr>
                <w:rFonts w:ascii="Times New Roman" w:hAnsi="Times New Roman" w:cs="Times New Roman"/>
                <w:b/>
              </w:rPr>
            </w:pPr>
            <w:r w:rsidRPr="00E73676">
              <w:rPr>
                <w:rFonts w:ascii="Times New Roman" w:hAnsi="Times New Roman" w:cs="Times New Roman"/>
                <w:b/>
              </w:rPr>
              <w:t>Class / Preferred Term</w:t>
            </w:r>
          </w:p>
        </w:tc>
        <w:tc>
          <w:tcPr>
            <w:tcW w:w="3852" w:type="dxa"/>
          </w:tcPr>
          <w:p w:rsidR="00E73676" w:rsidRPr="00E73676" w:rsidRDefault="00E73676" w:rsidP="00AB751C">
            <w:pPr>
              <w:pStyle w:val="TableParagraph"/>
              <w:spacing w:line="251" w:lineRule="exact"/>
              <w:ind w:left="105"/>
              <w:rPr>
                <w:rFonts w:ascii="Times New Roman" w:hAnsi="Times New Roman" w:cs="Times New Roman"/>
                <w:b/>
              </w:rPr>
            </w:pPr>
            <w:r w:rsidRPr="00E73676">
              <w:rPr>
                <w:rFonts w:ascii="Times New Roman" w:hAnsi="Times New Roman" w:cs="Times New Roman"/>
                <w:b/>
              </w:rPr>
              <w:t>All ADRs/Frequency</w:t>
            </w:r>
          </w:p>
        </w:tc>
        <w:tc>
          <w:tcPr>
            <w:tcW w:w="4119"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Grade 3−4 ADRs/Frequency</w:t>
            </w:r>
          </w:p>
        </w:tc>
      </w:tr>
      <w:tr w:rsidR="00E73676" w:rsidRPr="00E73676" w:rsidTr="00AB751C">
        <w:trPr>
          <w:trHeight w:val="1136"/>
        </w:trPr>
        <w:tc>
          <w:tcPr>
            <w:tcW w:w="1884" w:type="dxa"/>
            <w:tcBorders>
              <w:bottom w:val="nil"/>
            </w:tcBorders>
          </w:tcPr>
          <w:p w:rsidR="00E73676" w:rsidRPr="00E73676" w:rsidRDefault="00E73676" w:rsidP="00AB751C">
            <w:pPr>
              <w:pStyle w:val="TableParagraph"/>
              <w:ind w:right="408"/>
              <w:rPr>
                <w:rFonts w:ascii="Times New Roman" w:hAnsi="Times New Roman" w:cs="Times New Roman"/>
                <w:b/>
              </w:rPr>
            </w:pPr>
            <w:r w:rsidRPr="00E73676">
              <w:rPr>
                <w:rFonts w:ascii="Times New Roman" w:hAnsi="Times New Roman" w:cs="Times New Roman"/>
                <w:b/>
              </w:rPr>
              <w:t>Infections and Infestations</w:t>
            </w:r>
          </w:p>
        </w:tc>
        <w:tc>
          <w:tcPr>
            <w:tcW w:w="3852"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513"/>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005C6DBD">
              <w:rPr>
                <w:rFonts w:eastAsia="Times New Roman"/>
                <w:spacing w:val="-3"/>
                <w:position w:val="8"/>
                <w:sz w:val="14"/>
                <w:szCs w:val="14"/>
              </w:rPr>
              <w:t>◊</w:t>
            </w:r>
            <w:r w:rsidRPr="00E73676">
              <w:rPr>
                <w:rFonts w:ascii="Times New Roman" w:hAnsi="Times New Roman" w:cs="Times New Roman"/>
              </w:rPr>
              <w:t>, Nasopharyngitis, Pneumonia</w:t>
            </w:r>
            <w:r w:rsidR="005C6DBD">
              <w:rPr>
                <w:rFonts w:eastAsia="Times New Roman"/>
                <w:spacing w:val="-3"/>
                <w:position w:val="8"/>
                <w:sz w:val="14"/>
                <w:szCs w:val="14"/>
              </w:rPr>
              <w:t>◊</w:t>
            </w:r>
          </w:p>
        </w:tc>
        <w:tc>
          <w:tcPr>
            <w:tcW w:w="4119" w:type="dxa"/>
            <w:tcBorders>
              <w:bottom w:val="nil"/>
            </w:tcBorders>
          </w:tcPr>
          <w:p w:rsidR="00E73676" w:rsidRPr="00E73676" w:rsidRDefault="00E73676" w:rsidP="00AB751C">
            <w:pPr>
              <w:pStyle w:val="TableParagraph"/>
              <w:spacing w:line="246"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3" w:line="235" w:lineRule="auto"/>
              <w:ind w:right="721"/>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Pr="00E73676">
              <w:rPr>
                <w:rFonts w:ascii="Times New Roman" w:hAnsi="Times New Roman" w:cs="Times New Roman"/>
                <w:spacing w:val="-30"/>
              </w:rPr>
              <w:t xml:space="preserve"> </w:t>
            </w:r>
            <w:r w:rsidR="00311E2E">
              <w:rPr>
                <w:rFonts w:eastAsia="Times New Roman"/>
                <w:spacing w:val="-3"/>
                <w:position w:val="8"/>
                <w:sz w:val="14"/>
                <w:szCs w:val="14"/>
              </w:rPr>
              <w:t>◊</w:t>
            </w:r>
            <w:r w:rsidRPr="00E73676">
              <w:rPr>
                <w:rFonts w:ascii="Times New Roman" w:hAnsi="Times New Roman" w:cs="Times New Roman"/>
              </w:rPr>
              <w:t>, Pneumonia</w:t>
            </w:r>
            <w:r w:rsidR="00311E2E">
              <w:rPr>
                <w:rFonts w:eastAsia="Times New Roman"/>
                <w:spacing w:val="-3"/>
                <w:position w:val="8"/>
                <w:sz w:val="14"/>
                <w:szCs w:val="14"/>
              </w:rPr>
              <w:t>◊</w:t>
            </w:r>
          </w:p>
        </w:tc>
      </w:tr>
      <w:tr w:rsidR="00E73676" w:rsidRPr="00E73676" w:rsidTr="00AB751C">
        <w:trPr>
          <w:trHeight w:val="634"/>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26" w:line="252" w:lineRule="exact"/>
              <w:ind w:left="105" w:right="2403"/>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Sinusitis</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53"/>
        </w:trPr>
        <w:tc>
          <w:tcPr>
            <w:tcW w:w="1884" w:type="dxa"/>
            <w:tcBorders>
              <w:bottom w:val="nil"/>
            </w:tcBorders>
          </w:tcPr>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Neoplasms</w:t>
            </w:r>
          </w:p>
        </w:tc>
        <w:tc>
          <w:tcPr>
            <w:tcW w:w="3852" w:type="dxa"/>
            <w:tcBorders>
              <w:bottom w:val="nil"/>
            </w:tcBorders>
          </w:tcPr>
          <w:p w:rsidR="00E73676" w:rsidRPr="00E73676" w:rsidRDefault="00E73676" w:rsidP="00AB751C">
            <w:pPr>
              <w:pStyle w:val="TableParagraph"/>
              <w:spacing w:line="233" w:lineRule="exact"/>
              <w:ind w:left="105"/>
              <w:rPr>
                <w:rFonts w:ascii="Times New Roman" w:hAnsi="Times New Roman" w:cs="Times New Roman"/>
              </w:rPr>
            </w:pPr>
            <w:r w:rsidRPr="00E73676">
              <w:rPr>
                <w:rFonts w:ascii="Times New Roman" w:hAnsi="Times New Roman" w:cs="Times New Roman"/>
                <w:u w:val="single"/>
              </w:rPr>
              <w:t>Common</w:t>
            </w:r>
          </w:p>
        </w:tc>
        <w:tc>
          <w:tcPr>
            <w:tcW w:w="4119" w:type="dxa"/>
            <w:tcBorders>
              <w:bottom w:val="nil"/>
            </w:tcBorders>
          </w:tcPr>
          <w:p w:rsidR="00E73676" w:rsidRPr="00E73676" w:rsidRDefault="00E73676" w:rsidP="00AB751C">
            <w:pPr>
              <w:pStyle w:val="TableParagraph"/>
              <w:spacing w:line="233" w:lineRule="exact"/>
              <w:rPr>
                <w:rFonts w:ascii="Times New Roman" w:hAnsi="Times New Roman" w:cs="Times New Roman"/>
              </w:rPr>
            </w:pPr>
            <w:r w:rsidRPr="00E73676">
              <w:rPr>
                <w:rFonts w:ascii="Times New Roman" w:hAnsi="Times New Roman" w:cs="Times New Roman"/>
                <w:u w:val="single"/>
              </w:rPr>
              <w:t>Common</w:t>
            </w:r>
          </w:p>
        </w:tc>
      </w:tr>
      <w:tr w:rsidR="00E73676" w:rsidRPr="00E73676" w:rsidTr="00AB751C">
        <w:trPr>
          <w:trHeight w:val="249"/>
        </w:trPr>
        <w:tc>
          <w:tcPr>
            <w:tcW w:w="1884" w:type="dxa"/>
            <w:tcBorders>
              <w:top w:val="nil"/>
              <w:bottom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Benign,</w:t>
            </w:r>
          </w:p>
        </w:tc>
        <w:tc>
          <w:tcPr>
            <w:tcW w:w="3852" w:type="dxa"/>
            <w:tcBorders>
              <w:top w:val="nil"/>
              <w:bottom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rPr>
              <w:t>Tumour flare reaction</w:t>
            </w:r>
          </w:p>
        </w:tc>
        <w:tc>
          <w:tcPr>
            <w:tcW w:w="4119" w:type="dxa"/>
            <w:tcBorders>
              <w:top w:val="nil"/>
              <w:bottom w:val="nil"/>
            </w:tcBorders>
          </w:tcPr>
          <w:p w:rsidR="00E73676" w:rsidRPr="00E73676" w:rsidRDefault="00E73676" w:rsidP="00AB751C">
            <w:pPr>
              <w:pStyle w:val="TableParagraph"/>
              <w:spacing w:line="230" w:lineRule="exact"/>
              <w:rPr>
                <w:rFonts w:ascii="Times New Roman" w:hAnsi="Times New Roman" w:cs="Times New Roman"/>
              </w:rPr>
            </w:pPr>
            <w:r w:rsidRPr="00E73676">
              <w:rPr>
                <w:rFonts w:ascii="Times New Roman" w:hAnsi="Times New Roman" w:cs="Times New Roman"/>
              </w:rPr>
              <w:t>Tumour flare reaction, Squamous skin</w:t>
            </w:r>
          </w:p>
        </w:tc>
      </w:tr>
      <w:tr w:rsidR="00E73676" w:rsidRPr="00E73676" w:rsidTr="00AB751C">
        <w:trPr>
          <w:trHeight w:val="259"/>
        </w:trPr>
        <w:tc>
          <w:tcPr>
            <w:tcW w:w="1884" w:type="dxa"/>
            <w:tcBorders>
              <w:top w:val="nil"/>
              <w:bottom w:val="nil"/>
            </w:tcBorders>
          </w:tcPr>
          <w:p w:rsidR="00E73676" w:rsidRPr="00E73676" w:rsidRDefault="00E73676" w:rsidP="00AB751C">
            <w:pPr>
              <w:pStyle w:val="TableParagraph"/>
              <w:spacing w:before="2" w:line="237" w:lineRule="exact"/>
              <w:rPr>
                <w:rFonts w:ascii="Times New Roman" w:hAnsi="Times New Roman" w:cs="Times New Roman"/>
                <w:b/>
              </w:rPr>
            </w:pPr>
            <w:r w:rsidRPr="00E73676">
              <w:rPr>
                <w:rFonts w:ascii="Times New Roman" w:hAnsi="Times New Roman" w:cs="Times New Roman"/>
                <w:b/>
              </w:rPr>
              <w:t>Malignant and</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rPr>
              <w:t>cancer</w:t>
            </w:r>
            <w:r w:rsidR="00BE1980" w:rsidRPr="00E73676">
              <w:rPr>
                <w:rFonts w:ascii="Times New Roman" w:hAnsi="Times New Roman" w:cs="Times New Roman"/>
              </w:rPr>
              <w:t>^</w:t>
            </w:r>
            <w:r w:rsidR="00BE1980">
              <w:rPr>
                <w:rFonts w:ascii="Times New Roman" w:hAnsi="Times New Roman" w:cs="Times New Roman"/>
              </w:rPr>
              <w:t>,</w:t>
            </w:r>
            <w:r w:rsidR="00311E2E">
              <w:rPr>
                <w:rFonts w:eastAsia="Times New Roman"/>
                <w:spacing w:val="-3"/>
                <w:position w:val="8"/>
                <w:sz w:val="14"/>
                <w:szCs w:val="14"/>
              </w:rPr>
              <w:t>◊</w:t>
            </w:r>
            <w:r w:rsidRPr="00E73676">
              <w:rPr>
                <w:rFonts w:ascii="Times New Roman" w:hAnsi="Times New Roman" w:cs="Times New Roman"/>
                <w:position w:val="8"/>
              </w:rPr>
              <w:t xml:space="preserve">, </w:t>
            </w:r>
            <w:r w:rsidRPr="00E73676">
              <w:rPr>
                <w:rFonts w:ascii="Times New Roman" w:hAnsi="Times New Roman" w:cs="Times New Roman"/>
              </w:rPr>
              <w:t xml:space="preserve">Basal cell </w:t>
            </w:r>
            <w:r w:rsidR="00D7034D">
              <w:rPr>
                <w:rFonts w:ascii="Times New Roman" w:hAnsi="Times New Roman" w:cs="Times New Roman"/>
              </w:rPr>
              <w:t>c</w:t>
            </w:r>
            <w:r w:rsidRPr="00E73676">
              <w:rPr>
                <w:rFonts w:ascii="Times New Roman" w:hAnsi="Times New Roman" w:cs="Times New Roman"/>
              </w:rPr>
              <w:t>arcinoma</w:t>
            </w:r>
            <w:r w:rsidR="00311E2E">
              <w:rPr>
                <w:rFonts w:eastAsia="Times New Roman"/>
                <w:spacing w:val="-3"/>
                <w:position w:val="8"/>
                <w:sz w:val="14"/>
                <w:szCs w:val="14"/>
              </w:rPr>
              <w:t>◊</w:t>
            </w:r>
          </w:p>
        </w:tc>
      </w:tr>
      <w:tr w:rsidR="00E73676" w:rsidRPr="00E73676" w:rsidTr="00AB751C">
        <w:trPr>
          <w:trHeight w:val="252"/>
        </w:trPr>
        <w:tc>
          <w:tcPr>
            <w:tcW w:w="1884" w:type="dxa"/>
            <w:tcBorders>
              <w:top w:val="nil"/>
              <w:bottom w:val="nil"/>
            </w:tcBorders>
          </w:tcPr>
          <w:p w:rsidR="00E73676" w:rsidRPr="00E73676" w:rsidRDefault="00E73676" w:rsidP="00AB751C">
            <w:pPr>
              <w:pStyle w:val="TableParagraph"/>
              <w:spacing w:line="232" w:lineRule="exact"/>
              <w:rPr>
                <w:rFonts w:ascii="Times New Roman" w:hAnsi="Times New Roman" w:cs="Times New Roman"/>
                <w:b/>
              </w:rPr>
            </w:pPr>
            <w:r w:rsidRPr="00E73676">
              <w:rPr>
                <w:rFonts w:ascii="Times New Roman" w:hAnsi="Times New Roman" w:cs="Times New Roman"/>
                <w:b/>
              </w:rPr>
              <w:t>Unspecified (incl</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50"/>
        </w:trPr>
        <w:tc>
          <w:tcPr>
            <w:tcW w:w="1884" w:type="dxa"/>
            <w:tcBorders>
              <w:top w:val="nil"/>
            </w:tcBorders>
          </w:tcPr>
          <w:p w:rsidR="00E73676" w:rsidRPr="00E73676" w:rsidRDefault="00E73676" w:rsidP="00AB751C">
            <w:pPr>
              <w:pStyle w:val="TableParagraph"/>
              <w:spacing w:line="231" w:lineRule="exact"/>
              <w:rPr>
                <w:rFonts w:ascii="Times New Roman" w:hAnsi="Times New Roman" w:cs="Times New Roman"/>
                <w:b/>
              </w:rPr>
            </w:pPr>
            <w:r w:rsidRPr="00E73676">
              <w:rPr>
                <w:rFonts w:ascii="Times New Roman" w:hAnsi="Times New Roman" w:cs="Times New Roman"/>
                <w:b/>
              </w:rPr>
              <w:t>cysts and polyps)</w:t>
            </w:r>
          </w:p>
        </w:tc>
        <w:tc>
          <w:tcPr>
            <w:tcW w:w="3852" w:type="dxa"/>
            <w:tcBorders>
              <w:top w:val="nil"/>
            </w:tcBorders>
          </w:tcPr>
          <w:p w:rsidR="00E73676" w:rsidRPr="00E73676" w:rsidRDefault="00E73676" w:rsidP="00AB751C">
            <w:pPr>
              <w:pStyle w:val="TableParagraph"/>
              <w:rPr>
                <w:rFonts w:ascii="Times New Roman" w:hAnsi="Times New Roman" w:cs="Times New Roman"/>
              </w:rPr>
            </w:pP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1516"/>
        </w:trPr>
        <w:tc>
          <w:tcPr>
            <w:tcW w:w="1884" w:type="dxa"/>
          </w:tcPr>
          <w:p w:rsidR="00E73676" w:rsidRPr="00E73676" w:rsidRDefault="00E73676" w:rsidP="00AB751C">
            <w:pPr>
              <w:pStyle w:val="TableParagraph"/>
              <w:ind w:right="103"/>
              <w:rPr>
                <w:rFonts w:ascii="Times New Roman" w:hAnsi="Times New Roman" w:cs="Times New Roman"/>
                <w:b/>
              </w:rPr>
            </w:pPr>
            <w:r w:rsidRPr="00E73676">
              <w:rPr>
                <w:rFonts w:ascii="Times New Roman" w:hAnsi="Times New Roman" w:cs="Times New Roman"/>
                <w:b/>
              </w:rPr>
              <w:t>Blood and Lymphatic System Disorders</w:t>
            </w:r>
          </w:p>
        </w:tc>
        <w:tc>
          <w:tcPr>
            <w:tcW w:w="3852" w:type="dxa"/>
          </w:tcPr>
          <w:p w:rsidR="00E73676" w:rsidRPr="00E73676" w:rsidRDefault="00E73676" w:rsidP="00AB751C">
            <w:pPr>
              <w:pStyle w:val="TableParagraph"/>
              <w:ind w:left="105" w:right="591"/>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Thrombocytopenia^, Neutropenia^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 Leucopenia</w:t>
            </w:r>
            <w:r w:rsidR="005C6DBD">
              <w:rPr>
                <w:rFonts w:eastAsia="Times New Roman"/>
                <w:spacing w:val="-3"/>
                <w:position w:val="8"/>
                <w:sz w:val="14"/>
                <w:szCs w:val="14"/>
              </w:rPr>
              <w:t>◊</w:t>
            </w:r>
            <w:r w:rsidRPr="00E73676">
              <w:rPr>
                <w:rFonts w:ascii="Times New Roman" w:hAnsi="Times New Roman" w:cs="Times New Roman"/>
              </w:rPr>
              <w:t>, An</w:t>
            </w:r>
            <w:r w:rsidR="00D7034D">
              <w:rPr>
                <w:rFonts w:ascii="Times New Roman" w:hAnsi="Times New Roman" w:cs="Times New Roman"/>
              </w:rPr>
              <w:t>a</w:t>
            </w:r>
            <w:r w:rsidRPr="00E73676">
              <w:rPr>
                <w:rFonts w:ascii="Times New Roman" w:hAnsi="Times New Roman" w:cs="Times New Roman"/>
              </w:rPr>
              <w:t>emia</w:t>
            </w:r>
            <w:r w:rsidR="005C6DBD">
              <w:rPr>
                <w:rFonts w:eastAsia="Times New Roman"/>
                <w:spacing w:val="-3"/>
                <w:position w:val="8"/>
                <w:sz w:val="14"/>
                <w:szCs w:val="14"/>
              </w:rPr>
              <w:t>◊</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left="105"/>
              <w:rPr>
                <w:rFonts w:ascii="Times New Roman" w:hAnsi="Times New Roman" w:cs="Times New Roman"/>
              </w:rPr>
            </w:pPr>
            <w:r w:rsidRPr="00E73676">
              <w:rPr>
                <w:rFonts w:ascii="Times New Roman" w:hAnsi="Times New Roman" w:cs="Times New Roman"/>
              </w:rPr>
              <w:t>Febrile neutropenia</w:t>
            </w:r>
            <w:r w:rsidR="005C6DBD" w:rsidRPr="00E73676">
              <w:rPr>
                <w:rFonts w:ascii="Times New Roman" w:hAnsi="Times New Roman" w:cs="Times New Roman"/>
              </w:rPr>
              <w:t>^</w:t>
            </w:r>
            <w:r w:rsidR="005C6DBD" w:rsidRPr="005C6DBD">
              <w:rPr>
                <w:rFonts w:ascii="Times New Roman" w:hAnsi="Times New Roman" w:cs="Times New Roman"/>
                <w:vertAlign w:val="superscript"/>
              </w:rPr>
              <w:t>,</w:t>
            </w:r>
            <w:r w:rsidR="005C6DBD">
              <w:rPr>
                <w:rFonts w:eastAsia="Times New Roman"/>
                <w:spacing w:val="-3"/>
                <w:position w:val="8"/>
                <w:sz w:val="14"/>
                <w:szCs w:val="14"/>
              </w:rPr>
              <w:t>◊</w:t>
            </w:r>
          </w:p>
        </w:tc>
        <w:tc>
          <w:tcPr>
            <w:tcW w:w="4119" w:type="dxa"/>
          </w:tcPr>
          <w:p w:rsidR="00E73676" w:rsidRPr="00E73676" w:rsidRDefault="00E73676" w:rsidP="00AB751C">
            <w:pPr>
              <w:pStyle w:val="TableParagraph"/>
              <w:spacing w:line="243" w:lineRule="exact"/>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before="1" w:line="235" w:lineRule="auto"/>
              <w:ind w:right="780"/>
              <w:rPr>
                <w:rFonts w:ascii="Times New Roman" w:hAnsi="Times New Roman" w:cs="Times New Roman"/>
              </w:rPr>
            </w:pPr>
            <w:r w:rsidRPr="00E73676">
              <w:rPr>
                <w:rFonts w:ascii="Times New Roman" w:hAnsi="Times New Roman" w:cs="Times New Roman"/>
              </w:rPr>
              <w:t>Thrombocytopenia^, Neutropenia^</w:t>
            </w:r>
            <w:r w:rsidR="00311E2E">
              <w:rPr>
                <w:rFonts w:eastAsia="Times New Roman"/>
                <w:spacing w:val="-3"/>
                <w:position w:val="8"/>
                <w:sz w:val="14"/>
                <w:szCs w:val="14"/>
              </w:rPr>
              <w:t>◊</w:t>
            </w:r>
            <w:r w:rsidRPr="00E73676">
              <w:rPr>
                <w:rFonts w:ascii="Times New Roman" w:hAnsi="Times New Roman" w:cs="Times New Roman"/>
              </w:rPr>
              <w:t>, An</w:t>
            </w:r>
            <w:r w:rsidR="00D7034D">
              <w:rPr>
                <w:rFonts w:ascii="Times New Roman" w:hAnsi="Times New Roman" w:cs="Times New Roman"/>
              </w:rPr>
              <w:t>a</w:t>
            </w:r>
            <w:r w:rsidRPr="00E73676">
              <w:rPr>
                <w:rFonts w:ascii="Times New Roman" w:hAnsi="Times New Roman" w:cs="Times New Roman"/>
              </w:rPr>
              <w:t>emia</w:t>
            </w:r>
            <w:r w:rsidR="00311E2E">
              <w:rPr>
                <w:rFonts w:eastAsia="Times New Roman"/>
                <w:spacing w:val="-3"/>
                <w:position w:val="8"/>
                <w:sz w:val="14"/>
                <w:szCs w:val="14"/>
              </w:rPr>
              <w:t>◊</w:t>
            </w:r>
          </w:p>
          <w:p w:rsidR="00E73676" w:rsidRPr="00E73676" w:rsidRDefault="00E73676" w:rsidP="00AB751C">
            <w:pPr>
              <w:pStyle w:val="TableParagraph"/>
              <w:spacing w:before="2"/>
              <w:rPr>
                <w:rFonts w:ascii="Times New Roman" w:hAnsi="Times New Roman" w:cs="Times New Roman"/>
                <w:b/>
              </w:rPr>
            </w:pPr>
          </w:p>
          <w:p w:rsidR="00E73676" w:rsidRPr="00E73676" w:rsidRDefault="00E73676" w:rsidP="00AB751C">
            <w:pPr>
              <w:pStyle w:val="TableParagraph"/>
              <w:spacing w:line="250"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rPr>
                <w:rFonts w:ascii="Times New Roman" w:hAnsi="Times New Roman" w:cs="Times New Roman"/>
              </w:rPr>
            </w:pPr>
            <w:r w:rsidRPr="00E73676">
              <w:rPr>
                <w:rFonts w:ascii="Times New Roman" w:hAnsi="Times New Roman" w:cs="Times New Roman"/>
              </w:rPr>
              <w:t>Febrile neutropenia^</w:t>
            </w:r>
            <w:r w:rsidR="00311E2E">
              <w:rPr>
                <w:rFonts w:eastAsia="Times New Roman"/>
                <w:spacing w:val="-3"/>
                <w:position w:val="8"/>
                <w:sz w:val="14"/>
                <w:szCs w:val="14"/>
              </w:rPr>
              <w:t>◊</w:t>
            </w:r>
            <w:r w:rsidRPr="00E73676">
              <w:rPr>
                <w:rFonts w:ascii="Times New Roman" w:hAnsi="Times New Roman" w:cs="Times New Roman"/>
              </w:rPr>
              <w:t>, Leucopenia</w:t>
            </w:r>
            <w:r w:rsidR="00311E2E">
              <w:rPr>
                <w:rFonts w:eastAsia="Times New Roman"/>
                <w:spacing w:val="-3"/>
                <w:position w:val="8"/>
                <w:sz w:val="14"/>
                <w:szCs w:val="14"/>
              </w:rPr>
              <w:t>◊</w:t>
            </w:r>
          </w:p>
        </w:tc>
      </w:tr>
      <w:tr w:rsidR="00E73676" w:rsidRPr="00E73676" w:rsidTr="00AB751C">
        <w:trPr>
          <w:trHeight w:val="886"/>
        </w:trPr>
        <w:tc>
          <w:tcPr>
            <w:tcW w:w="1884" w:type="dxa"/>
            <w:tcBorders>
              <w:bottom w:val="nil"/>
            </w:tcBorders>
          </w:tcPr>
          <w:p w:rsidR="00E73676" w:rsidRPr="00E73676" w:rsidRDefault="00E73676" w:rsidP="00AB751C">
            <w:pPr>
              <w:pStyle w:val="TableParagraph"/>
              <w:spacing w:before="1"/>
              <w:ind w:right="225"/>
              <w:rPr>
                <w:rFonts w:ascii="Times New Roman" w:hAnsi="Times New Roman" w:cs="Times New Roman"/>
                <w:b/>
              </w:rPr>
            </w:pPr>
            <w:r w:rsidRPr="00E73676">
              <w:rPr>
                <w:rFonts w:ascii="Times New Roman" w:hAnsi="Times New Roman" w:cs="Times New Roman"/>
                <w:b/>
              </w:rPr>
              <w:t>Metabolism and Nutrition Disorders</w:t>
            </w:r>
          </w:p>
        </w:tc>
        <w:tc>
          <w:tcPr>
            <w:tcW w:w="3852" w:type="dxa"/>
            <w:tcBorders>
              <w:bottom w:val="nil"/>
            </w:tcBorders>
          </w:tcPr>
          <w:p w:rsidR="00E73676" w:rsidRPr="00E73676" w:rsidRDefault="00E73676" w:rsidP="00AB751C">
            <w:pPr>
              <w:pStyle w:val="TableParagraph"/>
              <w:spacing w:line="248"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15"/>
              <w:rPr>
                <w:rFonts w:ascii="Times New Roman" w:hAnsi="Times New Roman" w:cs="Times New Roman"/>
              </w:rPr>
            </w:pPr>
            <w:r w:rsidRPr="00E73676">
              <w:rPr>
                <w:rFonts w:ascii="Times New Roman" w:hAnsi="Times New Roman" w:cs="Times New Roman"/>
              </w:rPr>
              <w:t>Decreased appetite, Weight decreased, Hypokalaemia</w:t>
            </w:r>
          </w:p>
        </w:tc>
        <w:tc>
          <w:tcPr>
            <w:tcW w:w="4119" w:type="dxa"/>
            <w:tcBorders>
              <w:bottom w:val="nil"/>
            </w:tcBorders>
          </w:tcPr>
          <w:p w:rsidR="00E73676" w:rsidRPr="00E73676" w:rsidRDefault="00E73676" w:rsidP="00AB751C">
            <w:pPr>
              <w:pStyle w:val="TableParagraph"/>
              <w:spacing w:line="246"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right="1292"/>
              <w:rPr>
                <w:rFonts w:ascii="Times New Roman" w:hAnsi="Times New Roman" w:cs="Times New Roman"/>
              </w:rPr>
            </w:pPr>
            <w:r w:rsidRPr="00E73676">
              <w:rPr>
                <w:rFonts w:ascii="Times New Roman" w:hAnsi="Times New Roman" w:cs="Times New Roman"/>
              </w:rPr>
              <w:t>Dehydration</w:t>
            </w:r>
            <w:r w:rsidR="00311E2E">
              <w:rPr>
                <w:rFonts w:eastAsia="Times New Roman"/>
                <w:spacing w:val="-3"/>
                <w:position w:val="8"/>
                <w:sz w:val="14"/>
                <w:szCs w:val="14"/>
              </w:rPr>
              <w:t>◊</w:t>
            </w:r>
            <w:r w:rsidRPr="00E73676">
              <w:rPr>
                <w:rFonts w:ascii="Times New Roman" w:hAnsi="Times New Roman" w:cs="Times New Roman"/>
              </w:rPr>
              <w:t>, Hyponatraemia, Hypocalcaemia</w:t>
            </w:r>
          </w:p>
        </w:tc>
      </w:tr>
      <w:tr w:rsidR="00E73676" w:rsidRPr="00E73676" w:rsidTr="00AB751C">
        <w:trPr>
          <w:trHeight w:val="632"/>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73431D" w:rsidRDefault="00E73676">
            <w:pPr>
              <w:pStyle w:val="TableParagraph"/>
              <w:spacing w:before="119" w:line="250" w:lineRule="atLeast"/>
              <w:ind w:left="105" w:right="1892"/>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Dehydratation</w:t>
            </w:r>
            <w:r w:rsidR="005C6DBD">
              <w:rPr>
                <w:rFonts w:eastAsia="Times New Roman"/>
                <w:spacing w:val="-3"/>
                <w:position w:val="8"/>
                <w:sz w:val="14"/>
                <w:szCs w:val="14"/>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506"/>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Psychiatric</w:t>
            </w:r>
          </w:p>
          <w:p w:rsidR="00E73676" w:rsidRPr="00E73676" w:rsidRDefault="00E73676" w:rsidP="00AB751C">
            <w:pPr>
              <w:pStyle w:val="TableParagraph"/>
              <w:spacing w:line="242" w:lineRule="exact"/>
              <w:rPr>
                <w:rFonts w:ascii="Times New Roman" w:hAnsi="Times New Roman" w:cs="Times New Roman"/>
                <w:b/>
              </w:rPr>
            </w:pPr>
            <w:r w:rsidRPr="00E73676">
              <w:rPr>
                <w:rFonts w:ascii="Times New Roman" w:hAnsi="Times New Roman" w:cs="Times New Roman"/>
                <w:b/>
              </w:rPr>
              <w:t>Disorders</w:t>
            </w:r>
          </w:p>
        </w:tc>
        <w:tc>
          <w:tcPr>
            <w:tcW w:w="3852" w:type="dxa"/>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Insomnia</w:t>
            </w:r>
          </w:p>
        </w:tc>
        <w:tc>
          <w:tcPr>
            <w:tcW w:w="4119" w:type="dxa"/>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7"/>
        </w:trPr>
        <w:tc>
          <w:tcPr>
            <w:tcW w:w="1884" w:type="dxa"/>
          </w:tcPr>
          <w:p w:rsidR="00E73676" w:rsidRPr="00E73676" w:rsidRDefault="00E73676" w:rsidP="00AB751C">
            <w:pPr>
              <w:pStyle w:val="TableParagraph"/>
              <w:ind w:right="237"/>
              <w:rPr>
                <w:rFonts w:ascii="Times New Roman" w:hAnsi="Times New Roman" w:cs="Times New Roman"/>
                <w:b/>
              </w:rPr>
            </w:pPr>
            <w:r w:rsidRPr="00E73676">
              <w:rPr>
                <w:rFonts w:ascii="Times New Roman" w:hAnsi="Times New Roman" w:cs="Times New Roman"/>
                <w:b/>
              </w:rPr>
              <w:t>Nervous System Disorders</w:t>
            </w:r>
          </w:p>
        </w:tc>
        <w:tc>
          <w:tcPr>
            <w:tcW w:w="3852" w:type="dxa"/>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1" w:line="254" w:lineRule="exact"/>
              <w:ind w:left="105" w:right="626"/>
              <w:rPr>
                <w:rFonts w:ascii="Times New Roman" w:hAnsi="Times New Roman" w:cs="Times New Roman"/>
              </w:rPr>
            </w:pPr>
            <w:r w:rsidRPr="00E73676">
              <w:rPr>
                <w:rFonts w:ascii="Times New Roman" w:hAnsi="Times New Roman" w:cs="Times New Roman"/>
              </w:rPr>
              <w:t>Dysgeuesia, Headache, neuropathy peripheral</w:t>
            </w:r>
          </w:p>
        </w:tc>
        <w:tc>
          <w:tcPr>
            <w:tcW w:w="4119" w:type="dxa"/>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2" w:lineRule="exact"/>
              <w:rPr>
                <w:rFonts w:ascii="Times New Roman" w:hAnsi="Times New Roman" w:cs="Times New Roman"/>
              </w:rPr>
            </w:pPr>
            <w:r w:rsidRPr="00E73676">
              <w:rPr>
                <w:rFonts w:ascii="Times New Roman" w:hAnsi="Times New Roman" w:cs="Times New Roman"/>
              </w:rPr>
              <w:t>Peripheral sensory neuropathy, Lethargy</w:t>
            </w:r>
          </w:p>
        </w:tc>
      </w:tr>
      <w:tr w:rsidR="00E73676" w:rsidRPr="00E73676" w:rsidTr="00AB751C">
        <w:trPr>
          <w:trHeight w:val="760"/>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Ear and</w:t>
            </w:r>
          </w:p>
          <w:p w:rsidR="00E73676" w:rsidRPr="00E73676" w:rsidRDefault="00E73676" w:rsidP="00AB751C">
            <w:pPr>
              <w:pStyle w:val="TableParagraph"/>
              <w:spacing w:before="5" w:line="252" w:lineRule="exact"/>
              <w:ind w:right="781"/>
              <w:rPr>
                <w:rFonts w:ascii="Times New Roman" w:hAnsi="Times New Roman" w:cs="Times New Roman"/>
                <w:b/>
              </w:rPr>
            </w:pPr>
            <w:r w:rsidRPr="00E73676">
              <w:rPr>
                <w:rFonts w:ascii="Times New Roman" w:hAnsi="Times New Roman" w:cs="Times New Roman"/>
                <w:b/>
              </w:rPr>
              <w:t>Labyrinth Disorders</w:t>
            </w:r>
          </w:p>
        </w:tc>
        <w:tc>
          <w:tcPr>
            <w:tcW w:w="3852" w:type="dxa"/>
          </w:tcPr>
          <w:p w:rsidR="00E73676" w:rsidRPr="00E73676" w:rsidRDefault="00E73676" w:rsidP="00AB751C">
            <w:pPr>
              <w:pStyle w:val="TableParagraph"/>
              <w:ind w:left="105" w:right="2403"/>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Vertigo</w:t>
            </w:r>
          </w:p>
        </w:tc>
        <w:tc>
          <w:tcPr>
            <w:tcW w:w="4119" w:type="dxa"/>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8"/>
        </w:trPr>
        <w:tc>
          <w:tcPr>
            <w:tcW w:w="1884" w:type="dxa"/>
          </w:tcPr>
          <w:p w:rsidR="00E73676" w:rsidRPr="00E73676" w:rsidRDefault="00E73676" w:rsidP="00AB751C">
            <w:pPr>
              <w:pStyle w:val="TableParagraph"/>
              <w:ind w:right="830"/>
              <w:rPr>
                <w:rFonts w:ascii="Times New Roman" w:hAnsi="Times New Roman" w:cs="Times New Roman"/>
                <w:b/>
              </w:rPr>
            </w:pPr>
            <w:r w:rsidRPr="00E73676">
              <w:rPr>
                <w:rFonts w:ascii="Times New Roman" w:hAnsi="Times New Roman" w:cs="Times New Roman"/>
                <w:b/>
              </w:rPr>
              <w:t>Cardiac Disorders</w:t>
            </w:r>
          </w:p>
        </w:tc>
        <w:tc>
          <w:tcPr>
            <w:tcW w:w="3852" w:type="dxa"/>
          </w:tcPr>
          <w:p w:rsidR="00E73676" w:rsidRPr="00E73676" w:rsidRDefault="00E73676" w:rsidP="00AB751C">
            <w:pPr>
              <w:pStyle w:val="TableParagraph"/>
              <w:rPr>
                <w:rFonts w:ascii="Times New Roman" w:hAnsi="Times New Roman" w:cs="Times New Roman"/>
              </w:rPr>
            </w:pPr>
          </w:p>
        </w:tc>
        <w:tc>
          <w:tcPr>
            <w:tcW w:w="4119" w:type="dxa"/>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986E84" w:rsidP="00986E84">
            <w:pPr>
              <w:pStyle w:val="TableParagraph"/>
              <w:spacing w:before="1" w:line="254" w:lineRule="exact"/>
              <w:ind w:right="542"/>
              <w:rPr>
                <w:rFonts w:ascii="Times New Roman" w:hAnsi="Times New Roman" w:cs="Times New Roman"/>
              </w:rPr>
            </w:pPr>
            <w:r>
              <w:rPr>
                <w:rFonts w:ascii="Times New Roman" w:hAnsi="Times New Roman" w:cs="Times New Roman"/>
              </w:rPr>
              <w:t>M</w:t>
            </w:r>
            <w:r w:rsidR="00E73676" w:rsidRPr="00E73676">
              <w:rPr>
                <w:rFonts w:ascii="Times New Roman" w:hAnsi="Times New Roman" w:cs="Times New Roman"/>
              </w:rPr>
              <w:t xml:space="preserve">yocardial infarction (including acute)^ </w:t>
            </w:r>
            <w:r w:rsidR="00311E2E">
              <w:rPr>
                <w:rFonts w:eastAsia="Times New Roman"/>
                <w:spacing w:val="-3"/>
                <w:position w:val="8"/>
                <w:sz w:val="14"/>
                <w:szCs w:val="14"/>
              </w:rPr>
              <w:t>◊</w:t>
            </w:r>
            <w:r w:rsidR="00E73676" w:rsidRPr="00E73676">
              <w:rPr>
                <w:rFonts w:ascii="Times New Roman" w:hAnsi="Times New Roman" w:cs="Times New Roman"/>
              </w:rPr>
              <w:t>, Cardiac failure</w:t>
            </w:r>
          </w:p>
        </w:tc>
      </w:tr>
      <w:tr w:rsidR="00E73676" w:rsidRPr="00E73676" w:rsidTr="00AB751C">
        <w:trPr>
          <w:trHeight w:val="757"/>
        </w:trPr>
        <w:tc>
          <w:tcPr>
            <w:tcW w:w="1884" w:type="dxa"/>
          </w:tcPr>
          <w:p w:rsidR="00E73676" w:rsidRPr="00E73676" w:rsidRDefault="00E73676" w:rsidP="00AB751C">
            <w:pPr>
              <w:pStyle w:val="TableParagraph"/>
              <w:ind w:right="830"/>
              <w:rPr>
                <w:rFonts w:ascii="Times New Roman" w:hAnsi="Times New Roman" w:cs="Times New Roman"/>
                <w:b/>
              </w:rPr>
            </w:pPr>
            <w:r w:rsidRPr="00E73676">
              <w:rPr>
                <w:rFonts w:ascii="Times New Roman" w:hAnsi="Times New Roman" w:cs="Times New Roman"/>
                <w:b/>
              </w:rPr>
              <w:t>Vascular Disorders</w:t>
            </w:r>
          </w:p>
        </w:tc>
        <w:tc>
          <w:tcPr>
            <w:tcW w:w="3852" w:type="dxa"/>
          </w:tcPr>
          <w:p w:rsidR="0073431D" w:rsidRDefault="00E73676">
            <w:pPr>
              <w:pStyle w:val="TableParagraph"/>
              <w:spacing w:line="242" w:lineRule="auto"/>
              <w:ind w:left="105" w:right="231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Hypotension</w:t>
            </w:r>
            <w:r w:rsidR="00986E84">
              <w:rPr>
                <w:rFonts w:eastAsia="Times New Roman"/>
                <w:spacing w:val="-3"/>
                <w:position w:val="8"/>
                <w:sz w:val="14"/>
                <w:szCs w:val="14"/>
              </w:rPr>
              <w:t>◊</w:t>
            </w:r>
          </w:p>
        </w:tc>
        <w:tc>
          <w:tcPr>
            <w:tcW w:w="4119" w:type="dxa"/>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7" w:line="252" w:lineRule="exact"/>
              <w:ind w:right="918"/>
              <w:rPr>
                <w:rFonts w:ascii="Times New Roman" w:hAnsi="Times New Roman" w:cs="Times New Roman"/>
              </w:rPr>
            </w:pPr>
            <w:r w:rsidRPr="00E73676">
              <w:rPr>
                <w:rFonts w:ascii="Times New Roman" w:hAnsi="Times New Roman" w:cs="Times New Roman"/>
              </w:rPr>
              <w:t>Deep vein thrombosis</w:t>
            </w:r>
            <w:r w:rsidR="00311E2E">
              <w:rPr>
                <w:rFonts w:eastAsia="Times New Roman"/>
                <w:spacing w:val="-3"/>
                <w:position w:val="8"/>
                <w:sz w:val="14"/>
                <w:szCs w:val="14"/>
              </w:rPr>
              <w:t>◊</w:t>
            </w:r>
            <w:r w:rsidRPr="00E73676">
              <w:rPr>
                <w:rFonts w:ascii="Times New Roman" w:hAnsi="Times New Roman" w:cs="Times New Roman"/>
              </w:rPr>
              <w:t>, pulmonary embolism^</w:t>
            </w:r>
            <w:r w:rsidR="00311E2E">
              <w:rPr>
                <w:rFonts w:eastAsia="Times New Roman"/>
                <w:spacing w:val="-3"/>
                <w:position w:val="8"/>
                <w:sz w:val="14"/>
                <w:szCs w:val="14"/>
              </w:rPr>
              <w:t>◊</w:t>
            </w:r>
            <w:r w:rsidRPr="00E73676">
              <w:rPr>
                <w:rFonts w:ascii="Times New Roman" w:hAnsi="Times New Roman" w:cs="Times New Roman"/>
              </w:rPr>
              <w:t>, Hypotension</w:t>
            </w:r>
            <w:r w:rsidR="00311E2E">
              <w:rPr>
                <w:rFonts w:eastAsia="Times New Roman"/>
                <w:spacing w:val="-3"/>
                <w:position w:val="8"/>
                <w:sz w:val="14"/>
                <w:szCs w:val="14"/>
              </w:rPr>
              <w:t>◊</w:t>
            </w:r>
          </w:p>
        </w:tc>
      </w:tr>
      <w:tr w:rsidR="00E73676" w:rsidRPr="00E73676" w:rsidTr="00AB751C">
        <w:trPr>
          <w:trHeight w:val="252"/>
        </w:trPr>
        <w:tc>
          <w:tcPr>
            <w:tcW w:w="1884" w:type="dxa"/>
            <w:tcBorders>
              <w:bottom w:val="nil"/>
            </w:tcBorders>
          </w:tcPr>
          <w:p w:rsidR="00E73676" w:rsidRPr="00E73676" w:rsidRDefault="00E73676" w:rsidP="00AB751C">
            <w:pPr>
              <w:pStyle w:val="TableParagraph"/>
              <w:spacing w:line="232" w:lineRule="exact"/>
              <w:rPr>
                <w:rFonts w:ascii="Times New Roman" w:hAnsi="Times New Roman" w:cs="Times New Roman"/>
                <w:b/>
              </w:rPr>
            </w:pPr>
            <w:r w:rsidRPr="00E73676">
              <w:rPr>
                <w:rFonts w:ascii="Times New Roman" w:hAnsi="Times New Roman" w:cs="Times New Roman"/>
                <w:b/>
              </w:rPr>
              <w:t>Respiratory,</w:t>
            </w:r>
          </w:p>
        </w:tc>
        <w:tc>
          <w:tcPr>
            <w:tcW w:w="3852" w:type="dxa"/>
            <w:tcBorders>
              <w:bottom w:val="nil"/>
            </w:tcBorders>
          </w:tcPr>
          <w:p w:rsidR="00E73676" w:rsidRPr="00E73676" w:rsidRDefault="00E73676" w:rsidP="00AB751C">
            <w:pPr>
              <w:pStyle w:val="TableParagraph"/>
              <w:spacing w:line="232" w:lineRule="exact"/>
              <w:ind w:left="105"/>
              <w:rPr>
                <w:rFonts w:ascii="Times New Roman" w:hAnsi="Times New Roman" w:cs="Times New Roman"/>
              </w:rPr>
            </w:pPr>
            <w:r w:rsidRPr="00E73676">
              <w:rPr>
                <w:rFonts w:ascii="Times New Roman" w:hAnsi="Times New Roman" w:cs="Times New Roman"/>
                <w:u w:val="single"/>
              </w:rPr>
              <w:t>Very Common</w:t>
            </w:r>
          </w:p>
        </w:tc>
        <w:tc>
          <w:tcPr>
            <w:tcW w:w="4119" w:type="dxa"/>
            <w:tcBorders>
              <w:bottom w:val="nil"/>
            </w:tcBorders>
          </w:tcPr>
          <w:p w:rsidR="00E73676" w:rsidRPr="00E73676" w:rsidRDefault="00E73676" w:rsidP="00AB751C">
            <w:pPr>
              <w:pStyle w:val="TableParagraph"/>
              <w:spacing w:line="232" w:lineRule="exact"/>
              <w:rPr>
                <w:rFonts w:ascii="Times New Roman" w:hAnsi="Times New Roman" w:cs="Times New Roman"/>
              </w:rPr>
            </w:pPr>
            <w:r w:rsidRPr="00E73676">
              <w:rPr>
                <w:rFonts w:ascii="Times New Roman" w:hAnsi="Times New Roman" w:cs="Times New Roman"/>
                <w:u w:val="single"/>
              </w:rPr>
              <w:t>Common</w:t>
            </w:r>
          </w:p>
        </w:tc>
      </w:tr>
      <w:tr w:rsidR="00E73676" w:rsidRPr="00E73676" w:rsidTr="00AB751C">
        <w:trPr>
          <w:trHeight w:val="257"/>
        </w:trPr>
        <w:tc>
          <w:tcPr>
            <w:tcW w:w="1884" w:type="dxa"/>
            <w:tcBorders>
              <w:top w:val="nil"/>
              <w:bottom w:val="nil"/>
            </w:tcBorders>
          </w:tcPr>
          <w:p w:rsidR="00E73676" w:rsidRPr="00E73676" w:rsidRDefault="00E73676" w:rsidP="00AB751C">
            <w:pPr>
              <w:pStyle w:val="TableParagraph"/>
              <w:spacing w:line="238" w:lineRule="exact"/>
              <w:rPr>
                <w:rFonts w:ascii="Times New Roman" w:hAnsi="Times New Roman" w:cs="Times New Roman"/>
                <w:b/>
              </w:rPr>
            </w:pPr>
            <w:r w:rsidRPr="00E73676">
              <w:rPr>
                <w:rFonts w:ascii="Times New Roman" w:hAnsi="Times New Roman" w:cs="Times New Roman"/>
                <w:b/>
              </w:rPr>
              <w:t>Thoracic and</w:t>
            </w:r>
          </w:p>
        </w:tc>
        <w:tc>
          <w:tcPr>
            <w:tcW w:w="3852" w:type="dxa"/>
            <w:tcBorders>
              <w:top w:val="nil"/>
              <w:bottom w:val="nil"/>
            </w:tcBorders>
          </w:tcPr>
          <w:p w:rsidR="00E73676" w:rsidRPr="00E73676" w:rsidRDefault="00E73676" w:rsidP="005C6DBD">
            <w:pPr>
              <w:pStyle w:val="TableParagraph"/>
              <w:spacing w:line="238" w:lineRule="exact"/>
              <w:ind w:left="105"/>
              <w:rPr>
                <w:rFonts w:ascii="Times New Roman" w:hAnsi="Times New Roman" w:cs="Times New Roman"/>
              </w:rPr>
            </w:pPr>
            <w:r w:rsidRPr="00E73676">
              <w:rPr>
                <w:rFonts w:ascii="Times New Roman" w:hAnsi="Times New Roman" w:cs="Times New Roman"/>
              </w:rPr>
              <w:t>Dyspnoea</w:t>
            </w:r>
            <w:r w:rsidR="005C6DBD">
              <w:rPr>
                <w:rFonts w:eastAsia="Times New Roman"/>
                <w:spacing w:val="-3"/>
                <w:position w:val="8"/>
                <w:sz w:val="14"/>
                <w:szCs w:val="14"/>
              </w:rPr>
              <w:t>◊</w:t>
            </w:r>
          </w:p>
        </w:tc>
        <w:tc>
          <w:tcPr>
            <w:tcW w:w="4119" w:type="dxa"/>
            <w:tcBorders>
              <w:top w:val="nil"/>
              <w:bottom w:val="nil"/>
            </w:tcBorders>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rPr>
              <w:t>Dyspnoea</w:t>
            </w:r>
            <w:r w:rsidR="00311E2E">
              <w:rPr>
                <w:rFonts w:eastAsia="Times New Roman"/>
                <w:spacing w:val="-3"/>
                <w:position w:val="8"/>
                <w:sz w:val="14"/>
                <w:szCs w:val="14"/>
              </w:rPr>
              <w:t>◊</w:t>
            </w:r>
          </w:p>
        </w:tc>
      </w:tr>
      <w:tr w:rsidR="00E73676" w:rsidRPr="00E73676" w:rsidTr="00AB751C">
        <w:trPr>
          <w:trHeight w:val="253"/>
        </w:trPr>
        <w:tc>
          <w:tcPr>
            <w:tcW w:w="1884" w:type="dxa"/>
            <w:tcBorders>
              <w:top w:val="nil"/>
              <w:bottom w:val="nil"/>
            </w:tcBorders>
          </w:tcPr>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Mediastinal</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49"/>
        </w:trPr>
        <w:tc>
          <w:tcPr>
            <w:tcW w:w="1884" w:type="dxa"/>
            <w:tcBorders>
              <w:top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Disorders</w:t>
            </w:r>
          </w:p>
        </w:tc>
        <w:tc>
          <w:tcPr>
            <w:tcW w:w="3852" w:type="dxa"/>
            <w:tcBorders>
              <w:top w:val="nil"/>
            </w:tcBorders>
          </w:tcPr>
          <w:p w:rsidR="00E73676" w:rsidRPr="00E73676" w:rsidRDefault="00E73676" w:rsidP="00AB751C">
            <w:pPr>
              <w:pStyle w:val="TableParagraph"/>
              <w:rPr>
                <w:rFonts w:ascii="Times New Roman" w:hAnsi="Times New Roman" w:cs="Times New Roman"/>
              </w:rPr>
            </w:pP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883"/>
        </w:trPr>
        <w:tc>
          <w:tcPr>
            <w:tcW w:w="1884" w:type="dxa"/>
            <w:tcBorders>
              <w:bottom w:val="nil"/>
            </w:tcBorders>
          </w:tcPr>
          <w:p w:rsidR="00E73676" w:rsidRPr="00E73676" w:rsidRDefault="00E73676" w:rsidP="00AB751C">
            <w:pPr>
              <w:pStyle w:val="TableParagraph"/>
              <w:ind w:right="231"/>
              <w:rPr>
                <w:rFonts w:ascii="Times New Roman" w:hAnsi="Times New Roman" w:cs="Times New Roman"/>
                <w:b/>
              </w:rPr>
            </w:pPr>
            <w:r w:rsidRPr="00E73676">
              <w:rPr>
                <w:rFonts w:ascii="Times New Roman" w:hAnsi="Times New Roman" w:cs="Times New Roman"/>
                <w:b/>
              </w:rPr>
              <w:t>Gastrointestinal Disorders</w:t>
            </w:r>
          </w:p>
        </w:tc>
        <w:tc>
          <w:tcPr>
            <w:tcW w:w="3852" w:type="dxa"/>
            <w:tcBorders>
              <w:bottom w:val="nil"/>
            </w:tcBorders>
          </w:tcPr>
          <w:p w:rsidR="00E73676" w:rsidRPr="004273C8" w:rsidRDefault="00E73676" w:rsidP="004273C8">
            <w:pPr>
              <w:pStyle w:val="TableParagraph"/>
              <w:spacing w:line="246" w:lineRule="exact"/>
              <w:ind w:left="105"/>
              <w:rPr>
                <w:rFonts w:ascii="Times New Roman" w:hAnsi="Times New Roman" w:cs="Times New Roman"/>
                <w:u w:val="single"/>
              </w:rPr>
            </w:pPr>
            <w:r w:rsidRPr="00E73676">
              <w:rPr>
                <w:rFonts w:ascii="Times New Roman" w:hAnsi="Times New Roman" w:cs="Times New Roman"/>
                <w:u w:val="single"/>
              </w:rPr>
              <w:t>Very Common</w:t>
            </w:r>
          </w:p>
          <w:p w:rsidR="00E73676" w:rsidRPr="00D7034D" w:rsidRDefault="00E73676" w:rsidP="004273C8">
            <w:pPr>
              <w:pStyle w:val="TableParagraph"/>
              <w:spacing w:line="246" w:lineRule="exact"/>
              <w:ind w:left="105" w:right="933"/>
              <w:rPr>
                <w:rFonts w:ascii="Times New Roman" w:hAnsi="Times New Roman" w:cs="Times New Roman"/>
              </w:rPr>
            </w:pPr>
            <w:r w:rsidRPr="00D7034D">
              <w:rPr>
                <w:rFonts w:ascii="Times New Roman" w:hAnsi="Times New Roman" w:cs="Times New Roman"/>
              </w:rPr>
              <w:t>Diarrhoea, Nausea</w:t>
            </w:r>
            <w:r w:rsidRPr="004273C8">
              <w:rPr>
                <w:rFonts w:ascii="Times New Roman" w:hAnsi="Times New Roman" w:cs="Times New Roman"/>
                <w:vertAlign w:val="superscript"/>
              </w:rPr>
              <w:t>◊</w:t>
            </w:r>
            <w:r w:rsidRPr="00D7034D">
              <w:rPr>
                <w:rFonts w:ascii="Times New Roman" w:hAnsi="Times New Roman" w:cs="Times New Roman"/>
              </w:rPr>
              <w:t>, Vomiting</w:t>
            </w:r>
            <w:r w:rsidRPr="004273C8">
              <w:rPr>
                <w:rFonts w:ascii="Times New Roman" w:hAnsi="Times New Roman" w:cs="Times New Roman"/>
                <w:vertAlign w:val="superscript"/>
              </w:rPr>
              <w:t>◊</w:t>
            </w:r>
            <w:r w:rsidRPr="00D7034D">
              <w:rPr>
                <w:rFonts w:ascii="Times New Roman" w:hAnsi="Times New Roman" w:cs="Times New Roman"/>
              </w:rPr>
              <w:t>, Constipation</w:t>
            </w:r>
          </w:p>
        </w:tc>
        <w:tc>
          <w:tcPr>
            <w:tcW w:w="4119" w:type="dxa"/>
            <w:tcBorders>
              <w:bottom w:val="nil"/>
            </w:tcBorders>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rPr>
                <w:rFonts w:ascii="Times New Roman" w:hAnsi="Times New Roman" w:cs="Times New Roman"/>
              </w:rPr>
            </w:pPr>
            <w:r w:rsidRPr="00E73676">
              <w:rPr>
                <w:rFonts w:ascii="Times New Roman" w:hAnsi="Times New Roman" w:cs="Times New Roman"/>
              </w:rPr>
              <w:t>Diarrhoea</w:t>
            </w:r>
            <w:r w:rsidR="00311E2E">
              <w:rPr>
                <w:rFonts w:eastAsia="Times New Roman"/>
                <w:spacing w:val="-3"/>
                <w:position w:val="8"/>
                <w:sz w:val="14"/>
                <w:szCs w:val="14"/>
              </w:rPr>
              <w:t>◊</w:t>
            </w:r>
            <w:r w:rsidRPr="00E73676">
              <w:rPr>
                <w:rFonts w:ascii="Times New Roman" w:hAnsi="Times New Roman" w:cs="Times New Roman"/>
              </w:rPr>
              <w:t>, Abdominal pain</w:t>
            </w:r>
            <w:r w:rsidR="00311E2E">
              <w:rPr>
                <w:rFonts w:eastAsia="Times New Roman"/>
                <w:spacing w:val="-3"/>
                <w:position w:val="8"/>
                <w:sz w:val="14"/>
                <w:szCs w:val="14"/>
              </w:rPr>
              <w:t>◊</w:t>
            </w:r>
            <w:r w:rsidRPr="00E73676">
              <w:rPr>
                <w:rFonts w:ascii="Times New Roman" w:hAnsi="Times New Roman" w:cs="Times New Roman"/>
              </w:rPr>
              <w:t>, Constipation</w:t>
            </w:r>
          </w:p>
        </w:tc>
      </w:tr>
      <w:tr w:rsidR="00E73676" w:rsidRPr="00E73676" w:rsidTr="00AB751C">
        <w:trPr>
          <w:trHeight w:val="634"/>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73431D" w:rsidRPr="004273C8" w:rsidRDefault="00E73676" w:rsidP="004273C8">
            <w:pPr>
              <w:pStyle w:val="TableParagraph"/>
              <w:spacing w:line="246" w:lineRule="exact"/>
              <w:ind w:left="105"/>
              <w:rPr>
                <w:rFonts w:ascii="Times New Roman" w:hAnsi="Times New Roman" w:cs="Times New Roman"/>
                <w:u w:val="single"/>
              </w:rPr>
            </w:pPr>
            <w:r w:rsidRPr="00E73676">
              <w:rPr>
                <w:rFonts w:ascii="Times New Roman" w:hAnsi="Times New Roman" w:cs="Times New Roman"/>
                <w:u w:val="single"/>
              </w:rPr>
              <w:t>Common</w:t>
            </w:r>
            <w:r w:rsidRPr="004273C8">
              <w:rPr>
                <w:rFonts w:ascii="Times New Roman" w:hAnsi="Times New Roman" w:cs="Times New Roman"/>
                <w:u w:val="single"/>
              </w:rPr>
              <w:t xml:space="preserve"> </w:t>
            </w:r>
          </w:p>
          <w:p w:rsidR="0073431D" w:rsidRPr="00D7034D" w:rsidRDefault="00E73676" w:rsidP="004273C8">
            <w:pPr>
              <w:pStyle w:val="TableParagraph"/>
              <w:spacing w:line="246" w:lineRule="exact"/>
              <w:ind w:left="105"/>
              <w:rPr>
                <w:rFonts w:ascii="Times New Roman" w:hAnsi="Times New Roman" w:cs="Times New Roman"/>
              </w:rPr>
            </w:pPr>
            <w:r w:rsidRPr="00D7034D">
              <w:rPr>
                <w:rFonts w:ascii="Times New Roman" w:hAnsi="Times New Roman" w:cs="Times New Roman"/>
              </w:rPr>
              <w:t>Abdominal pain</w:t>
            </w:r>
            <w:r w:rsidR="00311E2E" w:rsidRPr="004273C8">
              <w:rPr>
                <w:rFonts w:ascii="Times New Roman" w:hAnsi="Times New Roman" w:cs="Times New Roman"/>
                <w:vertAlign w:val="superscript"/>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886"/>
        </w:trPr>
        <w:tc>
          <w:tcPr>
            <w:tcW w:w="1884" w:type="dxa"/>
            <w:tcBorders>
              <w:bottom w:val="nil"/>
            </w:tcBorders>
          </w:tcPr>
          <w:p w:rsidR="00E73676" w:rsidRPr="00E73676" w:rsidRDefault="00E73676" w:rsidP="00AB751C">
            <w:pPr>
              <w:pStyle w:val="TableParagraph"/>
              <w:ind w:right="176"/>
              <w:rPr>
                <w:rFonts w:ascii="Times New Roman" w:hAnsi="Times New Roman" w:cs="Times New Roman"/>
                <w:b/>
              </w:rPr>
            </w:pPr>
            <w:r w:rsidRPr="00E73676">
              <w:rPr>
                <w:rFonts w:ascii="Times New Roman" w:hAnsi="Times New Roman" w:cs="Times New Roman"/>
                <w:b/>
              </w:rPr>
              <w:t>Skin and Subcutaneous Tissue Disorders</w:t>
            </w:r>
          </w:p>
        </w:tc>
        <w:tc>
          <w:tcPr>
            <w:tcW w:w="3852" w:type="dxa"/>
            <w:tcBorders>
              <w:bottom w:val="nil"/>
            </w:tcBorders>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56"/>
              <w:rPr>
                <w:rFonts w:ascii="Times New Roman" w:hAnsi="Times New Roman" w:cs="Times New Roman"/>
              </w:rPr>
            </w:pPr>
            <w:r w:rsidRPr="00E73676">
              <w:rPr>
                <w:rFonts w:ascii="Times New Roman" w:hAnsi="Times New Roman" w:cs="Times New Roman"/>
              </w:rPr>
              <w:t>Rashes (including dermatitis allergic), Pruritus</w:t>
            </w:r>
          </w:p>
        </w:tc>
        <w:tc>
          <w:tcPr>
            <w:tcW w:w="4119" w:type="dxa"/>
            <w:tcBorders>
              <w:bottom w:val="nil"/>
            </w:tcBorders>
          </w:tcPr>
          <w:p w:rsidR="00E73676" w:rsidRPr="00E73676" w:rsidRDefault="00E73676" w:rsidP="00AB751C">
            <w:pPr>
              <w:pStyle w:val="TableParagraph"/>
              <w:ind w:right="2770"/>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Rashes</w:t>
            </w:r>
          </w:p>
        </w:tc>
      </w:tr>
      <w:tr w:rsidR="00E73676" w:rsidRPr="00E73676" w:rsidTr="00AB751C">
        <w:trPr>
          <w:trHeight w:val="629"/>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13"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4" w:lineRule="exact"/>
              <w:ind w:left="105"/>
              <w:rPr>
                <w:rFonts w:ascii="Times New Roman" w:hAnsi="Times New Roman" w:cs="Times New Roman"/>
              </w:rPr>
            </w:pPr>
            <w:r w:rsidRPr="00E73676">
              <w:rPr>
                <w:rFonts w:ascii="Times New Roman" w:hAnsi="Times New Roman" w:cs="Times New Roman"/>
              </w:rPr>
              <w:t>Night sweats, Dry skin</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60"/>
        </w:trPr>
        <w:tc>
          <w:tcPr>
            <w:tcW w:w="1884" w:type="dxa"/>
            <w:tcBorders>
              <w:bottom w:val="nil"/>
            </w:tcBorders>
          </w:tcPr>
          <w:p w:rsidR="00E73676" w:rsidRPr="00E73676" w:rsidRDefault="00E73676" w:rsidP="00AB751C">
            <w:pPr>
              <w:pStyle w:val="TableParagraph"/>
              <w:spacing w:line="246" w:lineRule="exact"/>
              <w:rPr>
                <w:rFonts w:ascii="Times New Roman" w:hAnsi="Times New Roman" w:cs="Times New Roman"/>
                <w:b/>
              </w:rPr>
            </w:pPr>
            <w:r w:rsidRPr="00E73676">
              <w:rPr>
                <w:rFonts w:ascii="Times New Roman" w:hAnsi="Times New Roman" w:cs="Times New Roman"/>
                <w:b/>
              </w:rPr>
              <w:t>Musculoskeletal</w:t>
            </w:r>
          </w:p>
          <w:p w:rsidR="00E73676" w:rsidRPr="00E73676" w:rsidRDefault="00E73676" w:rsidP="00AB751C">
            <w:pPr>
              <w:pStyle w:val="TableParagraph"/>
              <w:spacing w:before="3" w:line="252" w:lineRule="exact"/>
              <w:ind w:right="176"/>
              <w:rPr>
                <w:rFonts w:ascii="Times New Roman" w:hAnsi="Times New Roman" w:cs="Times New Roman"/>
                <w:b/>
              </w:rPr>
            </w:pPr>
            <w:r w:rsidRPr="00E73676">
              <w:rPr>
                <w:rFonts w:ascii="Times New Roman" w:hAnsi="Times New Roman" w:cs="Times New Roman"/>
                <w:b/>
              </w:rPr>
              <w:t>and Connective Tissue Disorders</w:t>
            </w:r>
          </w:p>
        </w:tc>
        <w:tc>
          <w:tcPr>
            <w:tcW w:w="3852" w:type="dxa"/>
            <w:tcBorders>
              <w:bottom w:val="nil"/>
            </w:tcBorders>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rPr>
              <w:t>Muscle spasms, Back pain</w:t>
            </w:r>
          </w:p>
        </w:tc>
        <w:tc>
          <w:tcPr>
            <w:tcW w:w="4119" w:type="dxa"/>
            <w:tcBorders>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right="119"/>
              <w:rPr>
                <w:rFonts w:ascii="Times New Roman" w:hAnsi="Times New Roman" w:cs="Times New Roman"/>
              </w:rPr>
            </w:pPr>
            <w:r w:rsidRPr="00E73676">
              <w:rPr>
                <w:rFonts w:ascii="Times New Roman" w:hAnsi="Times New Roman" w:cs="Times New Roman"/>
              </w:rPr>
              <w:t>Back pain, Muscular weakness</w:t>
            </w:r>
            <w:r w:rsidR="00311E2E">
              <w:rPr>
                <w:rFonts w:eastAsia="Times New Roman"/>
                <w:spacing w:val="-3"/>
                <w:position w:val="8"/>
                <w:sz w:val="14"/>
                <w:szCs w:val="14"/>
              </w:rPr>
              <w:t>◊</w:t>
            </w:r>
            <w:r w:rsidRPr="00E73676">
              <w:rPr>
                <w:rFonts w:ascii="Times New Roman" w:hAnsi="Times New Roman" w:cs="Times New Roman"/>
              </w:rPr>
              <w:t>, Arthralgia, Pain in extremity</w:t>
            </w:r>
          </w:p>
        </w:tc>
      </w:tr>
      <w:tr w:rsidR="00E73676" w:rsidRPr="00E73676" w:rsidTr="00AB751C">
        <w:trPr>
          <w:trHeight w:val="758"/>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311E2E" w:rsidRDefault="00E73676" w:rsidP="00AB751C">
            <w:pPr>
              <w:pStyle w:val="TableParagraph"/>
              <w:spacing w:before="2" w:line="254" w:lineRule="exact"/>
              <w:ind w:left="105" w:right="246"/>
              <w:rPr>
                <w:rFonts w:ascii="Times New Roman" w:hAnsi="Times New Roman" w:cs="Times New Roman"/>
                <w:b/>
              </w:rPr>
            </w:pPr>
            <w:r w:rsidRPr="00E73676">
              <w:rPr>
                <w:rFonts w:ascii="Times New Roman" w:hAnsi="Times New Roman" w:cs="Times New Roman"/>
              </w:rPr>
              <w:t>Arthralgia, Pain in extremity, Muscular weakness</w:t>
            </w:r>
            <w:r w:rsidR="00311E2E">
              <w:rPr>
                <w:rFonts w:eastAsia="Times New Roman"/>
                <w:spacing w:val="-3"/>
                <w:position w:val="8"/>
                <w:sz w:val="14"/>
                <w:szCs w:val="14"/>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7"/>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Renal and</w:t>
            </w:r>
          </w:p>
          <w:p w:rsidR="00E73676" w:rsidRPr="00E73676" w:rsidRDefault="00E73676" w:rsidP="00AB751C">
            <w:pPr>
              <w:pStyle w:val="TableParagraph"/>
              <w:spacing w:before="5" w:line="252" w:lineRule="exact"/>
              <w:ind w:right="830"/>
              <w:rPr>
                <w:rFonts w:ascii="Times New Roman" w:hAnsi="Times New Roman" w:cs="Times New Roman"/>
                <w:b/>
              </w:rPr>
            </w:pPr>
            <w:r w:rsidRPr="00E73676">
              <w:rPr>
                <w:rFonts w:ascii="Times New Roman" w:hAnsi="Times New Roman" w:cs="Times New Roman"/>
                <w:b/>
              </w:rPr>
              <w:t>Urinary Disorders</w:t>
            </w:r>
          </w:p>
        </w:tc>
        <w:tc>
          <w:tcPr>
            <w:tcW w:w="3852" w:type="dxa"/>
          </w:tcPr>
          <w:p w:rsidR="00E73676" w:rsidRPr="00E73676" w:rsidRDefault="00E73676" w:rsidP="00AB751C">
            <w:pPr>
              <w:pStyle w:val="TableParagraph"/>
              <w:rPr>
                <w:rFonts w:ascii="Times New Roman" w:hAnsi="Times New Roman" w:cs="Times New Roman"/>
              </w:rPr>
            </w:pPr>
          </w:p>
        </w:tc>
        <w:tc>
          <w:tcPr>
            <w:tcW w:w="4119" w:type="dxa"/>
          </w:tcPr>
          <w:p w:rsidR="00E73676" w:rsidRPr="00E73676" w:rsidRDefault="00E73676" w:rsidP="00AB751C">
            <w:pPr>
              <w:pStyle w:val="TableParagraph"/>
              <w:spacing w:line="235" w:lineRule="auto"/>
              <w:ind w:right="2770"/>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Renal failure</w:t>
            </w:r>
            <w:r w:rsidR="00311E2E">
              <w:rPr>
                <w:rFonts w:eastAsia="Times New Roman"/>
                <w:spacing w:val="-3"/>
                <w:position w:val="8"/>
                <w:sz w:val="14"/>
                <w:szCs w:val="14"/>
              </w:rPr>
              <w:t>◊</w:t>
            </w:r>
          </w:p>
        </w:tc>
      </w:tr>
      <w:tr w:rsidR="00E73676" w:rsidRPr="00E73676" w:rsidTr="00AB751C">
        <w:trPr>
          <w:trHeight w:val="1141"/>
        </w:trPr>
        <w:tc>
          <w:tcPr>
            <w:tcW w:w="1884" w:type="dxa"/>
            <w:tcBorders>
              <w:bottom w:val="nil"/>
            </w:tcBorders>
          </w:tcPr>
          <w:p w:rsidR="00E73676" w:rsidRPr="00E73676" w:rsidRDefault="00E73676" w:rsidP="00AB751C">
            <w:pPr>
              <w:pStyle w:val="TableParagraph"/>
              <w:ind w:right="304"/>
              <w:rPr>
                <w:rFonts w:ascii="Times New Roman" w:hAnsi="Times New Roman" w:cs="Times New Roman"/>
                <w:b/>
              </w:rPr>
            </w:pPr>
            <w:r w:rsidRPr="00E73676">
              <w:rPr>
                <w:rFonts w:ascii="Times New Roman" w:hAnsi="Times New Roman" w:cs="Times New Roman"/>
                <w:b/>
              </w:rPr>
              <w:t>General Disorders and Administration Site Conditions</w:t>
            </w:r>
          </w:p>
        </w:tc>
        <w:tc>
          <w:tcPr>
            <w:tcW w:w="3852" w:type="dxa"/>
            <w:tcBorders>
              <w:bottom w:val="nil"/>
            </w:tcBorders>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56"/>
              <w:rPr>
                <w:rFonts w:ascii="Times New Roman" w:hAnsi="Times New Roman" w:cs="Times New Roman"/>
              </w:rPr>
            </w:pPr>
            <w:r w:rsidRPr="00E73676">
              <w:rPr>
                <w:rFonts w:ascii="Times New Roman" w:hAnsi="Times New Roman" w:cs="Times New Roman"/>
              </w:rPr>
              <w:t>Fatigue, Asthenia</w:t>
            </w:r>
            <w:r w:rsidR="00311E2E">
              <w:rPr>
                <w:rFonts w:eastAsia="Times New Roman"/>
                <w:spacing w:val="-3"/>
                <w:position w:val="8"/>
                <w:sz w:val="14"/>
                <w:szCs w:val="14"/>
              </w:rPr>
              <w:t>◊</w:t>
            </w:r>
            <w:r w:rsidRPr="00E73676">
              <w:rPr>
                <w:rFonts w:ascii="Times New Roman" w:hAnsi="Times New Roman" w:cs="Times New Roman"/>
              </w:rPr>
              <w:t>, Peripheral oedema, Influenza like illness syndrome (including pyrexia</w:t>
            </w:r>
            <w:r w:rsidR="00311E2E">
              <w:rPr>
                <w:rFonts w:eastAsia="Times New Roman"/>
                <w:spacing w:val="-3"/>
                <w:position w:val="8"/>
                <w:sz w:val="14"/>
                <w:szCs w:val="14"/>
              </w:rPr>
              <w:t>◊</w:t>
            </w:r>
            <w:r w:rsidRPr="00E73676">
              <w:rPr>
                <w:rFonts w:ascii="Times New Roman" w:hAnsi="Times New Roman" w:cs="Times New Roman"/>
              </w:rPr>
              <w:t>, cough)</w:t>
            </w:r>
          </w:p>
        </w:tc>
        <w:tc>
          <w:tcPr>
            <w:tcW w:w="4119" w:type="dxa"/>
            <w:tcBorders>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5" w:lineRule="exact"/>
              <w:rPr>
                <w:rFonts w:ascii="Times New Roman" w:hAnsi="Times New Roman" w:cs="Times New Roman"/>
              </w:rPr>
            </w:pPr>
            <w:r w:rsidRPr="00E73676">
              <w:rPr>
                <w:rFonts w:ascii="Times New Roman" w:hAnsi="Times New Roman" w:cs="Times New Roman"/>
              </w:rPr>
              <w:t>Pyrexia</w:t>
            </w:r>
            <w:r w:rsidR="00311E2E">
              <w:rPr>
                <w:rFonts w:eastAsia="Times New Roman"/>
                <w:spacing w:val="-3"/>
                <w:position w:val="8"/>
                <w:sz w:val="14"/>
                <w:szCs w:val="14"/>
              </w:rPr>
              <w:t>◊</w:t>
            </w:r>
            <w:r w:rsidRPr="00E73676">
              <w:rPr>
                <w:rFonts w:ascii="Times New Roman" w:hAnsi="Times New Roman" w:cs="Times New Roman"/>
              </w:rPr>
              <w:t>, Asthenia</w:t>
            </w:r>
            <w:r w:rsidR="00311E2E">
              <w:rPr>
                <w:rFonts w:eastAsia="Times New Roman"/>
                <w:spacing w:val="-3"/>
                <w:position w:val="8"/>
                <w:sz w:val="14"/>
                <w:szCs w:val="14"/>
              </w:rPr>
              <w:t>◊</w:t>
            </w:r>
            <w:r w:rsidRPr="00E73676">
              <w:rPr>
                <w:rFonts w:ascii="Times New Roman" w:hAnsi="Times New Roman" w:cs="Times New Roman"/>
              </w:rPr>
              <w:t>, Fatigue</w:t>
            </w:r>
          </w:p>
        </w:tc>
      </w:tr>
      <w:tr w:rsidR="00E73676" w:rsidRPr="00E73676" w:rsidTr="00AB751C">
        <w:trPr>
          <w:trHeight w:val="632"/>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16" w:line="252" w:lineRule="exact"/>
              <w:ind w:left="105" w:right="2592"/>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Chills</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bl>
    <w:p w:rsidR="00E73676" w:rsidRDefault="00E73676" w:rsidP="00E73676">
      <w:pPr>
        <w:spacing w:line="169" w:lineRule="exact"/>
        <w:ind w:left="238"/>
        <w:rPr>
          <w:sz w:val="16"/>
        </w:rPr>
      </w:pPr>
      <w:r>
        <w:rPr>
          <w:sz w:val="16"/>
        </w:rPr>
        <w:t>^see section 4.8 description of selected adverse reactions</w:t>
      </w:r>
    </w:p>
    <w:p w:rsidR="0073431D" w:rsidRDefault="00E73676">
      <w:pPr>
        <w:spacing w:line="242" w:lineRule="auto"/>
        <w:ind w:left="238" w:right="1558"/>
        <w:rPr>
          <w:sz w:val="16"/>
        </w:rPr>
      </w:pPr>
      <w:r>
        <w:rPr>
          <w:position w:val="6"/>
          <w:sz w:val="10"/>
        </w:rPr>
        <w:t>◊</w:t>
      </w:r>
      <w:r>
        <w:rPr>
          <w:sz w:val="16"/>
        </w:rPr>
        <w:t>Adverse events reported as serious in mantle cell lymphoma clinical trials Algorithm applied for mantle cell lymphoma:</w:t>
      </w:r>
    </w:p>
    <w:p w:rsidR="00E73676" w:rsidRDefault="00E73676" w:rsidP="00E73676">
      <w:pPr>
        <w:pStyle w:val="ListParagraph"/>
        <w:widowControl w:val="0"/>
        <w:numPr>
          <w:ilvl w:val="1"/>
          <w:numId w:val="64"/>
        </w:numPr>
        <w:tabs>
          <w:tab w:val="left" w:pos="958"/>
          <w:tab w:val="left" w:pos="959"/>
        </w:tabs>
        <w:autoSpaceDE w:val="0"/>
        <w:autoSpaceDN w:val="0"/>
        <w:spacing w:line="194" w:lineRule="exact"/>
        <w:contextualSpacing w:val="0"/>
        <w:rPr>
          <w:rFonts w:ascii="Symbol"/>
          <w:sz w:val="16"/>
        </w:rPr>
      </w:pPr>
      <w:r>
        <w:rPr>
          <w:sz w:val="16"/>
        </w:rPr>
        <w:t xml:space="preserve">Mantle cell lymphoma controlled phase </w:t>
      </w:r>
      <w:r w:rsidR="00745A94">
        <w:rPr>
          <w:sz w:val="16"/>
        </w:rPr>
        <w:t>2</w:t>
      </w:r>
      <w:r>
        <w:rPr>
          <w:spacing w:val="-4"/>
          <w:sz w:val="16"/>
        </w:rPr>
        <w:t xml:space="preserve"> </w:t>
      </w:r>
      <w:r>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adverse events with ≥ 5% of subjects in lenalidomide arm and at least 2% difference in</w:t>
      </w:r>
      <w:r>
        <w:rPr>
          <w:spacing w:val="-27"/>
          <w:sz w:val="16"/>
        </w:rPr>
        <w:t xml:space="preserve"> </w:t>
      </w:r>
      <w:r>
        <w:rPr>
          <w:sz w:val="16"/>
        </w:rPr>
        <w:t>proportion</w:t>
      </w:r>
    </w:p>
    <w:p w:rsidR="00E73676" w:rsidRDefault="00E73676" w:rsidP="00E73676">
      <w:pPr>
        <w:spacing w:line="177" w:lineRule="exact"/>
        <w:ind w:left="1678"/>
        <w:rPr>
          <w:sz w:val="16"/>
        </w:rPr>
      </w:pPr>
      <w:r>
        <w:rPr>
          <w:sz w:val="16"/>
        </w:rPr>
        <w:t>between lenalidomide and control arm</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grade 3 or 4 adverse events in ≥1% of subjects in lenalidomide arm and at least 1.0% difference</w:t>
      </w:r>
      <w:r>
        <w:rPr>
          <w:spacing w:val="-28"/>
          <w:sz w:val="16"/>
        </w:rPr>
        <w:t xml:space="preserve"> </w:t>
      </w:r>
      <w:r>
        <w:rPr>
          <w:sz w:val="16"/>
        </w:rPr>
        <w:t>in</w:t>
      </w:r>
    </w:p>
    <w:p w:rsidR="00E73676" w:rsidRDefault="00E73676" w:rsidP="00E73676">
      <w:pPr>
        <w:spacing w:line="178" w:lineRule="exact"/>
        <w:ind w:left="1678"/>
        <w:rPr>
          <w:sz w:val="16"/>
        </w:rPr>
      </w:pPr>
      <w:r>
        <w:rPr>
          <w:sz w:val="16"/>
        </w:rPr>
        <w:t>proportion between lenalidomide and control arm</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Serious treatment-emergent adverse events in ≥1% of subjects in lenalidomide arm and at least 1.0% difference</w:t>
      </w:r>
      <w:r>
        <w:rPr>
          <w:spacing w:val="-24"/>
          <w:sz w:val="16"/>
        </w:rPr>
        <w:t xml:space="preserve"> </w:t>
      </w:r>
      <w:r>
        <w:rPr>
          <w:sz w:val="16"/>
        </w:rPr>
        <w:t>in</w:t>
      </w:r>
    </w:p>
    <w:p w:rsidR="00E73676" w:rsidRDefault="00E73676" w:rsidP="00E73676">
      <w:pPr>
        <w:spacing w:line="176" w:lineRule="exact"/>
        <w:ind w:left="1678"/>
        <w:rPr>
          <w:sz w:val="16"/>
        </w:rPr>
      </w:pPr>
      <w:r>
        <w:rPr>
          <w:sz w:val="16"/>
        </w:rPr>
        <w:t>proportion between lenalidomide and control arm</w:t>
      </w:r>
    </w:p>
    <w:p w:rsidR="00E73676" w:rsidRDefault="00E73676" w:rsidP="00E73676">
      <w:pPr>
        <w:pStyle w:val="ListParagraph"/>
        <w:widowControl w:val="0"/>
        <w:numPr>
          <w:ilvl w:val="1"/>
          <w:numId w:val="64"/>
        </w:numPr>
        <w:tabs>
          <w:tab w:val="left" w:pos="958"/>
          <w:tab w:val="left" w:pos="959"/>
        </w:tabs>
        <w:autoSpaceDE w:val="0"/>
        <w:autoSpaceDN w:val="0"/>
        <w:spacing w:line="195" w:lineRule="exact"/>
        <w:contextualSpacing w:val="0"/>
        <w:rPr>
          <w:rFonts w:ascii="Symbol"/>
          <w:sz w:val="16"/>
        </w:rPr>
      </w:pPr>
      <w:r>
        <w:rPr>
          <w:sz w:val="16"/>
        </w:rPr>
        <w:t xml:space="preserve">Mantle cell lymphoma single arm phase </w:t>
      </w:r>
      <w:r w:rsidR="00745A94">
        <w:rPr>
          <w:sz w:val="16"/>
        </w:rPr>
        <w:t>2</w:t>
      </w:r>
      <w:r>
        <w:rPr>
          <w:spacing w:val="-7"/>
          <w:sz w:val="16"/>
        </w:rPr>
        <w:t xml:space="preserve"> </w:t>
      </w:r>
      <w:r>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6" w:lineRule="exact"/>
        <w:contextualSpacing w:val="0"/>
        <w:rPr>
          <w:sz w:val="16"/>
        </w:rPr>
      </w:pPr>
      <w:r>
        <w:rPr>
          <w:sz w:val="16"/>
        </w:rPr>
        <w:t>All treatment-emergent adverse events with ≥ 5% of</w:t>
      </w:r>
      <w:r>
        <w:rPr>
          <w:spacing w:val="-4"/>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before="67" w:line="191" w:lineRule="exact"/>
        <w:contextualSpacing w:val="0"/>
        <w:rPr>
          <w:sz w:val="16"/>
        </w:rPr>
      </w:pPr>
      <w:r>
        <w:rPr>
          <w:sz w:val="16"/>
        </w:rPr>
        <w:t>All grade 3 or 4 treatment-emergent adverse events reported in 2 or more</w:t>
      </w:r>
      <w:r>
        <w:rPr>
          <w:spacing w:val="-5"/>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91" w:lineRule="exact"/>
        <w:contextualSpacing w:val="0"/>
        <w:rPr>
          <w:sz w:val="16"/>
        </w:rPr>
      </w:pPr>
      <w:r>
        <w:rPr>
          <w:sz w:val="16"/>
        </w:rPr>
        <w:t>All Serious treatment-emergent adverse events reported in 2 or more</w:t>
      </w:r>
      <w:r>
        <w:rPr>
          <w:spacing w:val="-4"/>
          <w:sz w:val="16"/>
        </w:rPr>
        <w:t xml:space="preserve"> </w:t>
      </w:r>
      <w:r>
        <w:rPr>
          <w:sz w:val="16"/>
        </w:rPr>
        <w:t>subjects</w:t>
      </w:r>
    </w:p>
    <w:p w:rsidR="00655D0D" w:rsidRDefault="00655D0D" w:rsidP="00AB7A9E"/>
    <w:p w:rsidR="001423DC" w:rsidRDefault="001423DC" w:rsidP="004273C8">
      <w:pPr>
        <w:spacing w:line="252" w:lineRule="exact"/>
        <w:rPr>
          <w:rFonts w:eastAsia="Times New Roman"/>
        </w:rPr>
      </w:pPr>
      <w:r>
        <w:rPr>
          <w:i/>
          <w:spacing w:val="-1"/>
          <w:u w:val="single" w:color="000000"/>
        </w:rPr>
        <w:t>Tabulated</w:t>
      </w:r>
      <w:r>
        <w:rPr>
          <w:i/>
          <w:spacing w:val="-3"/>
          <w:u w:val="single" w:color="000000"/>
        </w:rPr>
        <w:t xml:space="preserve"> </w:t>
      </w:r>
      <w:r>
        <w:rPr>
          <w:i/>
          <w:spacing w:val="-1"/>
          <w:u w:val="single" w:color="000000"/>
        </w:rPr>
        <w:t>summary</w:t>
      </w:r>
      <w:r>
        <w:rPr>
          <w:i/>
          <w:spacing w:val="-2"/>
          <w:u w:val="single" w:color="000000"/>
        </w:rPr>
        <w:t xml:space="preserve"> </w:t>
      </w:r>
      <w:r>
        <w:rPr>
          <w:i/>
          <w:u w:val="single" w:color="000000"/>
        </w:rPr>
        <w:t>for</w:t>
      </w:r>
      <w:r>
        <w:rPr>
          <w:i/>
          <w:spacing w:val="-2"/>
          <w:u w:val="single" w:color="000000"/>
        </w:rPr>
        <w:t xml:space="preserve"> </w:t>
      </w:r>
      <w:r>
        <w:rPr>
          <w:i/>
          <w:spacing w:val="-1"/>
          <w:u w:val="single" w:color="000000"/>
        </w:rPr>
        <w:t>combination</w:t>
      </w:r>
      <w:r>
        <w:rPr>
          <w:i/>
          <w:spacing w:val="-2"/>
          <w:u w:val="single" w:color="000000"/>
        </w:rPr>
        <w:t xml:space="preserve"> </w:t>
      </w:r>
      <w:r>
        <w:rPr>
          <w:i/>
          <w:spacing w:val="-1"/>
          <w:u w:val="single" w:color="000000"/>
        </w:rPr>
        <w:t>therapy</w:t>
      </w:r>
      <w:r>
        <w:rPr>
          <w:i/>
          <w:spacing w:val="-2"/>
          <w:u w:val="single" w:color="000000"/>
        </w:rPr>
        <w:t xml:space="preserve"> </w:t>
      </w:r>
      <w:r>
        <w:rPr>
          <w:i/>
          <w:u w:val="single" w:color="000000"/>
        </w:rPr>
        <w:t xml:space="preserve">in </w:t>
      </w:r>
      <w:r>
        <w:rPr>
          <w:i/>
          <w:spacing w:val="-1"/>
          <w:u w:val="single" w:color="000000"/>
        </w:rPr>
        <w:t>FL</w:t>
      </w:r>
    </w:p>
    <w:p w:rsidR="001423DC" w:rsidRDefault="001423DC" w:rsidP="004273C8">
      <w:pPr>
        <w:pStyle w:val="BodyText"/>
        <w:ind w:right="380"/>
      </w:pPr>
      <w:r>
        <w:t>The</w:t>
      </w:r>
      <w:r>
        <w:rPr>
          <w:spacing w:val="-2"/>
        </w:rPr>
        <w:t xml:space="preserve"> </w:t>
      </w:r>
      <w:r>
        <w:rPr>
          <w:spacing w:val="-1"/>
        </w:rPr>
        <w:t>following</w:t>
      </w:r>
      <w:r>
        <w:rPr>
          <w:spacing w:val="-3"/>
        </w:rPr>
        <w:t xml:space="preserve"> </w:t>
      </w:r>
      <w:r>
        <w:rPr>
          <w:spacing w:val="-1"/>
        </w:rPr>
        <w:t>table</w:t>
      </w:r>
      <w:r>
        <w:rPr>
          <w:spacing w:val="-2"/>
        </w:rPr>
        <w:t xml:space="preserve"> </w:t>
      </w:r>
      <w:r>
        <w:t xml:space="preserve">is </w:t>
      </w:r>
      <w:r>
        <w:rPr>
          <w:spacing w:val="-1"/>
        </w:rPr>
        <w:t>derived</w:t>
      </w:r>
      <w:r>
        <w:t xml:space="preserve"> </w:t>
      </w:r>
      <w:r>
        <w:rPr>
          <w:spacing w:val="-1"/>
        </w:rPr>
        <w:t>from</w:t>
      </w:r>
      <w:r>
        <w:rPr>
          <w:spacing w:val="-4"/>
        </w:rPr>
        <w:t xml:space="preserve"> </w:t>
      </w:r>
      <w:r>
        <w:t xml:space="preserve">data </w:t>
      </w:r>
      <w:r>
        <w:rPr>
          <w:spacing w:val="-1"/>
        </w:rPr>
        <w:t>gathered</w:t>
      </w:r>
      <w:r>
        <w:rPr>
          <w:spacing w:val="-3"/>
        </w:rPr>
        <w:t xml:space="preserve"> </w:t>
      </w:r>
      <w:r>
        <w:rPr>
          <w:spacing w:val="-1"/>
        </w:rPr>
        <w:t>during</w:t>
      </w:r>
      <w:r>
        <w:rPr>
          <w:spacing w:val="-2"/>
        </w:rPr>
        <w:t xml:space="preserve"> </w:t>
      </w:r>
      <w:r>
        <w:t>the</w:t>
      </w:r>
      <w:r>
        <w:rPr>
          <w:spacing w:val="1"/>
        </w:rPr>
        <w:t xml:space="preserve"> </w:t>
      </w:r>
      <w:r>
        <w:rPr>
          <w:spacing w:val="-1"/>
        </w:rPr>
        <w:t>main</w:t>
      </w:r>
      <w:r>
        <w:t xml:space="preserve"> </w:t>
      </w:r>
      <w:r>
        <w:rPr>
          <w:spacing w:val="-1"/>
        </w:rPr>
        <w:t>studies</w:t>
      </w:r>
      <w:r>
        <w:rPr>
          <w:spacing w:val="-2"/>
        </w:rPr>
        <w:t xml:space="preserve"> </w:t>
      </w:r>
      <w:r>
        <w:rPr>
          <w:spacing w:val="-1"/>
        </w:rPr>
        <w:t>(NHL-007</w:t>
      </w:r>
      <w:r>
        <w:t xml:space="preserve"> and </w:t>
      </w:r>
      <w:r>
        <w:rPr>
          <w:spacing w:val="-1"/>
        </w:rPr>
        <w:t>NHL-008)</w:t>
      </w:r>
      <w:r>
        <w:rPr>
          <w:spacing w:val="1"/>
        </w:rPr>
        <w:t xml:space="preserve"> </w:t>
      </w:r>
      <w:r>
        <w:t>using</w:t>
      </w:r>
      <w:r>
        <w:rPr>
          <w:spacing w:val="65"/>
        </w:rPr>
        <w:t xml:space="preserve"> </w:t>
      </w:r>
      <w:r>
        <w:rPr>
          <w:spacing w:val="-1"/>
        </w:rPr>
        <w:t>lenalidomide</w:t>
      </w:r>
      <w:r>
        <w:t xml:space="preserve"> in</w:t>
      </w:r>
      <w:r>
        <w:rPr>
          <w:spacing w:val="-2"/>
        </w:rPr>
        <w:t xml:space="preserve"> </w:t>
      </w:r>
      <w:r>
        <w:rPr>
          <w:spacing w:val="-1"/>
        </w:rPr>
        <w:t>combination</w:t>
      </w:r>
      <w:r>
        <w:t xml:space="preserve"> with</w:t>
      </w:r>
      <w:r>
        <w:rPr>
          <w:spacing w:val="-3"/>
        </w:rPr>
        <w:t xml:space="preserve"> </w:t>
      </w:r>
      <w:r>
        <w:rPr>
          <w:spacing w:val="-1"/>
        </w:rPr>
        <w:t>rituximab</w:t>
      </w:r>
      <w:r>
        <w:t xml:space="preserve"> for</w:t>
      </w:r>
      <w:r>
        <w:rPr>
          <w:spacing w:val="1"/>
        </w:rPr>
        <w:t xml:space="preserve"> </w:t>
      </w:r>
      <w:r>
        <w:rPr>
          <w:spacing w:val="-2"/>
        </w:rPr>
        <w:t>patients</w:t>
      </w:r>
      <w:r>
        <w:t xml:space="preserve"> with</w:t>
      </w:r>
      <w:r>
        <w:rPr>
          <w:spacing w:val="-3"/>
        </w:rPr>
        <w:t xml:space="preserve"> </w:t>
      </w:r>
      <w:r>
        <w:rPr>
          <w:spacing w:val="-1"/>
        </w:rPr>
        <w:t>follicular</w:t>
      </w:r>
      <w:r>
        <w:rPr>
          <w:spacing w:val="1"/>
        </w:rPr>
        <w:t xml:space="preserve"> </w:t>
      </w:r>
      <w:r>
        <w:rPr>
          <w:spacing w:val="-1"/>
        </w:rPr>
        <w:t>lymphoma.</w:t>
      </w:r>
    </w:p>
    <w:p w:rsidR="001423DC" w:rsidRDefault="001423DC" w:rsidP="001423DC">
      <w:pPr>
        <w:rPr>
          <w:rFonts w:eastAsia="Times New Roman"/>
        </w:rPr>
      </w:pPr>
    </w:p>
    <w:p w:rsidR="001423DC" w:rsidRDefault="001423DC" w:rsidP="004273C8">
      <w:pPr>
        <w:pStyle w:val="Heading1"/>
        <w:numPr>
          <w:ilvl w:val="0"/>
          <w:numId w:val="0"/>
        </w:numPr>
        <w:ind w:right="380"/>
        <w:rPr>
          <w:b w:val="0"/>
          <w:bCs w:val="0"/>
        </w:rPr>
      </w:pPr>
      <w:r>
        <w:rPr>
          <w:spacing w:val="-1"/>
        </w:rPr>
        <w:t>Table</w:t>
      </w:r>
      <w:r>
        <w:t xml:space="preserve"> </w:t>
      </w:r>
      <w:r>
        <w:rPr>
          <w:spacing w:val="-2"/>
        </w:rPr>
        <w:t>5:</w:t>
      </w:r>
      <w:r>
        <w:rPr>
          <w:spacing w:val="1"/>
        </w:rPr>
        <w:t xml:space="preserve"> </w:t>
      </w:r>
      <w:r>
        <w:rPr>
          <w:spacing w:val="-1"/>
        </w:rPr>
        <w:t>ADRs</w:t>
      </w:r>
      <w:r>
        <w:t xml:space="preserve"> </w:t>
      </w:r>
      <w:r>
        <w:rPr>
          <w:spacing w:val="-1"/>
        </w:rPr>
        <w:t>reported</w:t>
      </w:r>
      <w:r>
        <w:rPr>
          <w:spacing w:val="-3"/>
        </w:rPr>
        <w:t xml:space="preserve"> </w:t>
      </w:r>
      <w:r>
        <w:rPr>
          <w:spacing w:val="-1"/>
        </w:rPr>
        <w:t>in clinical trials</w:t>
      </w:r>
      <w:r>
        <w:rPr>
          <w:spacing w:val="-2"/>
        </w:rPr>
        <w:t xml:space="preserve"> </w:t>
      </w:r>
      <w:r>
        <w:t xml:space="preserve">in </w:t>
      </w:r>
      <w:r>
        <w:rPr>
          <w:spacing w:val="-1"/>
        </w:rPr>
        <w:t>patients</w:t>
      </w:r>
      <w:r>
        <w:rPr>
          <w:spacing w:val="-4"/>
        </w:rPr>
        <w:t xml:space="preserve"> </w:t>
      </w:r>
      <w:r>
        <w:t>with</w:t>
      </w:r>
      <w:r>
        <w:rPr>
          <w:spacing w:val="-3"/>
        </w:rPr>
        <w:t xml:space="preserve"> </w:t>
      </w:r>
      <w:r>
        <w:rPr>
          <w:spacing w:val="-1"/>
        </w:rPr>
        <w:t>follicular</w:t>
      </w:r>
      <w:r>
        <w:t xml:space="preserve"> </w:t>
      </w:r>
      <w:r>
        <w:rPr>
          <w:spacing w:val="-1"/>
        </w:rPr>
        <w:t>lymphoma</w:t>
      </w:r>
      <w:r>
        <w:rPr>
          <w:spacing w:val="-3"/>
        </w:rPr>
        <w:t xml:space="preserve"> </w:t>
      </w:r>
      <w:r>
        <w:rPr>
          <w:spacing w:val="-1"/>
        </w:rPr>
        <w:t>treated</w:t>
      </w:r>
      <w:r>
        <w:rPr>
          <w:spacing w:val="-3"/>
        </w:rPr>
        <w:t xml:space="preserve"> </w:t>
      </w:r>
      <w:r>
        <w:rPr>
          <w:spacing w:val="-1"/>
        </w:rPr>
        <w:t>with</w:t>
      </w:r>
      <w:r>
        <w:rPr>
          <w:spacing w:val="81"/>
        </w:rPr>
        <w:t xml:space="preserve"> </w:t>
      </w:r>
      <w:r>
        <w:rPr>
          <w:spacing w:val="-1"/>
        </w:rPr>
        <w:t>lenalidomide</w:t>
      </w:r>
      <w:r>
        <w:t xml:space="preserve"> in</w:t>
      </w:r>
      <w:r>
        <w:rPr>
          <w:spacing w:val="-3"/>
        </w:rPr>
        <w:t xml:space="preserve"> </w:t>
      </w:r>
      <w:r>
        <w:rPr>
          <w:spacing w:val="-1"/>
        </w:rPr>
        <w:t>combination</w:t>
      </w:r>
      <w:r>
        <w:rPr>
          <w:spacing w:val="-3"/>
        </w:rPr>
        <w:t xml:space="preserve"> </w:t>
      </w:r>
      <w:r>
        <w:t>with</w:t>
      </w:r>
      <w:r>
        <w:rPr>
          <w:spacing w:val="-1"/>
        </w:rPr>
        <w:t xml:space="preserve"> rituximab</w:t>
      </w:r>
    </w:p>
    <w:tbl>
      <w:tblPr>
        <w:tblW w:w="0" w:type="auto"/>
        <w:tblInd w:w="104" w:type="dxa"/>
        <w:tblLayout w:type="fixed"/>
        <w:tblCellMar>
          <w:left w:w="0" w:type="dxa"/>
          <w:right w:w="0" w:type="dxa"/>
        </w:tblCellMar>
        <w:tblLook w:val="01E0" w:firstRow="1" w:lastRow="1" w:firstColumn="1" w:lastColumn="1" w:noHBand="0" w:noVBand="0"/>
      </w:tblPr>
      <w:tblGrid>
        <w:gridCol w:w="2465"/>
        <w:gridCol w:w="3794"/>
        <w:gridCol w:w="3595"/>
      </w:tblGrid>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335"/>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w:t>
            </w:r>
            <w:r>
              <w:rPr>
                <w:rFonts w:ascii="Times New Roman"/>
                <w:b/>
              </w:rPr>
              <w:t xml:space="preserve"> /</w:t>
            </w:r>
            <w:r>
              <w:rPr>
                <w:rFonts w:ascii="Times New Roman"/>
                <w:b/>
                <w:spacing w:val="25"/>
              </w:rPr>
              <w:t xml:space="preserve"> </w:t>
            </w:r>
            <w:r>
              <w:rPr>
                <w:rFonts w:ascii="Times New Roman"/>
                <w:b/>
                <w:spacing w:val="-1"/>
              </w:rPr>
              <w:t xml:space="preserve">Preferred </w:t>
            </w:r>
            <w:r>
              <w:rPr>
                <w:rFonts w:ascii="Times New Roman"/>
                <w:b/>
                <w:spacing w:val="-2"/>
              </w:rPr>
              <w:t>Term</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eastAsia="Times New Roman" w:hAnsi="Times New Roman" w:cs="Times New Roman"/>
                <w:b/>
                <w:bCs/>
                <w:spacing w:val="-1"/>
              </w:rPr>
              <w:t>Grade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3−4</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ADRs/Frequency</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1007"/>
              <w:rPr>
                <w:rFonts w:ascii="Times New Roman" w:eastAsia="Times New Roman" w:hAnsi="Times New Roman" w:cs="Times New Roman"/>
              </w:rPr>
            </w:pPr>
            <w:r>
              <w:rPr>
                <w:rFonts w:ascii="Times New Roman"/>
                <w:b/>
                <w:spacing w:val="-1"/>
              </w:rPr>
              <w:t>Infections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Infestations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Upper</w:t>
            </w:r>
            <w:r>
              <w:rPr>
                <w:rFonts w:ascii="Times New Roman"/>
                <w:spacing w:val="1"/>
              </w:rPr>
              <w:t xml:space="preserve"> </w:t>
            </w:r>
            <w:r>
              <w:rPr>
                <w:rFonts w:ascii="Times New Roman"/>
                <w:spacing w:val="-1"/>
              </w:rPr>
              <w:t>respiratory</w:t>
            </w:r>
            <w:r>
              <w:rPr>
                <w:rFonts w:ascii="Times New Roman"/>
                <w:spacing w:val="-2"/>
              </w:rPr>
              <w:t xml:space="preserve"> </w:t>
            </w:r>
            <w:r>
              <w:rPr>
                <w:rFonts w:ascii="Times New Roman"/>
                <w:spacing w:val="-1"/>
              </w:rPr>
              <w:t>tract infection</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596"/>
              <w:rPr>
                <w:rFonts w:ascii="Times New Roman" w:eastAsia="Times New Roman" w:hAnsi="Times New Roman" w:cs="Times New Roman"/>
              </w:rPr>
            </w:pPr>
            <w:r>
              <w:rPr>
                <w:rFonts w:ascii="Times New Roman" w:eastAsia="Times New Roman" w:hAnsi="Times New Roman" w:cs="Times New Roman"/>
                <w:spacing w:val="-1"/>
              </w:rPr>
              <w:t>Pneumonia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Influenza,</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Bronchitis,</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Sinusitis,</w:t>
            </w:r>
            <w:r>
              <w:rPr>
                <w:rFonts w:ascii="Times New Roman" w:eastAsia="Times New Roman" w:hAnsi="Times New Roman" w:cs="Times New Roman"/>
              </w:rPr>
              <w:t xml:space="preserve"> </w:t>
            </w:r>
            <w:r>
              <w:rPr>
                <w:rFonts w:ascii="Times New Roman" w:eastAsia="Times New Roman" w:hAnsi="Times New Roman" w:cs="Times New Roman"/>
                <w:spacing w:val="-1"/>
              </w:rPr>
              <w:t>Urinary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infection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9" w:lineRule="exact"/>
              <w:ind w:left="99"/>
              <w:jc w:val="both"/>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7" w:line="252" w:lineRule="exact"/>
              <w:ind w:left="99" w:right="210"/>
              <w:jc w:val="both"/>
              <w:rPr>
                <w:rFonts w:ascii="Times New Roman" w:eastAsia="Times New Roman" w:hAnsi="Times New Roman" w:cs="Times New Roman"/>
                <w:sz w:val="14"/>
                <w:szCs w:val="14"/>
              </w:rPr>
            </w:pPr>
            <w:r>
              <w:rPr>
                <w:rFonts w:ascii="Times New Roman" w:eastAsia="Times New Roman" w:hAnsi="Times New Roman" w:cs="Times New Roman"/>
                <w:spacing w:val="-1"/>
              </w:rPr>
              <w:t>Pneumonia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Sepsis</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Lung</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Bronchitis,</w:t>
            </w:r>
            <w:r>
              <w:rPr>
                <w:rFonts w:ascii="Times New Roman" w:eastAsia="Times New Roman" w:hAnsi="Times New Roman" w:cs="Times New Roman"/>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Sinusitis,</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Urinary</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Cellulitis</w:t>
            </w:r>
            <w:r>
              <w:rPr>
                <w:rFonts w:ascii="Times New Roman" w:eastAsia="Times New Roman" w:hAnsi="Times New Roman" w:cs="Times New Roman"/>
                <w:spacing w:val="-3"/>
                <w:position w:val="8"/>
                <w:sz w:val="14"/>
                <w:szCs w:val="14"/>
              </w:rPr>
              <w:t>◊</w:t>
            </w:r>
          </w:p>
        </w:tc>
      </w:tr>
      <w:tr w:rsidR="001423DC" w:rsidTr="004F5D86">
        <w:trPr>
          <w:trHeight w:hRule="exact" w:val="1275"/>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267"/>
              <w:rPr>
                <w:rFonts w:ascii="Times New Roman" w:eastAsia="Times New Roman" w:hAnsi="Times New Roman" w:cs="Times New Roman"/>
              </w:rPr>
            </w:pPr>
            <w:r>
              <w:rPr>
                <w:rFonts w:ascii="Times New Roman"/>
                <w:b/>
                <w:spacing w:val="-1"/>
              </w:rPr>
              <w:t>Neoplasms</w:t>
            </w:r>
            <w:r>
              <w:rPr>
                <w:rFonts w:ascii="Times New Roman"/>
                <w:b/>
                <w:spacing w:val="-2"/>
              </w:rPr>
              <w:t xml:space="preserve"> </w:t>
            </w:r>
            <w:r>
              <w:rPr>
                <w:rFonts w:ascii="Times New Roman"/>
                <w:b/>
                <w:spacing w:val="-1"/>
              </w:rPr>
              <w:t>Benign,</w:t>
            </w:r>
            <w:r>
              <w:rPr>
                <w:rFonts w:ascii="Times New Roman"/>
                <w:b/>
                <w:spacing w:val="23"/>
              </w:rPr>
              <w:t xml:space="preserve"> </w:t>
            </w:r>
            <w:r>
              <w:rPr>
                <w:rFonts w:ascii="Times New Roman"/>
                <w:b/>
                <w:spacing w:val="-1"/>
              </w:rPr>
              <w:t>Malignant</w:t>
            </w:r>
            <w:r>
              <w:rPr>
                <w:rFonts w:ascii="Times New Roman"/>
                <w:b/>
                <w:spacing w:val="1"/>
              </w:rPr>
              <w:t xml:space="preserve"> </w:t>
            </w:r>
            <w:r>
              <w:rPr>
                <w:rFonts w:ascii="Times New Roman"/>
                <w:b/>
              </w:rPr>
              <w:t>and</w:t>
            </w:r>
            <w:r>
              <w:rPr>
                <w:rFonts w:ascii="Times New Roman"/>
                <w:b/>
                <w:spacing w:val="24"/>
              </w:rPr>
              <w:t xml:space="preserve"> </w:t>
            </w:r>
            <w:r>
              <w:rPr>
                <w:rFonts w:ascii="Times New Roman"/>
                <w:b/>
                <w:spacing w:val="-1"/>
              </w:rPr>
              <w:t>Unspecified</w:t>
            </w:r>
            <w:r>
              <w:rPr>
                <w:rFonts w:ascii="Times New Roman"/>
                <w:b/>
              </w:rPr>
              <w:t xml:space="preserve"> </w:t>
            </w:r>
            <w:r>
              <w:rPr>
                <w:rFonts w:ascii="Times New Roman"/>
                <w:b/>
                <w:spacing w:val="-1"/>
              </w:rPr>
              <w:t>(incl</w:t>
            </w:r>
            <w:r>
              <w:rPr>
                <w:rFonts w:ascii="Times New Roman"/>
                <w:b/>
                <w:spacing w:val="1"/>
              </w:rPr>
              <w:t xml:space="preserve"> </w:t>
            </w:r>
            <w:r>
              <w:rPr>
                <w:rFonts w:ascii="Times New Roman"/>
                <w:b/>
                <w:spacing w:val="-1"/>
              </w:rPr>
              <w:t>cysts</w:t>
            </w:r>
            <w:r>
              <w:rPr>
                <w:rFonts w:ascii="Times New Roman"/>
                <w:b/>
                <w:spacing w:val="29"/>
              </w:rPr>
              <w:t xml:space="preserve"> </w:t>
            </w:r>
            <w:r>
              <w:rPr>
                <w:rFonts w:ascii="Times New Roman"/>
                <w:b/>
                <w:spacing w:val="-1"/>
              </w:rPr>
              <w:t>and polyps)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2368"/>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Tumour</w:t>
            </w:r>
            <w:r>
              <w:rPr>
                <w:rFonts w:ascii="Times New Roman"/>
                <w:spacing w:val="1"/>
              </w:rPr>
              <w:t xml:space="preserve"> </w:t>
            </w:r>
            <w:r>
              <w:rPr>
                <w:rFonts w:ascii="Times New Roman"/>
                <w:spacing w:val="-1"/>
              </w:rPr>
              <w:t>flare^</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0"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Squamous</w:t>
            </w:r>
            <w:r>
              <w:rPr>
                <w:rFonts w:ascii="Times New Roman" w:eastAsia="Times New Roman" w:hAnsi="Times New Roman" w:cs="Times New Roman"/>
                <w:spacing w:val="-8"/>
              </w:rPr>
              <w:t xml:space="preserve"> </w:t>
            </w:r>
            <w:r>
              <w:rPr>
                <w:rFonts w:ascii="Times New Roman" w:eastAsia="Times New Roman" w:hAnsi="Times New Roman" w:cs="Times New Roman"/>
              </w:rPr>
              <w:t>Cell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Carcinoma</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Skin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
                <w:position w:val="8"/>
                <w:sz w:val="14"/>
                <w:szCs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Basal</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cell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carcinoma^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p>
        </w:tc>
      </w:tr>
      <w:tr w:rsidR="001423DC" w:rsidTr="004F5D86">
        <w:trPr>
          <w:trHeight w:hRule="exact" w:val="1781"/>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304"/>
              <w:rPr>
                <w:rFonts w:ascii="Times New Roman" w:eastAsia="Times New Roman" w:hAnsi="Times New Roman" w:cs="Times New Roman"/>
              </w:rPr>
            </w:pPr>
            <w:r>
              <w:rPr>
                <w:rFonts w:ascii="Times New Roman"/>
                <w:b/>
                <w:spacing w:val="-1"/>
              </w:rPr>
              <w:t>Blood</w:t>
            </w:r>
            <w:r>
              <w:rPr>
                <w:rFonts w:ascii="Times New Roman"/>
                <w:b/>
              </w:rPr>
              <w:t xml:space="preserve"> </w:t>
            </w:r>
            <w:r>
              <w:rPr>
                <w:rFonts w:ascii="Times New Roman"/>
                <w:b/>
                <w:spacing w:val="-1"/>
              </w:rPr>
              <w:t>and Lymphatic</w:t>
            </w:r>
            <w:r>
              <w:rPr>
                <w:rFonts w:ascii="Times New Roman"/>
                <w:b/>
                <w:spacing w:val="30"/>
              </w:rPr>
              <w:t xml:space="preserve"> </w:t>
            </w:r>
            <w:r>
              <w:rPr>
                <w:rFonts w:ascii="Times New Roman"/>
                <w:b/>
                <w:spacing w:val="-1"/>
              </w:rPr>
              <w:t>System</w:t>
            </w:r>
            <w:r>
              <w:rPr>
                <w:rFonts w:ascii="Times New Roman"/>
                <w:b/>
                <w:spacing w:val="1"/>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1355"/>
              <w:rPr>
                <w:rFonts w:ascii="Times New Roman" w:eastAsia="Times New Roman" w:hAnsi="Times New Roman" w:cs="Times New Roman"/>
              </w:rPr>
            </w:pPr>
            <w:r>
              <w:rPr>
                <w:rFonts w:ascii="Times New Roman" w:eastAsia="Times New Roman" w:hAnsi="Times New Roman" w:cs="Times New Roman"/>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1"/>
              </w:rPr>
              <w:t xml:space="preserve"> </w:t>
            </w:r>
            <w:r>
              <w:rPr>
                <w:rFonts w:ascii="Times New Roman" w:eastAsia="Times New Roman" w:hAnsi="Times New Roman" w:cs="Times New Roman"/>
                <w:spacing w:val="-1"/>
                <w:w w:val="95"/>
              </w:rPr>
              <w:t>Neutropenia^</w:t>
            </w:r>
            <w:r>
              <w:rPr>
                <w:rFonts w:ascii="Times New Roman" w:eastAsia="Times New Roman" w:hAnsi="Times New Roman" w:cs="Times New Roman"/>
                <w:spacing w:val="-1"/>
                <w:w w:val="95"/>
                <w:position w:val="8"/>
                <w:sz w:val="14"/>
                <w:szCs w:val="14"/>
              </w:rPr>
              <w:t>,</w:t>
            </w:r>
            <w:r>
              <w:rPr>
                <w:rFonts w:ascii="Times New Roman" w:eastAsia="Times New Roman" w:hAnsi="Times New Roman" w:cs="Times New Roman"/>
                <w:spacing w:val="-2"/>
                <w:w w:val="95"/>
                <w:position w:val="8"/>
                <w:sz w:val="14"/>
                <w:szCs w:val="14"/>
              </w:rPr>
              <w:t>◊</w:t>
            </w:r>
            <w:r>
              <w:rPr>
                <w:rFonts w:ascii="Times New Roman" w:eastAsia="Times New Roman" w:hAnsi="Times New Roman" w:cs="Times New Roman"/>
                <w:spacing w:val="-1"/>
                <w:w w:val="95"/>
              </w:rPr>
              <w:t>,</w:t>
            </w:r>
            <w:r>
              <w:rPr>
                <w:rFonts w:ascii="Times New Roman" w:eastAsia="Times New Roman" w:hAnsi="Times New Roman" w:cs="Times New Roman"/>
                <w:spacing w:val="47"/>
                <w:w w:val="95"/>
              </w:rPr>
              <w:t xml:space="preserve"> </w:t>
            </w:r>
            <w:r>
              <w:rPr>
                <w:rFonts w:ascii="Times New Roman" w:eastAsia="Times New Roman" w:hAnsi="Times New Roman" w:cs="Times New Roman"/>
                <w:spacing w:val="-1"/>
                <w:w w:val="95"/>
              </w:rPr>
              <w:t>Anaemia</w:t>
            </w:r>
            <w:r>
              <w:rPr>
                <w:rFonts w:ascii="Times New Roman" w:eastAsia="Times New Roman" w:hAnsi="Times New Roman" w:cs="Times New Roman"/>
                <w:spacing w:val="-2"/>
                <w:w w:val="95"/>
                <w:position w:val="8"/>
                <w:sz w:val="14"/>
                <w:szCs w:val="14"/>
              </w:rPr>
              <w:t>◊</w:t>
            </w:r>
            <w:r>
              <w:rPr>
                <w:rFonts w:ascii="Times New Roman" w:eastAsia="Times New Roman" w:hAnsi="Times New Roman" w:cs="Times New Roman"/>
                <w:spacing w:val="-1"/>
                <w:w w:val="95"/>
              </w:rPr>
              <w:t>,</w:t>
            </w:r>
          </w:p>
          <w:p w:rsidR="001423DC" w:rsidRDefault="001423DC" w:rsidP="004F5D86">
            <w:pPr>
              <w:pStyle w:val="TableParagraph"/>
              <w:spacing w:before="2" w:line="252" w:lineRule="exact"/>
              <w:ind w:left="99" w:right="628"/>
              <w:rPr>
                <w:rFonts w:ascii="Times New Roman" w:eastAsia="Times New Roman" w:hAnsi="Times New Roman" w:cs="Times New Roman"/>
                <w:sz w:val="14"/>
                <w:szCs w:val="14"/>
              </w:rPr>
            </w:pPr>
            <w:r>
              <w:rPr>
                <w:rFonts w:ascii="Times New Roman"/>
                <w:spacing w:val="-1"/>
              </w:rPr>
              <w:t>Thrombocytopenia^,</w:t>
            </w:r>
            <w:r>
              <w:rPr>
                <w:rFonts w:ascii="Times New Roman"/>
                <w:spacing w:val="-2"/>
              </w:rPr>
              <w:t xml:space="preserve"> </w:t>
            </w:r>
            <w:r>
              <w:rPr>
                <w:rFonts w:ascii="Times New Roman"/>
                <w:spacing w:val="-1"/>
              </w:rPr>
              <w:t>Leucopenia</w:t>
            </w:r>
            <w:r>
              <w:rPr>
                <w:rFonts w:ascii="Times New Roman"/>
                <w:spacing w:val="-1"/>
                <w:position w:val="8"/>
                <w:sz w:val="14"/>
              </w:rPr>
              <w:t>**</w:t>
            </w:r>
            <w:r>
              <w:rPr>
                <w:rFonts w:ascii="Times New Roman"/>
                <w:spacing w:val="23"/>
                <w:w w:val="99"/>
                <w:position w:val="8"/>
                <w:sz w:val="14"/>
              </w:rPr>
              <w:t xml:space="preserve"> </w:t>
            </w:r>
            <w:r>
              <w:rPr>
                <w:rFonts w:ascii="Times New Roman"/>
                <w:spacing w:val="-1"/>
              </w:rPr>
              <w:t>Lymphopenia</w:t>
            </w:r>
            <w:r>
              <w:rPr>
                <w:rFonts w:ascii="Times New Roman"/>
                <w:spacing w:val="-1"/>
                <w:position w:val="8"/>
                <w:sz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2169"/>
              <w:rPr>
                <w:rFonts w:ascii="Times New Roman" w:eastAsia="Times New Roman" w:hAnsi="Times New Roman" w:cs="Times New Roman"/>
                <w:sz w:val="14"/>
                <w:szCs w:val="14"/>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7" w:line="252" w:lineRule="exact"/>
              <w:ind w:left="99" w:right="342"/>
              <w:rPr>
                <w:rFonts w:ascii="Times New Roman" w:eastAsia="Times New Roman" w:hAnsi="Times New Roman" w:cs="Times New Roman"/>
                <w:sz w:val="14"/>
                <w:szCs w:val="14"/>
              </w:rPr>
            </w:pPr>
            <w:r>
              <w:rPr>
                <w:rFonts w:ascii="Times New Roman" w:eastAsia="Times New Roman" w:hAnsi="Times New Roman" w:cs="Times New Roman"/>
                <w:spacing w:val="-1"/>
              </w:rPr>
              <w:t>Anaemia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Thrombocytopenia^,</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Pancytopenia,</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Lymphopenia</w:t>
            </w:r>
            <w:r>
              <w:rPr>
                <w:rFonts w:ascii="Times New Roman" w:eastAsia="Times New Roman" w:hAnsi="Times New Roman" w:cs="Times New Roman"/>
                <w:spacing w:val="-1"/>
                <w:position w:val="8"/>
                <w:sz w:val="14"/>
                <w:szCs w:val="14"/>
              </w:rPr>
              <w:t>***</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494"/>
              <w:rPr>
                <w:rFonts w:ascii="Times New Roman" w:eastAsia="Times New Roman" w:hAnsi="Times New Roman" w:cs="Times New Roman"/>
              </w:rPr>
            </w:pPr>
            <w:r>
              <w:rPr>
                <w:rFonts w:ascii="Times New Roman"/>
                <w:b/>
                <w:spacing w:val="-1"/>
              </w:rPr>
              <w:t>Metabolism</w:t>
            </w:r>
            <w:r>
              <w:rPr>
                <w:rFonts w:ascii="Times New Roman"/>
                <w:b/>
                <w:spacing w:val="1"/>
              </w:rPr>
              <w:t xml:space="preserve"> </w:t>
            </w:r>
            <w:r>
              <w:rPr>
                <w:rFonts w:ascii="Times New Roman"/>
                <w:b/>
                <w:spacing w:val="-1"/>
              </w:rPr>
              <w:t>and</w:t>
            </w:r>
            <w:r>
              <w:rPr>
                <w:rFonts w:ascii="Times New Roman"/>
                <w:b/>
                <w:spacing w:val="27"/>
              </w:rPr>
              <w:t xml:space="preserve"> </w:t>
            </w:r>
            <w:r>
              <w:rPr>
                <w:rFonts w:ascii="Times New Roman"/>
                <w:b/>
                <w:spacing w:val="-1"/>
              </w:rPr>
              <w:t>Nutrition 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0"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Decreased</w:t>
            </w:r>
            <w:r>
              <w:rPr>
                <w:rFonts w:ascii="Times New Roman"/>
                <w:spacing w:val="-2"/>
              </w:rPr>
              <w:t xml:space="preserve"> </w:t>
            </w:r>
            <w:r>
              <w:rPr>
                <w:rFonts w:ascii="Times New Roman"/>
                <w:spacing w:val="-1"/>
              </w:rPr>
              <w:t>appetite,</w:t>
            </w:r>
            <w:r>
              <w:rPr>
                <w:rFonts w:ascii="Times New Roman"/>
              </w:rPr>
              <w:t xml:space="preserve"> </w:t>
            </w:r>
            <w:r>
              <w:rPr>
                <w:rFonts w:ascii="Times New Roman"/>
                <w:spacing w:val="-1"/>
              </w:rPr>
              <w:t>Hypokalaemia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Hypophosphataemia,</w:t>
            </w:r>
            <w:r>
              <w:rPr>
                <w:rFonts w:ascii="Times New Roman"/>
              </w:rPr>
              <w:t xml:space="preserve"> </w:t>
            </w:r>
            <w:r>
              <w:rPr>
                <w:rFonts w:ascii="Times New Roman"/>
                <w:spacing w:val="-1"/>
              </w:rPr>
              <w:t>Dehydration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7"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24"/>
              <w:rPr>
                <w:rFonts w:ascii="Times New Roman" w:eastAsia="Times New Roman" w:hAnsi="Times New Roman" w:cs="Times New Roman"/>
              </w:rPr>
            </w:pPr>
            <w:r>
              <w:rPr>
                <w:rFonts w:ascii="Times New Roman" w:eastAsia="Times New Roman" w:hAnsi="Times New Roman" w:cs="Times New Roman"/>
                <w:spacing w:val="-1"/>
              </w:rPr>
              <w:t>Dehydration,</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Hypercalcaemia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Hypokalaemia,</w:t>
            </w:r>
            <w:r>
              <w:rPr>
                <w:rFonts w:ascii="Times New Roman" w:eastAsia="Times New Roman" w:hAnsi="Times New Roman" w:cs="Times New Roman"/>
              </w:rPr>
              <w:t xml:space="preserve"> </w:t>
            </w:r>
            <w:r>
              <w:rPr>
                <w:rFonts w:ascii="Times New Roman" w:eastAsia="Times New Roman" w:hAnsi="Times New Roman" w:cs="Times New Roman"/>
                <w:spacing w:val="-1"/>
              </w:rPr>
              <w:t>Hypophosphataemia,</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Hyperuricaemia</w:t>
            </w:r>
          </w:p>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Psychiatric</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1763"/>
              <w:rPr>
                <w:rFonts w:ascii="Times New Roman" w:eastAsia="Times New Roman" w:hAnsi="Times New Roman" w:cs="Times New Roman"/>
              </w:rPr>
            </w:pPr>
            <w:r>
              <w:rPr>
                <w:rFonts w:ascii="Times New Roman"/>
                <w:spacing w:val="-2"/>
                <w:u w:val="single" w:color="000000"/>
              </w:rPr>
              <w:t>Common</w:t>
            </w:r>
            <w:r>
              <w:rPr>
                <w:rFonts w:ascii="Times New Roman"/>
              </w:rPr>
              <w:t xml:space="preserve"> </w:t>
            </w:r>
            <w:r>
              <w:rPr>
                <w:rFonts w:ascii="Times New Roman"/>
                <w:spacing w:val="26"/>
              </w:rPr>
              <w:t xml:space="preserve"> </w:t>
            </w:r>
            <w:r>
              <w:rPr>
                <w:rFonts w:ascii="Times New Roman"/>
                <w:spacing w:val="-1"/>
              </w:rPr>
              <w:t>Depression,</w:t>
            </w:r>
            <w:r>
              <w:rPr>
                <w:rFonts w:ascii="Times New Roman"/>
              </w:rPr>
              <w:t xml:space="preserve"> </w:t>
            </w:r>
            <w:r>
              <w:rPr>
                <w:rFonts w:ascii="Times New Roman"/>
                <w:spacing w:val="-1"/>
              </w:rPr>
              <w:t>Insomnia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bl>
    <w:p w:rsidR="001423DC" w:rsidRDefault="001423DC" w:rsidP="001423DC">
      <w:pPr>
        <w:sectPr w:rsidR="001423DC" w:rsidSect="00726834">
          <w:headerReference w:type="default" r:id="rId11"/>
          <w:footerReference w:type="default" r:id="rId12"/>
          <w:pgSz w:w="11910" w:h="16840"/>
          <w:pgMar w:top="2693" w:right="851" w:bottom="1588" w:left="1134" w:header="0" w:footer="682" w:gutter="0"/>
          <w:cols w:space="708"/>
          <w:docGrid w:linePitch="299"/>
        </w:sectPr>
      </w:pPr>
    </w:p>
    <w:p w:rsidR="001423DC" w:rsidRDefault="001423DC" w:rsidP="001423DC">
      <w:pPr>
        <w:spacing w:before="3"/>
        <w:rPr>
          <w:rFonts w:eastAsia="Times New Roman"/>
          <w:b/>
          <w:bCs/>
          <w:sz w:val="6"/>
          <w:szCs w:val="6"/>
        </w:rPr>
      </w:pPr>
    </w:p>
    <w:tbl>
      <w:tblPr>
        <w:tblW w:w="0" w:type="auto"/>
        <w:tblInd w:w="104" w:type="dxa"/>
        <w:tblLayout w:type="fixed"/>
        <w:tblCellMar>
          <w:left w:w="0" w:type="dxa"/>
          <w:right w:w="0" w:type="dxa"/>
        </w:tblCellMar>
        <w:tblLook w:val="01E0" w:firstRow="1" w:lastRow="1" w:firstColumn="1" w:lastColumn="1" w:noHBand="0" w:noVBand="0"/>
      </w:tblPr>
      <w:tblGrid>
        <w:gridCol w:w="2465"/>
        <w:gridCol w:w="3794"/>
        <w:gridCol w:w="3595"/>
      </w:tblGrid>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335"/>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w:t>
            </w:r>
            <w:r>
              <w:rPr>
                <w:rFonts w:ascii="Times New Roman"/>
                <w:b/>
              </w:rPr>
              <w:t xml:space="preserve"> /</w:t>
            </w:r>
            <w:r>
              <w:rPr>
                <w:rFonts w:ascii="Times New Roman"/>
                <w:b/>
                <w:spacing w:val="25"/>
              </w:rPr>
              <w:t xml:space="preserve"> </w:t>
            </w:r>
            <w:r>
              <w:rPr>
                <w:rFonts w:ascii="Times New Roman"/>
                <w:b/>
                <w:spacing w:val="-1"/>
              </w:rPr>
              <w:t xml:space="preserve">Preferred </w:t>
            </w:r>
            <w:r>
              <w:rPr>
                <w:rFonts w:ascii="Times New Roman"/>
                <w:b/>
                <w:spacing w:val="-2"/>
              </w:rPr>
              <w:t>Term</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Pr>
                <w:rFonts w:ascii="Times New Roman" w:eastAsia="Times New Roman" w:hAnsi="Times New Roman" w:cs="Times New Roman"/>
              </w:rPr>
            </w:pPr>
            <w:r>
              <w:rPr>
                <w:rFonts w:ascii="Times New Roman" w:eastAsia="Times New Roman" w:hAnsi="Times New Roman" w:cs="Times New Roman"/>
                <w:b/>
                <w:bCs/>
                <w:spacing w:val="-1"/>
              </w:rPr>
              <w:t>Grade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3−4</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ADRs/Frequency</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837"/>
              <w:rPr>
                <w:rFonts w:ascii="Times New Roman" w:eastAsia="Times New Roman" w:hAnsi="Times New Roman" w:cs="Times New Roman"/>
              </w:rPr>
            </w:pPr>
            <w:r>
              <w:rPr>
                <w:rFonts w:ascii="Times New Roman"/>
                <w:b/>
                <w:spacing w:val="-1"/>
              </w:rPr>
              <w:t>Nervous</w:t>
            </w:r>
            <w:r>
              <w:rPr>
                <w:rFonts w:ascii="Times New Roman"/>
                <w:b/>
              </w:rPr>
              <w:t xml:space="preserve"> </w:t>
            </w:r>
            <w:r>
              <w:rPr>
                <w:rFonts w:ascii="Times New Roman"/>
                <w:b/>
                <w:spacing w:val="-1"/>
              </w:rPr>
              <w:t>System</w:t>
            </w:r>
            <w:r>
              <w:rPr>
                <w:rFonts w:ascii="Times New Roman"/>
                <w:b/>
                <w:spacing w:val="26"/>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1845"/>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Headache,</w:t>
            </w:r>
            <w:r>
              <w:rPr>
                <w:rFonts w:ascii="Times New Roman"/>
              </w:rPr>
              <w:t xml:space="preserve"> </w:t>
            </w:r>
            <w:r>
              <w:rPr>
                <w:rFonts w:ascii="Times New Roman"/>
                <w:spacing w:val="-1"/>
              </w:rPr>
              <w:t>Dizziness</w:t>
            </w:r>
          </w:p>
          <w:p w:rsidR="001423DC" w:rsidRDefault="001423DC" w:rsidP="004F5D86">
            <w:pPr>
              <w:pStyle w:val="TableParagraph"/>
              <w:spacing w:before="1"/>
              <w:rPr>
                <w:rFonts w:ascii="Times New Roman" w:eastAsia="Times New Roman" w:hAnsi="Times New Roman" w:cs="Times New Roman"/>
                <w:b/>
                <w:bCs/>
              </w:rPr>
            </w:pP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951"/>
              <w:rPr>
                <w:rFonts w:ascii="Times New Roman" w:eastAsia="Times New Roman" w:hAnsi="Times New Roman" w:cs="Times New Roman"/>
              </w:rPr>
            </w:pPr>
            <w:r>
              <w:rPr>
                <w:rFonts w:ascii="Times New Roman"/>
                <w:spacing w:val="-1"/>
              </w:rPr>
              <w:t>Peripheral</w:t>
            </w:r>
            <w:r>
              <w:rPr>
                <w:rFonts w:ascii="Times New Roman"/>
                <w:spacing w:val="-2"/>
              </w:rPr>
              <w:t xml:space="preserve"> </w:t>
            </w:r>
            <w:r>
              <w:rPr>
                <w:rFonts w:ascii="Times New Roman"/>
                <w:spacing w:val="-1"/>
              </w:rPr>
              <w:t>sensory</w:t>
            </w:r>
            <w:r>
              <w:rPr>
                <w:rFonts w:ascii="Times New Roman"/>
                <w:spacing w:val="-2"/>
              </w:rPr>
              <w:t xml:space="preserve"> </w:t>
            </w:r>
            <w:r>
              <w:rPr>
                <w:rFonts w:ascii="Times New Roman"/>
                <w:spacing w:val="-1"/>
              </w:rPr>
              <w:t>neuropathy,</w:t>
            </w:r>
            <w:r>
              <w:rPr>
                <w:rFonts w:ascii="Times New Roman"/>
                <w:spacing w:val="29"/>
              </w:rPr>
              <w:t xml:space="preserve"> </w:t>
            </w:r>
            <w:r>
              <w:rPr>
                <w:rFonts w:ascii="Times New Roman"/>
                <w:spacing w:val="-1"/>
              </w:rPr>
              <w:t>Dysgeusia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2666"/>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Syncope</w:t>
            </w:r>
          </w:p>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Cardiac</w:t>
            </w:r>
            <w:r>
              <w:rPr>
                <w:rFonts w:ascii="Times New Roman"/>
                <w:b/>
                <w:spacing w:val="1"/>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36" w:lineRule="auto"/>
              <w:ind w:left="99" w:right="2585"/>
              <w:rPr>
                <w:rFonts w:ascii="Times New Roman" w:eastAsia="Times New Roman" w:hAnsi="Times New Roman" w:cs="Times New Roman"/>
                <w:sz w:val="14"/>
                <w:szCs w:val="14"/>
              </w:rPr>
            </w:pPr>
            <w:r>
              <w:rPr>
                <w:rFonts w:ascii="Times New Roman" w:eastAsia="Times New Roman" w:hAnsi="Times New Roman" w:cs="Times New Roman"/>
                <w:spacing w:val="-1"/>
                <w:u w:val="single" w:color="000000"/>
              </w:rPr>
              <w:t>Uncommon</w:t>
            </w:r>
            <w:r>
              <w:rPr>
                <w:rFonts w:ascii="Times New Roman" w:eastAsia="Times New Roman" w:hAnsi="Times New Roman" w:cs="Times New Roman"/>
                <w:spacing w:val="22"/>
              </w:rPr>
              <w:t xml:space="preserve"> </w:t>
            </w:r>
            <w:r>
              <w:rPr>
                <w:rFonts w:ascii="Times New Roman" w:eastAsia="Times New Roman" w:hAnsi="Times New Roman" w:cs="Times New Roman"/>
                <w:spacing w:val="-1"/>
                <w:w w:val="95"/>
              </w:rPr>
              <w:t>Arrhythmia</w:t>
            </w:r>
            <w:r>
              <w:rPr>
                <w:rFonts w:ascii="Times New Roman" w:eastAsia="Times New Roman" w:hAnsi="Times New Roman" w:cs="Times New Roman"/>
                <w:spacing w:val="-2"/>
                <w:w w:val="95"/>
                <w:position w:val="8"/>
                <w:sz w:val="14"/>
                <w:szCs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Vascular</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99" w:right="255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Hypotension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9"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6" w:lineRule="exact"/>
              <w:ind w:left="99"/>
              <w:rPr>
                <w:rFonts w:ascii="Times New Roman" w:eastAsia="Times New Roman" w:hAnsi="Times New Roman" w:cs="Times New Roman"/>
              </w:rPr>
            </w:pPr>
            <w:r>
              <w:rPr>
                <w:rFonts w:ascii="Times New Roman" w:eastAsia="Times New Roman" w:hAnsi="Times New Roman" w:cs="Times New Roman"/>
                <w:spacing w:val="-1"/>
              </w:rPr>
              <w:t>Pulmonary</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embolism^</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Hypotension</w:t>
            </w:r>
          </w:p>
        </w:tc>
      </w:tr>
      <w:tr w:rsidR="001423DC" w:rsidTr="004F5D86">
        <w:trPr>
          <w:trHeight w:hRule="exact" w:val="1022"/>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269"/>
              <w:rPr>
                <w:rFonts w:ascii="Times New Roman" w:eastAsia="Times New Roman" w:hAnsi="Times New Roman" w:cs="Times New Roman"/>
              </w:rPr>
            </w:pPr>
            <w:r>
              <w:rPr>
                <w:rFonts w:ascii="Times New Roman"/>
                <w:b/>
                <w:spacing w:val="-1"/>
              </w:rPr>
              <w:t>Respiratory,</w:t>
            </w:r>
            <w:r>
              <w:rPr>
                <w:rFonts w:ascii="Times New Roman"/>
                <w:b/>
              </w:rPr>
              <w:t xml:space="preserve"> </w:t>
            </w:r>
            <w:r>
              <w:rPr>
                <w:rFonts w:ascii="Times New Roman"/>
                <w:b/>
                <w:spacing w:val="-1"/>
              </w:rPr>
              <w:t>Thoracic</w:t>
            </w:r>
            <w:r>
              <w:rPr>
                <w:rFonts w:ascii="Times New Roman"/>
                <w:b/>
                <w:spacing w:val="30"/>
              </w:rPr>
              <w:t xml:space="preserve"> </w:t>
            </w:r>
            <w:r>
              <w:rPr>
                <w:rFonts w:ascii="Times New Roman"/>
                <w:b/>
                <w:spacing w:val="-1"/>
              </w:rPr>
              <w:t>and Mediastinal</w:t>
            </w:r>
            <w:r>
              <w:rPr>
                <w:rFonts w:ascii="Times New Roman"/>
                <w:b/>
                <w:spacing w:val="27"/>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37" w:lineRule="auto"/>
              <w:ind w:left="99" w:right="1979"/>
              <w:rPr>
                <w:rFonts w:ascii="Times New Roman" w:eastAsia="Times New Roman" w:hAnsi="Times New Roman" w:cs="Times New Roman"/>
              </w:rPr>
            </w:pPr>
            <w:r>
              <w:rPr>
                <w:rFonts w:ascii="Times New Roman" w:eastAsia="Times New Roman" w:hAnsi="Times New Roman" w:cs="Times New Roman"/>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Dyspnoea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Cough,</w:t>
            </w:r>
            <w:r>
              <w:rPr>
                <w:rFonts w:ascii="Times New Roman" w:eastAsia="Times New Roman" w:hAnsi="Times New Roman" w:cs="Times New Roman"/>
                <w:spacing w:val="28"/>
              </w:rPr>
              <w:t xml:space="preserve"> </w:t>
            </w:r>
            <w:r>
              <w:rPr>
                <w:rFonts w:ascii="Times New Roman" w:eastAsia="Times New Roman" w:hAnsi="Times New Roman" w:cs="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Oropharyngeal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Dysphonia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532"/>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w w:val="95"/>
              </w:rPr>
              <w:t>Dyspnoea</w:t>
            </w:r>
            <w:r>
              <w:rPr>
                <w:rFonts w:ascii="Times New Roman" w:eastAsia="Times New Roman" w:hAnsi="Times New Roman" w:cs="Times New Roman"/>
                <w:spacing w:val="-2"/>
                <w:w w:val="95"/>
                <w:position w:val="8"/>
                <w:sz w:val="14"/>
                <w:szCs w:val="14"/>
              </w:rPr>
              <w:t>◊</w:t>
            </w:r>
          </w:p>
        </w:tc>
      </w:tr>
      <w:tr w:rsidR="001423DC" w:rsidTr="004F5D86">
        <w:trPr>
          <w:trHeight w:hRule="exact" w:val="2033"/>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830"/>
              <w:rPr>
                <w:rFonts w:ascii="Times New Roman" w:eastAsia="Times New Roman" w:hAnsi="Times New Roman" w:cs="Times New Roman"/>
              </w:rPr>
            </w:pPr>
            <w:r>
              <w:rPr>
                <w:rFonts w:ascii="Times New Roman"/>
                <w:b/>
                <w:spacing w:val="-1"/>
              </w:rPr>
              <w:t>Gastrointestinal</w:t>
            </w:r>
            <w:r>
              <w:rPr>
                <w:rFonts w:ascii="Times New Roman"/>
                <w:b/>
                <w:spacing w:val="28"/>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ind w:left="99" w:right="790"/>
              <w:rPr>
                <w:rFonts w:ascii="Times New Roman" w:eastAsia="Times New Roman" w:hAnsi="Times New Roman" w:cs="Times New Roman"/>
              </w:rPr>
            </w:pPr>
            <w:r>
              <w:rPr>
                <w:rFonts w:ascii="Times New Roman" w:eastAsia="Times New Roman" w:hAnsi="Times New Roman" w:cs="Times New Roman"/>
                <w:spacing w:val="-1"/>
              </w:rPr>
              <w:t>Abdominal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pain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Diarrhoea,</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Constipation, Nausea,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Vomiting,</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Dyspepsia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spacing w:line="253"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55"/>
              <w:rPr>
                <w:rFonts w:ascii="Times New Roman" w:eastAsia="Times New Roman" w:hAnsi="Times New Roman" w:cs="Times New Roman"/>
              </w:rPr>
            </w:pPr>
            <w:r>
              <w:rPr>
                <w:rFonts w:ascii="Times New Roman"/>
                <w:spacing w:val="-1"/>
              </w:rPr>
              <w:t>Upper</w:t>
            </w:r>
            <w:r>
              <w:rPr>
                <w:rFonts w:ascii="Times New Roman"/>
                <w:spacing w:val="1"/>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Stomatitis,</w:t>
            </w:r>
            <w:r>
              <w:rPr>
                <w:rFonts w:ascii="Times New Roman"/>
              </w:rPr>
              <w:t xml:space="preserve"> </w:t>
            </w:r>
            <w:r>
              <w:rPr>
                <w:rFonts w:ascii="Times New Roman"/>
                <w:spacing w:val="-1"/>
              </w:rPr>
              <w:t>Dry</w:t>
            </w:r>
            <w:r>
              <w:rPr>
                <w:rFonts w:ascii="Times New Roman"/>
                <w:spacing w:val="27"/>
              </w:rPr>
              <w:t xml:space="preserve"> </w:t>
            </w:r>
            <w:r>
              <w:rPr>
                <w:rFonts w:ascii="Times New Roman"/>
                <w:spacing w:val="-1"/>
              </w:rPr>
              <w:t>mouth</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41" w:lineRule="auto"/>
              <w:ind w:left="99" w:right="942"/>
              <w:rPr>
                <w:rFonts w:ascii="Times New Roman" w:eastAsia="Times New Roman" w:hAnsi="Times New Roman" w:cs="Times New Roman"/>
              </w:rPr>
            </w:pPr>
            <w:r>
              <w:rPr>
                <w:rFonts w:ascii="Times New Roman" w:eastAsia="Times New Roman" w:hAnsi="Times New Roman" w:cs="Times New Roman"/>
                <w:spacing w:val="-1"/>
              </w:rPr>
              <w:t>Abdominal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pain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Diarrhoea,</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Constipation,</w:t>
            </w:r>
            <w:r>
              <w:rPr>
                <w:rFonts w:ascii="Times New Roman" w:eastAsia="Times New Roman" w:hAnsi="Times New Roman" w:cs="Times New Roman"/>
              </w:rPr>
              <w:t xml:space="preserve"> </w:t>
            </w:r>
            <w:r>
              <w:rPr>
                <w:rFonts w:ascii="Times New Roman" w:eastAsia="Times New Roman" w:hAnsi="Times New Roman" w:cs="Times New Roman"/>
                <w:spacing w:val="-1"/>
              </w:rPr>
              <w:t>Stomatitis</w:t>
            </w:r>
          </w:p>
        </w:tc>
      </w:tr>
      <w:tr w:rsidR="001423DC" w:rsidTr="004F5D86">
        <w:trPr>
          <w:trHeight w:hRule="exact" w:val="1275"/>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145"/>
              <w:rPr>
                <w:rFonts w:ascii="Times New Roman" w:eastAsia="Times New Roman" w:hAnsi="Times New Roman" w:cs="Times New Roman"/>
              </w:rPr>
            </w:pPr>
            <w:r>
              <w:rPr>
                <w:rFonts w:ascii="Times New Roman"/>
                <w:b/>
                <w:spacing w:val="-1"/>
              </w:rPr>
              <w:t xml:space="preserve">Skin </w:t>
            </w:r>
            <w:r>
              <w:rPr>
                <w:rFonts w:ascii="Times New Roman"/>
                <w:b/>
              </w:rPr>
              <w:t>and</w:t>
            </w:r>
            <w:r>
              <w:rPr>
                <w:rFonts w:ascii="Times New Roman"/>
                <w:b/>
                <w:spacing w:val="-1"/>
              </w:rPr>
              <w:t xml:space="preserve"> Subcutaneous</w:t>
            </w:r>
            <w:r>
              <w:rPr>
                <w:rFonts w:ascii="Times New Roman"/>
                <w:b/>
                <w:spacing w:val="28"/>
              </w:rPr>
              <w:t xml:space="preserve"> </w:t>
            </w:r>
            <w:r>
              <w:rPr>
                <w:rFonts w:ascii="Times New Roman"/>
                <w:b/>
                <w:spacing w:val="-1"/>
              </w:rPr>
              <w:t>Tissue</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361"/>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Rash</w:t>
            </w:r>
            <w:r>
              <w:rPr>
                <w:rFonts w:ascii="Times New Roman"/>
                <w:spacing w:val="-1"/>
                <w:position w:val="8"/>
                <w:sz w:val="14"/>
              </w:rPr>
              <w:t>*</w:t>
            </w:r>
            <w:r>
              <w:rPr>
                <w:rFonts w:ascii="Times New Roman"/>
                <w:spacing w:val="-1"/>
              </w:rPr>
              <w:t xml:space="preserve">, </w:t>
            </w:r>
            <w:r>
              <w:rPr>
                <w:rFonts w:ascii="Times New Roman"/>
              </w:rPr>
              <w:t>Pruritus</w:t>
            </w:r>
          </w:p>
          <w:p w:rsidR="001423DC" w:rsidRDefault="001423DC" w:rsidP="004F5D86">
            <w:pPr>
              <w:pStyle w:val="TableParagraph"/>
              <w:spacing w:before="1"/>
              <w:rPr>
                <w:rFonts w:ascii="Times New Roman" w:eastAsia="Times New Roman" w:hAnsi="Times New Roman" w:cs="Times New Roman"/>
                <w:b/>
                <w:bCs/>
              </w:rPr>
            </w:pP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Dry</w:t>
            </w:r>
            <w:r>
              <w:rPr>
                <w:rFonts w:ascii="Times New Roman"/>
                <w:spacing w:val="-3"/>
              </w:rPr>
              <w:t xml:space="preserve"> </w:t>
            </w:r>
            <w:r>
              <w:rPr>
                <w:rFonts w:ascii="Times New Roman"/>
                <w:spacing w:val="-1"/>
              </w:rPr>
              <w:t>skin,</w:t>
            </w:r>
            <w:r>
              <w:rPr>
                <w:rFonts w:ascii="Times New Roman"/>
              </w:rPr>
              <w:t xml:space="preserve"> </w:t>
            </w:r>
            <w:r>
              <w:rPr>
                <w:rFonts w:ascii="Times New Roman"/>
                <w:spacing w:val="-1"/>
              </w:rPr>
              <w:t>Night</w:t>
            </w:r>
            <w:r>
              <w:rPr>
                <w:rFonts w:ascii="Times New Roman"/>
                <w:spacing w:val="1"/>
              </w:rPr>
              <w:t xml:space="preserve"> </w:t>
            </w:r>
            <w:r>
              <w:rPr>
                <w:rFonts w:ascii="Times New Roman"/>
                <w:spacing w:val="-1"/>
              </w:rPr>
              <w:t>sweats,</w:t>
            </w:r>
            <w:r>
              <w:rPr>
                <w:rFonts w:ascii="Times New Roman"/>
              </w:rPr>
              <w:t xml:space="preserve"> </w:t>
            </w:r>
            <w:r>
              <w:rPr>
                <w:rFonts w:ascii="Times New Roman"/>
                <w:spacing w:val="-1"/>
              </w:rPr>
              <w:t>Erythema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16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Rash</w:t>
            </w:r>
            <w:r>
              <w:rPr>
                <w:rFonts w:ascii="Times New Roman"/>
                <w:spacing w:val="-1"/>
                <w:position w:val="8"/>
                <w:sz w:val="14"/>
              </w:rPr>
              <w:t>*</w:t>
            </w:r>
            <w:r>
              <w:rPr>
                <w:rFonts w:ascii="Times New Roman"/>
                <w:spacing w:val="-1"/>
              </w:rPr>
              <w:t>, Pruritus</w:t>
            </w:r>
          </w:p>
        </w:tc>
      </w:tr>
      <w:tr w:rsidR="001423DC" w:rsidTr="004F5D86">
        <w:trPr>
          <w:trHeight w:hRule="exact" w:val="1783"/>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421"/>
              <w:rPr>
                <w:rFonts w:ascii="Times New Roman" w:eastAsia="Times New Roman" w:hAnsi="Times New Roman" w:cs="Times New Roman"/>
              </w:rPr>
            </w:pPr>
            <w:r>
              <w:rPr>
                <w:rFonts w:ascii="Times New Roman"/>
                <w:b/>
                <w:spacing w:val="-1"/>
              </w:rPr>
              <w:t>Musculoskeletal</w:t>
            </w:r>
            <w:r>
              <w:rPr>
                <w:rFonts w:ascii="Times New Roman"/>
                <w:b/>
                <w:spacing w:val="-2"/>
              </w:rPr>
              <w:t xml:space="preserve"> </w:t>
            </w:r>
            <w:r>
              <w:rPr>
                <w:rFonts w:ascii="Times New Roman"/>
                <w:b/>
                <w:spacing w:val="-1"/>
              </w:rPr>
              <w:t>and</w:t>
            </w:r>
            <w:r>
              <w:rPr>
                <w:rFonts w:ascii="Times New Roman"/>
                <w:b/>
                <w:spacing w:val="21"/>
              </w:rPr>
              <w:t xml:space="preserve"> </w:t>
            </w:r>
            <w:r>
              <w:rPr>
                <w:rFonts w:ascii="Times New Roman"/>
                <w:b/>
                <w:spacing w:val="-1"/>
              </w:rPr>
              <w:t>Connective</w:t>
            </w:r>
            <w:r>
              <w:rPr>
                <w:rFonts w:ascii="Times New Roman"/>
                <w:b/>
              </w:rPr>
              <w:t xml:space="preserve"> </w:t>
            </w:r>
            <w:r>
              <w:rPr>
                <w:rFonts w:ascii="Times New Roman"/>
                <w:b/>
                <w:spacing w:val="-1"/>
              </w:rPr>
              <w:t>Tissue</w:t>
            </w:r>
            <w:r>
              <w:rPr>
                <w:rFonts w:ascii="Times New Roman"/>
                <w:b/>
                <w:spacing w:val="28"/>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Muscle</w:t>
            </w:r>
            <w:r>
              <w:rPr>
                <w:rFonts w:ascii="Times New Roman"/>
                <w:spacing w:val="-2"/>
              </w:rPr>
              <w:t xml:space="preserve"> </w:t>
            </w:r>
            <w:r>
              <w:rPr>
                <w:rFonts w:ascii="Times New Roman"/>
                <w:spacing w:val="-1"/>
              </w:rPr>
              <w:t>spasms,</w:t>
            </w:r>
            <w:r>
              <w:rPr>
                <w:rFonts w:ascii="Times New Roman"/>
              </w:rPr>
              <w:t xml:space="preserve"> </w:t>
            </w:r>
            <w:r>
              <w:rPr>
                <w:rFonts w:ascii="Times New Roman"/>
                <w:spacing w:val="-1"/>
              </w:rPr>
              <w:t>Back</w:t>
            </w:r>
            <w:r>
              <w:rPr>
                <w:rFonts w:ascii="Times New Roman"/>
                <w:spacing w:val="-3"/>
              </w:rPr>
              <w:t xml:space="preserve"> </w:t>
            </w:r>
            <w:r>
              <w:rPr>
                <w:rFonts w:ascii="Times New Roman"/>
              </w:rPr>
              <w:t>pain,</w:t>
            </w:r>
            <w:r>
              <w:rPr>
                <w:rFonts w:ascii="Times New Roman"/>
                <w:spacing w:val="-5"/>
              </w:rPr>
              <w:t xml:space="preserve"> </w:t>
            </w:r>
            <w:r>
              <w:rPr>
                <w:rFonts w:ascii="Times New Roman"/>
                <w:spacing w:val="-1"/>
              </w:rPr>
              <w:t>Arthralgia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spacing w:line="253"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69"/>
              <w:rPr>
                <w:rFonts w:ascii="Times New Roman" w:eastAsia="Times New Roman" w:hAnsi="Times New Roman" w:cs="Times New Roman"/>
              </w:rPr>
            </w:pPr>
            <w:r>
              <w:rPr>
                <w:rFonts w:ascii="Times New Roman"/>
              </w:rPr>
              <w:t>Pain</w:t>
            </w:r>
            <w:r>
              <w:rPr>
                <w:rFonts w:ascii="Times New Roman"/>
                <w:spacing w:val="-2"/>
              </w:rPr>
              <w:t xml:space="preserve"> </w:t>
            </w:r>
            <w:r>
              <w:rPr>
                <w:rFonts w:ascii="Times New Roman"/>
              </w:rPr>
              <w:t xml:space="preserve">in </w:t>
            </w:r>
            <w:r>
              <w:rPr>
                <w:rFonts w:ascii="Times New Roman"/>
                <w:spacing w:val="-1"/>
              </w:rPr>
              <w:t>extremity,</w:t>
            </w:r>
            <w:r>
              <w:rPr>
                <w:rFonts w:ascii="Times New Roman"/>
              </w:rPr>
              <w:t xml:space="preserve"> </w:t>
            </w:r>
            <w:r>
              <w:rPr>
                <w:rFonts w:ascii="Times New Roman"/>
                <w:spacing w:val="-1"/>
              </w:rPr>
              <w:t>Muscular</w:t>
            </w:r>
            <w:r>
              <w:rPr>
                <w:rFonts w:ascii="Times New Roman"/>
                <w:spacing w:val="-2"/>
              </w:rPr>
              <w:t xml:space="preserve"> </w:t>
            </w:r>
            <w:r>
              <w:rPr>
                <w:rFonts w:ascii="Times New Roman"/>
                <w:spacing w:val="-1"/>
              </w:rPr>
              <w:t>weakness,</w:t>
            </w:r>
            <w:r>
              <w:rPr>
                <w:rFonts w:ascii="Times New Roman"/>
                <w:spacing w:val="25"/>
              </w:rPr>
              <w:t xml:space="preserve"> </w:t>
            </w:r>
            <w:r>
              <w:rPr>
                <w:rFonts w:ascii="Times New Roman"/>
                <w:spacing w:val="-1"/>
              </w:rPr>
              <w:t>Musculoskeletal</w:t>
            </w:r>
            <w:r>
              <w:rPr>
                <w:rFonts w:ascii="Times New Roman"/>
                <w:spacing w:val="1"/>
              </w:rPr>
              <w:t xml:space="preserve"> </w:t>
            </w:r>
            <w:r>
              <w:rPr>
                <w:rFonts w:ascii="Times New Roman"/>
                <w:spacing w:val="-1"/>
              </w:rPr>
              <w:t>pain,</w:t>
            </w:r>
            <w:r>
              <w:rPr>
                <w:rFonts w:ascii="Times New Roman"/>
                <w:spacing w:val="-2"/>
              </w:rPr>
              <w:t xml:space="preserve"> </w:t>
            </w:r>
            <w:r>
              <w:rPr>
                <w:rFonts w:ascii="Times New Roman"/>
                <w:spacing w:val="-1"/>
              </w:rPr>
              <w:t>Myalgia,</w:t>
            </w:r>
            <w:r>
              <w:rPr>
                <w:rFonts w:ascii="Times New Roman"/>
              </w:rPr>
              <w:t xml:space="preserve"> </w:t>
            </w:r>
            <w:r>
              <w:rPr>
                <w:rFonts w:ascii="Times New Roman"/>
                <w:spacing w:val="-1"/>
              </w:rPr>
              <w:t>Neck</w:t>
            </w:r>
            <w:r>
              <w:rPr>
                <w:rFonts w:ascii="Times New Roman"/>
                <w:spacing w:val="25"/>
              </w:rPr>
              <w:t xml:space="preserve"> </w:t>
            </w:r>
            <w:r>
              <w:rPr>
                <w:rFonts w:ascii="Times New Roman"/>
              </w:rPr>
              <w:t>pain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Muscular</w:t>
            </w:r>
            <w:r>
              <w:rPr>
                <w:rFonts w:ascii="Times New Roman"/>
                <w:spacing w:val="1"/>
              </w:rPr>
              <w:t xml:space="preserve"> </w:t>
            </w:r>
            <w:r>
              <w:rPr>
                <w:rFonts w:ascii="Times New Roman"/>
                <w:spacing w:val="-1"/>
              </w:rPr>
              <w:t>weakness,</w:t>
            </w:r>
            <w:r>
              <w:rPr>
                <w:rFonts w:ascii="Times New Roman"/>
              </w:rPr>
              <w:t xml:space="preserve"> </w:t>
            </w:r>
            <w:r>
              <w:rPr>
                <w:rFonts w:ascii="Times New Roman"/>
                <w:spacing w:val="-1"/>
              </w:rPr>
              <w:t>Neck</w:t>
            </w:r>
            <w:r>
              <w:rPr>
                <w:rFonts w:ascii="Times New Roman"/>
                <w:spacing w:val="-2"/>
              </w:rPr>
              <w:t xml:space="preserve"> </w:t>
            </w:r>
            <w:r>
              <w:rPr>
                <w:rFonts w:ascii="Times New Roman"/>
              </w:rPr>
              <w:t>pain</w:t>
            </w:r>
          </w:p>
        </w:tc>
      </w:tr>
      <w:tr w:rsidR="001423DC" w:rsidTr="004F5D86">
        <w:trPr>
          <w:trHeight w:hRule="exact" w:val="514"/>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573"/>
              <w:rPr>
                <w:rFonts w:ascii="Times New Roman" w:eastAsia="Times New Roman" w:hAnsi="Times New Roman" w:cs="Times New Roman"/>
              </w:rPr>
            </w:pPr>
            <w:r>
              <w:rPr>
                <w:rFonts w:ascii="Times New Roman"/>
                <w:b/>
                <w:spacing w:val="-1"/>
              </w:rPr>
              <w:t>Renal</w:t>
            </w:r>
            <w:r>
              <w:rPr>
                <w:rFonts w:ascii="Times New Roman"/>
                <w:b/>
                <w:spacing w:val="1"/>
              </w:rPr>
              <w:t xml:space="preserve"> </w:t>
            </w:r>
            <w:r>
              <w:rPr>
                <w:rFonts w:ascii="Times New Roman"/>
                <w:b/>
              </w:rPr>
              <w:t>and</w:t>
            </w:r>
            <w:r>
              <w:rPr>
                <w:rFonts w:ascii="Times New Roman"/>
                <w:b/>
                <w:spacing w:val="-1"/>
              </w:rPr>
              <w:t xml:space="preserve"> Urinary</w:t>
            </w:r>
            <w:r>
              <w:rPr>
                <w:rFonts w:ascii="Times New Roman"/>
                <w:b/>
                <w:spacing w:val="27"/>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7"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Acute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kidney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injury</w:t>
            </w:r>
            <w:r>
              <w:rPr>
                <w:rFonts w:ascii="Times New Roman" w:eastAsia="Times New Roman" w:hAnsi="Times New Roman" w:cs="Times New Roman"/>
                <w:spacing w:val="-3"/>
                <w:position w:val="8"/>
                <w:sz w:val="14"/>
                <w:szCs w:val="14"/>
              </w:rPr>
              <w:t>◊</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D92917" w:rsidRDefault="001423DC" w:rsidP="004F5D86">
            <w:pPr>
              <w:pStyle w:val="TableParagraph"/>
              <w:ind w:left="102" w:right="207"/>
              <w:rPr>
                <w:rFonts w:ascii="Times New Roman" w:eastAsia="Times New Roman" w:hAnsi="Times New Roman" w:cs="Times New Roman"/>
              </w:rPr>
            </w:pPr>
            <w:r>
              <w:rPr>
                <w:rFonts w:ascii="Times New Roman"/>
                <w:b/>
                <w:spacing w:val="-1"/>
              </w:rPr>
              <w:t>General</w:t>
            </w:r>
            <w:r>
              <w:rPr>
                <w:rFonts w:ascii="Times New Roman"/>
                <w:b/>
                <w:spacing w:val="1"/>
              </w:rPr>
              <w:t xml:space="preserve"> </w:t>
            </w:r>
            <w:r>
              <w:rPr>
                <w:rFonts w:ascii="Times New Roman"/>
                <w:b/>
                <w:spacing w:val="-1"/>
              </w:rPr>
              <w:t>Disorders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Administration</w:t>
            </w:r>
            <w:r>
              <w:rPr>
                <w:rFonts w:ascii="Times New Roman"/>
                <w:b/>
              </w:rPr>
              <w:t xml:space="preserve"> </w:t>
            </w:r>
            <w:r>
              <w:rPr>
                <w:rFonts w:ascii="Times New Roman"/>
                <w:b/>
                <w:spacing w:val="-1"/>
              </w:rPr>
              <w:t>Site</w:t>
            </w:r>
            <w:r>
              <w:rPr>
                <w:rFonts w:ascii="Times New Roman"/>
                <w:b/>
                <w:spacing w:val="21"/>
              </w:rPr>
              <w:t xml:space="preserve"> </w:t>
            </w:r>
            <w:r>
              <w:rPr>
                <w:rFonts w:ascii="Times New Roman"/>
                <w:b/>
                <w:spacing w:val="-1"/>
              </w:rPr>
              <w:t>Conditions</w:t>
            </w: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1423DC" w:rsidRPr="00981887" w:rsidRDefault="001423DC" w:rsidP="00981887">
            <w:pPr>
              <w:pStyle w:val="TableParagraph"/>
              <w:ind w:left="102" w:right="207"/>
              <w:rPr>
                <w:rFonts w:ascii="Times New Roman" w:eastAsia="Times New Roman" w:hAnsi="Times New Roman" w:cs="Times New Roman"/>
              </w:rPr>
            </w:pP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ind w:left="99" w:right="331"/>
              <w:rPr>
                <w:rFonts w:ascii="Times New Roman" w:eastAsia="Times New Roman" w:hAnsi="Times New Roman" w:cs="Times New Roman"/>
              </w:rPr>
            </w:pPr>
            <w:r>
              <w:rPr>
                <w:rFonts w:ascii="Times New Roman"/>
                <w:spacing w:val="-1"/>
              </w:rPr>
              <w:t>Pyrexia,</w:t>
            </w:r>
            <w:r>
              <w:rPr>
                <w:rFonts w:ascii="Times New Roman"/>
              </w:rPr>
              <w:t xml:space="preserve"> </w:t>
            </w:r>
            <w:r>
              <w:rPr>
                <w:rFonts w:ascii="Times New Roman"/>
                <w:spacing w:val="-1"/>
              </w:rPr>
              <w:t>Fatigue,</w:t>
            </w:r>
            <w:r>
              <w:rPr>
                <w:rFonts w:ascii="Times New Roman"/>
              </w:rPr>
              <w:t xml:space="preserve"> </w:t>
            </w:r>
            <w:r>
              <w:rPr>
                <w:rFonts w:ascii="Times New Roman"/>
                <w:spacing w:val="-1"/>
              </w:rPr>
              <w:t>Asthenia,</w:t>
            </w:r>
            <w:r>
              <w:rPr>
                <w:rFonts w:ascii="Times New Roman"/>
                <w:spacing w:val="-3"/>
              </w:rPr>
              <w:t xml:space="preserve"> </w:t>
            </w:r>
            <w:r>
              <w:rPr>
                <w:rFonts w:ascii="Times New Roman"/>
                <w:spacing w:val="-1"/>
              </w:rPr>
              <w:t>Peripheral</w:t>
            </w:r>
            <w:r>
              <w:rPr>
                <w:rFonts w:ascii="Times New Roman"/>
                <w:spacing w:val="39"/>
              </w:rPr>
              <w:t xml:space="preserve"> </w:t>
            </w:r>
            <w:r>
              <w:rPr>
                <w:rFonts w:ascii="Times New Roman"/>
                <w:spacing w:val="-1"/>
              </w:rPr>
              <w:t>oedema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ind w:left="99" w:right="2348"/>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Malaise,</w:t>
            </w:r>
            <w:r>
              <w:rPr>
                <w:rFonts w:ascii="Times New Roman"/>
              </w:rPr>
              <w:t xml:space="preserve"> </w:t>
            </w:r>
            <w:r>
              <w:rPr>
                <w:rFonts w:ascii="Times New Roman"/>
                <w:spacing w:val="-1"/>
              </w:rPr>
              <w:t>Chills</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1927"/>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Fatigue,</w:t>
            </w:r>
            <w:r>
              <w:rPr>
                <w:rFonts w:ascii="Times New Roman"/>
              </w:rPr>
              <w:t xml:space="preserve"> </w:t>
            </w:r>
            <w:r>
              <w:rPr>
                <w:rFonts w:ascii="Times New Roman"/>
                <w:spacing w:val="-1"/>
              </w:rPr>
              <w:t>Asthenia</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Investigations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Alanine</w:t>
            </w:r>
            <w:r>
              <w:rPr>
                <w:rFonts w:ascii="Times New Roman"/>
              </w:rPr>
              <w:t xml:space="preserve"> </w:t>
            </w:r>
            <w:r>
              <w:rPr>
                <w:rFonts w:ascii="Times New Roman"/>
                <w:spacing w:val="-1"/>
              </w:rPr>
              <w:t>aminotransferase</w:t>
            </w:r>
            <w:r>
              <w:rPr>
                <w:rFonts w:ascii="Times New Roman"/>
              </w:rPr>
              <w:t xml:space="preserve"> </w:t>
            </w:r>
            <w:r>
              <w:rPr>
                <w:rFonts w:ascii="Times New Roman"/>
                <w:spacing w:val="-1"/>
              </w:rPr>
              <w:t>increased</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1"/>
              <w:ind w:left="99" w:right="610"/>
              <w:rPr>
                <w:rFonts w:ascii="Times New Roman" w:eastAsia="Times New Roman" w:hAnsi="Times New Roman" w:cs="Times New Roman"/>
              </w:rPr>
            </w:pPr>
            <w:r>
              <w:rPr>
                <w:rFonts w:ascii="Times New Roman"/>
                <w:spacing w:val="-1"/>
              </w:rPr>
              <w:t>Weight</w:t>
            </w:r>
            <w:r>
              <w:rPr>
                <w:rFonts w:ascii="Times New Roman"/>
                <w:spacing w:val="1"/>
              </w:rPr>
              <w:t xml:space="preserve"> </w:t>
            </w:r>
            <w:r>
              <w:rPr>
                <w:rFonts w:ascii="Times New Roman"/>
                <w:spacing w:val="-1"/>
              </w:rPr>
              <w:t>decreased,</w:t>
            </w:r>
            <w:r>
              <w:rPr>
                <w:rFonts w:ascii="Times New Roman"/>
              </w:rPr>
              <w:t xml:space="preserve"> </w:t>
            </w:r>
            <w:r>
              <w:rPr>
                <w:rFonts w:ascii="Times New Roman"/>
                <w:spacing w:val="-1"/>
              </w:rPr>
              <w:t>Blood</w:t>
            </w:r>
            <w:r>
              <w:rPr>
                <w:rFonts w:ascii="Times New Roman"/>
              </w:rPr>
              <w:t xml:space="preserve"> </w:t>
            </w:r>
            <w:r>
              <w:rPr>
                <w:rFonts w:ascii="Times New Roman"/>
                <w:spacing w:val="-1"/>
              </w:rPr>
              <w:t>Bilirubin</w:t>
            </w:r>
            <w:r>
              <w:rPr>
                <w:rFonts w:ascii="Times New Roman"/>
                <w:spacing w:val="25"/>
              </w:rPr>
              <w:t xml:space="preserve"> </w:t>
            </w:r>
            <w:r>
              <w:rPr>
                <w:rFonts w:ascii="Times New Roman"/>
                <w:spacing w:val="-1"/>
              </w:rPr>
              <w:t>increased</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bl>
    <w:p w:rsidR="001423DC" w:rsidRDefault="001423DC" w:rsidP="001423DC">
      <w:pPr>
        <w:spacing w:before="1"/>
        <w:ind w:left="218" w:right="6036"/>
        <w:rPr>
          <w:rFonts w:eastAsia="Times New Roman"/>
          <w:sz w:val="16"/>
          <w:szCs w:val="16"/>
        </w:rPr>
      </w:pPr>
      <w:r>
        <w:rPr>
          <w:spacing w:val="-1"/>
          <w:sz w:val="16"/>
        </w:rPr>
        <w:t>^see section 4.8 description</w:t>
      </w:r>
      <w:r>
        <w:rPr>
          <w:spacing w:val="2"/>
          <w:sz w:val="16"/>
        </w:rPr>
        <w:t xml:space="preserve"> </w:t>
      </w:r>
      <w:r>
        <w:rPr>
          <w:spacing w:val="-1"/>
          <w:sz w:val="16"/>
        </w:rPr>
        <w:t>of</w:t>
      </w:r>
      <w:r>
        <w:rPr>
          <w:sz w:val="16"/>
        </w:rPr>
        <w:t xml:space="preserve"> </w:t>
      </w:r>
      <w:r>
        <w:rPr>
          <w:spacing w:val="-2"/>
          <w:sz w:val="16"/>
        </w:rPr>
        <w:t>selected</w:t>
      </w:r>
      <w:r>
        <w:rPr>
          <w:spacing w:val="2"/>
          <w:sz w:val="16"/>
        </w:rPr>
        <w:t xml:space="preserve"> </w:t>
      </w:r>
      <w:r>
        <w:rPr>
          <w:spacing w:val="-1"/>
          <w:sz w:val="16"/>
        </w:rPr>
        <w:t>adverse reactions</w:t>
      </w:r>
      <w:r>
        <w:rPr>
          <w:spacing w:val="55"/>
          <w:sz w:val="16"/>
        </w:rPr>
        <w:t xml:space="preserve"> </w:t>
      </w:r>
      <w:r>
        <w:rPr>
          <w:spacing w:val="-1"/>
          <w:sz w:val="16"/>
        </w:rPr>
        <w:t>Algorithm</w:t>
      </w:r>
      <w:r>
        <w:rPr>
          <w:spacing w:val="-2"/>
          <w:sz w:val="16"/>
        </w:rPr>
        <w:t xml:space="preserve"> </w:t>
      </w:r>
      <w:r>
        <w:rPr>
          <w:spacing w:val="-1"/>
          <w:sz w:val="16"/>
        </w:rPr>
        <w:t>applied for</w:t>
      </w:r>
      <w:r>
        <w:rPr>
          <w:sz w:val="16"/>
        </w:rPr>
        <w:t xml:space="preserve"> </w:t>
      </w:r>
      <w:r>
        <w:rPr>
          <w:spacing w:val="-1"/>
          <w:sz w:val="16"/>
        </w:rPr>
        <w:t>follicular</w:t>
      </w:r>
      <w:r>
        <w:rPr>
          <w:sz w:val="16"/>
        </w:rPr>
        <w:t xml:space="preserve"> </w:t>
      </w:r>
      <w:r>
        <w:rPr>
          <w:spacing w:val="-1"/>
          <w:sz w:val="16"/>
        </w:rPr>
        <w:t>lymphoma:</w:t>
      </w:r>
    </w:p>
    <w:p w:rsidR="001423DC" w:rsidRDefault="001423DC" w:rsidP="001423DC">
      <w:pPr>
        <w:spacing w:before="1"/>
        <w:ind w:left="218"/>
        <w:rPr>
          <w:rFonts w:eastAsia="Times New Roman"/>
          <w:sz w:val="16"/>
          <w:szCs w:val="16"/>
        </w:rPr>
      </w:pPr>
      <w:r>
        <w:rPr>
          <w:rFonts w:eastAsia="Times New Roman"/>
          <w:spacing w:val="-1"/>
          <w:sz w:val="16"/>
          <w:szCs w:val="16"/>
        </w:rPr>
        <w:t>Controlled–</w:t>
      </w:r>
      <w:r>
        <w:rPr>
          <w:rFonts w:eastAsia="Times New Roman"/>
          <w:spacing w:val="1"/>
          <w:sz w:val="16"/>
          <w:szCs w:val="16"/>
        </w:rPr>
        <w:t xml:space="preserve"> </w:t>
      </w:r>
      <w:r>
        <w:rPr>
          <w:rFonts w:eastAsia="Times New Roman"/>
          <w:spacing w:val="-1"/>
          <w:sz w:val="16"/>
          <w:szCs w:val="16"/>
        </w:rPr>
        <w:t>Phase</w:t>
      </w:r>
      <w:r>
        <w:rPr>
          <w:rFonts w:eastAsia="Times New Roman"/>
          <w:spacing w:val="-2"/>
          <w:sz w:val="16"/>
          <w:szCs w:val="16"/>
        </w:rPr>
        <w:t xml:space="preserve"> </w:t>
      </w:r>
      <w:r>
        <w:rPr>
          <w:rFonts w:eastAsia="Times New Roman"/>
          <w:sz w:val="16"/>
          <w:szCs w:val="16"/>
        </w:rPr>
        <w:t>3</w:t>
      </w:r>
      <w:r>
        <w:rPr>
          <w:rFonts w:eastAsia="Times New Roman"/>
          <w:spacing w:val="-1"/>
          <w:sz w:val="16"/>
          <w:szCs w:val="16"/>
        </w:rPr>
        <w:t xml:space="preserve"> trial:</w:t>
      </w:r>
    </w:p>
    <w:p w:rsidR="001423DC" w:rsidRDefault="001423DC" w:rsidP="001423DC">
      <w:pPr>
        <w:widowControl w:val="0"/>
        <w:numPr>
          <w:ilvl w:val="0"/>
          <w:numId w:val="89"/>
        </w:numPr>
        <w:tabs>
          <w:tab w:val="left" w:pos="1659"/>
        </w:tabs>
        <w:spacing w:before="1" w:line="190" w:lineRule="exact"/>
        <w:rPr>
          <w:rFonts w:eastAsia="Times New Roman"/>
          <w:sz w:val="16"/>
          <w:szCs w:val="16"/>
        </w:rPr>
      </w:pPr>
      <w:r>
        <w:rPr>
          <w:rFonts w:eastAsia="Times New Roman"/>
          <w:spacing w:val="-1"/>
          <w:sz w:val="16"/>
          <w:szCs w:val="16"/>
        </w:rPr>
        <w:t>NHL-007</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treatment-emergent</w:t>
      </w:r>
      <w:r>
        <w:rPr>
          <w:rFonts w:eastAsia="Times New Roman"/>
          <w:spacing w:val="1"/>
          <w:sz w:val="16"/>
          <w:szCs w:val="16"/>
        </w:rPr>
        <w:t xml:space="preserve"> </w:t>
      </w:r>
      <w:r>
        <w:rPr>
          <w:rFonts w:eastAsia="Times New Roman"/>
          <w:spacing w:val="-1"/>
          <w:sz w:val="16"/>
          <w:szCs w:val="16"/>
        </w:rPr>
        <w:t>AEs</w:t>
      </w:r>
      <w:r>
        <w:rPr>
          <w:rFonts w:eastAsia="Times New Roman"/>
          <w:sz w:val="16"/>
          <w:szCs w:val="16"/>
        </w:rPr>
        <w:t xml:space="preserve"> </w:t>
      </w:r>
      <w:r>
        <w:rPr>
          <w:rFonts w:eastAsia="Times New Roman"/>
          <w:spacing w:val="-1"/>
          <w:sz w:val="16"/>
          <w:szCs w:val="16"/>
        </w:rPr>
        <w:t>with</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5.0%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r>
        <w:rPr>
          <w:rFonts w:eastAsia="Times New Roman"/>
          <w:spacing w:val="-2"/>
          <w:sz w:val="16"/>
          <w:szCs w:val="16"/>
        </w:rPr>
        <w:t xml:space="preserve"> </w:t>
      </w:r>
      <w:r>
        <w:rPr>
          <w:rFonts w:eastAsia="Times New Roman"/>
          <w:spacing w:val="-1"/>
          <w:sz w:val="16"/>
          <w:szCs w:val="16"/>
        </w:rPr>
        <w:t>in</w:t>
      </w:r>
      <w:r>
        <w:rPr>
          <w:rFonts w:eastAsia="Times New Roman"/>
          <w:spacing w:val="2"/>
          <w:sz w:val="16"/>
          <w:szCs w:val="16"/>
        </w:rPr>
        <w:t xml:space="preserve"> </w:t>
      </w:r>
      <w:r>
        <w:rPr>
          <w:rFonts w:eastAsia="Times New Roman"/>
          <w:spacing w:val="-1"/>
          <w:sz w:val="16"/>
          <w:szCs w:val="16"/>
        </w:rPr>
        <w:t>lenalidomide/rituximab</w:t>
      </w:r>
      <w:r>
        <w:rPr>
          <w:rFonts w:eastAsia="Times New Roman"/>
          <w:spacing w:val="2"/>
          <w:sz w:val="16"/>
          <w:szCs w:val="16"/>
        </w:rPr>
        <w:t xml:space="preserve"> </w:t>
      </w:r>
      <w:r>
        <w:rPr>
          <w:rFonts w:eastAsia="Times New Roman"/>
          <w:spacing w:val="-1"/>
          <w:sz w:val="16"/>
          <w:szCs w:val="16"/>
        </w:rPr>
        <w:t>arm</w:t>
      </w:r>
      <w:r>
        <w:rPr>
          <w:rFonts w:eastAsia="Times New Roman"/>
          <w:spacing w:val="-2"/>
          <w:sz w:val="16"/>
          <w:szCs w:val="16"/>
        </w:rPr>
        <w:t xml:space="preserve"> </w:t>
      </w:r>
      <w:r>
        <w:rPr>
          <w:rFonts w:eastAsia="Times New Roman"/>
          <w:spacing w:val="-1"/>
          <w:sz w:val="16"/>
          <w:szCs w:val="16"/>
        </w:rPr>
        <w:t>and at</w:t>
      </w:r>
      <w:r>
        <w:rPr>
          <w:rFonts w:eastAsia="Times New Roman"/>
          <w:spacing w:val="1"/>
          <w:sz w:val="16"/>
          <w:szCs w:val="16"/>
        </w:rPr>
        <w:t xml:space="preserve"> </w:t>
      </w:r>
      <w:r>
        <w:rPr>
          <w:rFonts w:eastAsia="Times New Roman"/>
          <w:spacing w:val="-1"/>
          <w:sz w:val="16"/>
          <w:szCs w:val="16"/>
        </w:rPr>
        <w:t xml:space="preserve">least </w:t>
      </w:r>
      <w:r>
        <w:rPr>
          <w:rFonts w:eastAsia="Times New Roman"/>
          <w:sz w:val="16"/>
          <w:szCs w:val="16"/>
        </w:rPr>
        <w:t>2.0%</w:t>
      </w:r>
      <w:r>
        <w:rPr>
          <w:rFonts w:eastAsia="Times New Roman"/>
          <w:spacing w:val="-1"/>
          <w:sz w:val="16"/>
          <w:szCs w:val="16"/>
        </w:rPr>
        <w:t xml:space="preserve"> higher</w:t>
      </w:r>
    </w:p>
    <w:p w:rsidR="001423DC" w:rsidRDefault="001423DC" w:rsidP="001423DC">
      <w:pPr>
        <w:spacing w:line="176" w:lineRule="exact"/>
        <w:ind w:left="1658"/>
        <w:rPr>
          <w:rFonts w:eastAsia="Times New Roman"/>
          <w:sz w:val="16"/>
          <w:szCs w:val="16"/>
        </w:rPr>
      </w:pPr>
      <w:r>
        <w:rPr>
          <w:spacing w:val="-1"/>
          <w:sz w:val="16"/>
        </w:rPr>
        <w:t>frequency</w:t>
      </w:r>
      <w:r>
        <w:rPr>
          <w:spacing w:val="-3"/>
          <w:sz w:val="16"/>
        </w:rPr>
        <w:t xml:space="preserve"> </w:t>
      </w:r>
      <w:r>
        <w:rPr>
          <w:spacing w:val="-1"/>
          <w:sz w:val="16"/>
        </w:rPr>
        <w:t>(%)</w:t>
      </w:r>
      <w:r>
        <w:rPr>
          <w:sz w:val="16"/>
        </w:rPr>
        <w:t xml:space="preserve"> in</w:t>
      </w:r>
      <w:r>
        <w:rPr>
          <w:spacing w:val="-1"/>
          <w:sz w:val="16"/>
        </w:rPr>
        <w:t xml:space="preserve"> </w:t>
      </w:r>
      <w:r>
        <w:rPr>
          <w:spacing w:val="-2"/>
          <w:sz w:val="16"/>
        </w:rPr>
        <w:t>Len</w:t>
      </w:r>
      <w:r>
        <w:rPr>
          <w:spacing w:val="2"/>
          <w:sz w:val="16"/>
        </w:rPr>
        <w:t xml:space="preserve"> </w:t>
      </w:r>
      <w:r>
        <w:rPr>
          <w:spacing w:val="-1"/>
          <w:sz w:val="16"/>
        </w:rPr>
        <w:t>arm</w:t>
      </w:r>
      <w:r>
        <w:rPr>
          <w:sz w:val="16"/>
        </w:rPr>
        <w:t xml:space="preserve"> </w:t>
      </w:r>
      <w:r>
        <w:rPr>
          <w:spacing w:val="-1"/>
          <w:sz w:val="16"/>
        </w:rPr>
        <w:t>compared to control arm</w:t>
      </w:r>
      <w:r>
        <w:rPr>
          <w:sz w:val="16"/>
        </w:rPr>
        <w:t xml:space="preserve"> -</w:t>
      </w:r>
      <w:r>
        <w:rPr>
          <w:spacing w:val="-1"/>
          <w:sz w:val="16"/>
        </w:rPr>
        <w:t xml:space="preserve"> (Safety</w:t>
      </w:r>
      <w:r>
        <w:rPr>
          <w:spacing w:val="-3"/>
          <w:sz w:val="16"/>
        </w:rPr>
        <w:t xml:space="preserve"> </w:t>
      </w:r>
      <w:r>
        <w:rPr>
          <w:spacing w:val="-1"/>
          <w:sz w:val="16"/>
        </w:rPr>
        <w:t>population)</w:t>
      </w:r>
    </w:p>
    <w:p w:rsidR="001423DC" w:rsidRDefault="001423DC" w:rsidP="001423DC">
      <w:pPr>
        <w:widowControl w:val="0"/>
        <w:numPr>
          <w:ilvl w:val="0"/>
          <w:numId w:val="89"/>
        </w:numPr>
        <w:tabs>
          <w:tab w:val="left" w:pos="1659"/>
        </w:tabs>
        <w:spacing w:before="6" w:line="231" w:lineRule="auto"/>
        <w:ind w:right="932"/>
        <w:rPr>
          <w:rFonts w:eastAsia="Times New Roman"/>
          <w:sz w:val="16"/>
          <w:szCs w:val="16"/>
        </w:rPr>
      </w:pPr>
      <w:r>
        <w:rPr>
          <w:spacing w:val="-1"/>
          <w:sz w:val="16"/>
        </w:rPr>
        <w:t>NHL-007</w:t>
      </w:r>
      <w:r>
        <w:rPr>
          <w:spacing w:val="2"/>
          <w:sz w:val="16"/>
        </w:rPr>
        <w:t xml:space="preserve"> </w:t>
      </w:r>
      <w:r>
        <w:rPr>
          <w:spacing w:val="-2"/>
          <w:sz w:val="16"/>
        </w:rPr>
        <w:t>Gr</w:t>
      </w:r>
      <w:r>
        <w:rPr>
          <w:sz w:val="16"/>
        </w:rPr>
        <w:t xml:space="preserve"> </w:t>
      </w:r>
      <w:r>
        <w:rPr>
          <w:spacing w:val="-1"/>
          <w:sz w:val="16"/>
        </w:rPr>
        <w:t>3/4</w:t>
      </w:r>
      <w:r>
        <w:rPr>
          <w:spacing w:val="2"/>
          <w:sz w:val="16"/>
        </w:rPr>
        <w:t xml:space="preserve"> </w:t>
      </w:r>
      <w:r>
        <w:rPr>
          <w:spacing w:val="-1"/>
          <w:sz w:val="16"/>
        </w:rPr>
        <w:t>ADRs-</w:t>
      </w:r>
      <w:r>
        <w:rPr>
          <w:sz w:val="16"/>
        </w:rPr>
        <w:t xml:space="preserve"> </w:t>
      </w:r>
      <w:r>
        <w:rPr>
          <w:spacing w:val="-2"/>
          <w:sz w:val="16"/>
        </w:rPr>
        <w:t>All</w:t>
      </w:r>
      <w:r>
        <w:rPr>
          <w:spacing w:val="-1"/>
          <w:sz w:val="16"/>
        </w:rPr>
        <w:t xml:space="preserve"> Grades</w:t>
      </w:r>
      <w:r>
        <w:rPr>
          <w:sz w:val="16"/>
        </w:rPr>
        <w:t xml:space="preserve"> 3</w:t>
      </w:r>
      <w:r>
        <w:rPr>
          <w:spacing w:val="-1"/>
          <w:sz w:val="16"/>
        </w:rPr>
        <w:t xml:space="preserve"> or</w:t>
      </w:r>
      <w:r>
        <w:rPr>
          <w:sz w:val="16"/>
        </w:rPr>
        <w:t xml:space="preserve"> </w:t>
      </w:r>
      <w:r>
        <w:rPr>
          <w:spacing w:val="-1"/>
          <w:sz w:val="16"/>
        </w:rPr>
        <w:t xml:space="preserve">Grade </w:t>
      </w:r>
      <w:r>
        <w:rPr>
          <w:sz w:val="16"/>
        </w:rPr>
        <w:t>4</w:t>
      </w:r>
      <w:r>
        <w:rPr>
          <w:spacing w:val="2"/>
          <w:sz w:val="16"/>
        </w:rPr>
        <w:t xml:space="preserve"> </w:t>
      </w:r>
      <w:r>
        <w:rPr>
          <w:spacing w:val="-1"/>
          <w:sz w:val="16"/>
        </w:rPr>
        <w:t>treatment-emergent</w:t>
      </w:r>
      <w:r>
        <w:rPr>
          <w:spacing w:val="1"/>
          <w:sz w:val="16"/>
        </w:rPr>
        <w:t xml:space="preserve"> </w:t>
      </w:r>
      <w:r>
        <w:rPr>
          <w:spacing w:val="-2"/>
          <w:sz w:val="16"/>
        </w:rPr>
        <w:t>AEs</w:t>
      </w:r>
      <w:r>
        <w:rPr>
          <w:sz w:val="16"/>
        </w:rPr>
        <w:t xml:space="preserve"> </w:t>
      </w:r>
      <w:r>
        <w:rPr>
          <w:spacing w:val="-1"/>
          <w:sz w:val="16"/>
        </w:rPr>
        <w:t>with</w:t>
      </w:r>
      <w:r>
        <w:rPr>
          <w:spacing w:val="1"/>
          <w:sz w:val="16"/>
        </w:rPr>
        <w:t xml:space="preserve"> </w:t>
      </w:r>
      <w:r>
        <w:rPr>
          <w:spacing w:val="-1"/>
          <w:sz w:val="16"/>
        </w:rPr>
        <w:t>at</w:t>
      </w:r>
      <w:r>
        <w:rPr>
          <w:spacing w:val="1"/>
          <w:sz w:val="16"/>
        </w:rPr>
        <w:t xml:space="preserve"> </w:t>
      </w:r>
      <w:r>
        <w:rPr>
          <w:spacing w:val="-1"/>
          <w:sz w:val="16"/>
        </w:rPr>
        <w:t xml:space="preserve">least </w:t>
      </w:r>
      <w:r>
        <w:rPr>
          <w:sz w:val="16"/>
        </w:rPr>
        <w:t>1.0%</w:t>
      </w:r>
      <w:r>
        <w:rPr>
          <w:spacing w:val="-1"/>
          <w:sz w:val="16"/>
        </w:rPr>
        <w:t xml:space="preserve"> subjects</w:t>
      </w:r>
      <w:r>
        <w:rPr>
          <w:spacing w:val="-2"/>
          <w:sz w:val="16"/>
        </w:rPr>
        <w:t xml:space="preserve"> </w:t>
      </w:r>
      <w:r>
        <w:rPr>
          <w:sz w:val="16"/>
        </w:rPr>
        <w:t>in</w:t>
      </w:r>
      <w:r>
        <w:rPr>
          <w:spacing w:val="57"/>
          <w:sz w:val="16"/>
        </w:rPr>
        <w:t xml:space="preserve"> </w:t>
      </w:r>
      <w:r>
        <w:rPr>
          <w:spacing w:val="-1"/>
          <w:sz w:val="16"/>
        </w:rPr>
        <w:t>lenalidomide/rituximab arm</w:t>
      </w:r>
      <w:r>
        <w:rPr>
          <w:spacing w:val="-2"/>
          <w:sz w:val="16"/>
        </w:rPr>
        <w:t xml:space="preserve"> </w:t>
      </w:r>
      <w:r>
        <w:rPr>
          <w:spacing w:val="-1"/>
          <w:sz w:val="16"/>
        </w:rPr>
        <w:t xml:space="preserve">and </w:t>
      </w:r>
      <w:r>
        <w:rPr>
          <w:sz w:val="16"/>
        </w:rPr>
        <w:t>at</w:t>
      </w:r>
      <w:r>
        <w:rPr>
          <w:spacing w:val="1"/>
          <w:sz w:val="16"/>
        </w:rPr>
        <w:t xml:space="preserve"> </w:t>
      </w:r>
      <w:r>
        <w:rPr>
          <w:spacing w:val="-2"/>
          <w:sz w:val="16"/>
        </w:rPr>
        <w:t>least</w:t>
      </w:r>
      <w:r>
        <w:rPr>
          <w:spacing w:val="-1"/>
          <w:sz w:val="16"/>
        </w:rPr>
        <w:t xml:space="preserve"> </w:t>
      </w:r>
      <w:r>
        <w:rPr>
          <w:sz w:val="16"/>
        </w:rPr>
        <w:t>1.0%</w:t>
      </w:r>
      <w:r>
        <w:rPr>
          <w:spacing w:val="-1"/>
          <w:sz w:val="16"/>
        </w:rPr>
        <w:t xml:space="preserve"> higher</w:t>
      </w:r>
      <w:r>
        <w:rPr>
          <w:sz w:val="16"/>
        </w:rPr>
        <w:t xml:space="preserve"> </w:t>
      </w:r>
      <w:r>
        <w:rPr>
          <w:spacing w:val="-1"/>
          <w:sz w:val="16"/>
        </w:rPr>
        <w:t>frequency</w:t>
      </w:r>
      <w:r>
        <w:rPr>
          <w:spacing w:val="-3"/>
          <w:sz w:val="16"/>
        </w:rPr>
        <w:t xml:space="preserve"> </w:t>
      </w:r>
      <w:r>
        <w:rPr>
          <w:sz w:val="16"/>
        </w:rPr>
        <w:t>in</w:t>
      </w:r>
      <w:r>
        <w:rPr>
          <w:spacing w:val="-1"/>
          <w:sz w:val="16"/>
        </w:rPr>
        <w:t xml:space="preserve"> lenalidomide arm</w:t>
      </w:r>
      <w:r>
        <w:rPr>
          <w:spacing w:val="-2"/>
          <w:sz w:val="16"/>
        </w:rPr>
        <w:t xml:space="preserve"> </w:t>
      </w:r>
      <w:r>
        <w:rPr>
          <w:spacing w:val="-1"/>
          <w:sz w:val="16"/>
        </w:rPr>
        <w:t xml:space="preserve">compared </w:t>
      </w:r>
      <w:r>
        <w:rPr>
          <w:sz w:val="16"/>
        </w:rPr>
        <w:t>to</w:t>
      </w:r>
      <w:r>
        <w:rPr>
          <w:spacing w:val="-1"/>
          <w:sz w:val="16"/>
        </w:rPr>
        <w:t xml:space="preserve"> control arm</w:t>
      </w:r>
      <w:r>
        <w:rPr>
          <w:sz w:val="16"/>
        </w:rPr>
        <w:t xml:space="preserve"> - </w:t>
      </w:r>
      <w:r>
        <w:rPr>
          <w:spacing w:val="-1"/>
          <w:sz w:val="16"/>
        </w:rPr>
        <w:t>(safety</w:t>
      </w:r>
      <w:r>
        <w:rPr>
          <w:spacing w:val="83"/>
          <w:sz w:val="16"/>
        </w:rPr>
        <w:t xml:space="preserve"> </w:t>
      </w:r>
      <w:r>
        <w:rPr>
          <w:spacing w:val="-1"/>
          <w:sz w:val="16"/>
        </w:rPr>
        <w:t>population)</w:t>
      </w:r>
    </w:p>
    <w:p w:rsidR="001423DC" w:rsidRDefault="001423DC" w:rsidP="004273C8">
      <w:pPr>
        <w:widowControl w:val="0"/>
        <w:numPr>
          <w:ilvl w:val="0"/>
          <w:numId w:val="89"/>
        </w:numPr>
        <w:tabs>
          <w:tab w:val="left" w:pos="1659"/>
        </w:tabs>
        <w:spacing w:before="6" w:line="182" w:lineRule="exact"/>
        <w:ind w:right="277"/>
        <w:rPr>
          <w:rFonts w:eastAsia="Times New Roman"/>
          <w:sz w:val="16"/>
          <w:szCs w:val="16"/>
        </w:rPr>
      </w:pPr>
      <w:r>
        <w:rPr>
          <w:spacing w:val="-1"/>
          <w:sz w:val="16"/>
        </w:rPr>
        <w:t>NHL-007</w:t>
      </w:r>
      <w:r>
        <w:rPr>
          <w:spacing w:val="2"/>
          <w:sz w:val="16"/>
        </w:rPr>
        <w:t xml:space="preserve"> </w:t>
      </w:r>
      <w:r>
        <w:rPr>
          <w:spacing w:val="-1"/>
          <w:sz w:val="16"/>
        </w:rPr>
        <w:t>Serious</w:t>
      </w:r>
      <w:r>
        <w:rPr>
          <w:sz w:val="16"/>
        </w:rPr>
        <w:t xml:space="preserve"> </w:t>
      </w:r>
      <w:r>
        <w:rPr>
          <w:spacing w:val="-1"/>
          <w:sz w:val="16"/>
        </w:rPr>
        <w:t>ADRs-</w:t>
      </w:r>
      <w:r>
        <w:rPr>
          <w:sz w:val="16"/>
        </w:rPr>
        <w:t xml:space="preserve"> </w:t>
      </w:r>
      <w:r>
        <w:rPr>
          <w:spacing w:val="-2"/>
          <w:sz w:val="16"/>
        </w:rPr>
        <w:t>All</w:t>
      </w:r>
      <w:r>
        <w:rPr>
          <w:spacing w:val="-1"/>
          <w:sz w:val="16"/>
        </w:rPr>
        <w:t xml:space="preserve"> serious</w:t>
      </w:r>
      <w:r>
        <w:rPr>
          <w:sz w:val="16"/>
        </w:rPr>
        <w:t xml:space="preserve"> </w:t>
      </w:r>
      <w:r>
        <w:rPr>
          <w:spacing w:val="-1"/>
          <w:sz w:val="16"/>
        </w:rPr>
        <w:t>treatment-emergent</w:t>
      </w:r>
      <w:r>
        <w:rPr>
          <w:spacing w:val="1"/>
          <w:sz w:val="16"/>
        </w:rPr>
        <w:t xml:space="preserve"> </w:t>
      </w:r>
      <w:r>
        <w:rPr>
          <w:spacing w:val="-2"/>
          <w:sz w:val="16"/>
        </w:rPr>
        <w:t>AEs</w:t>
      </w:r>
      <w:r>
        <w:rPr>
          <w:sz w:val="16"/>
        </w:rPr>
        <w:t xml:space="preserve"> </w:t>
      </w:r>
      <w:r>
        <w:rPr>
          <w:spacing w:val="-1"/>
          <w:sz w:val="16"/>
        </w:rPr>
        <w:t>with</w:t>
      </w:r>
      <w:r>
        <w:rPr>
          <w:spacing w:val="2"/>
          <w:sz w:val="16"/>
        </w:rPr>
        <w:t xml:space="preserve"> </w:t>
      </w:r>
      <w:r>
        <w:rPr>
          <w:spacing w:val="-1"/>
          <w:sz w:val="16"/>
        </w:rPr>
        <w:t>at</w:t>
      </w:r>
      <w:r>
        <w:rPr>
          <w:spacing w:val="1"/>
          <w:sz w:val="16"/>
        </w:rPr>
        <w:t xml:space="preserve"> </w:t>
      </w:r>
      <w:r>
        <w:rPr>
          <w:spacing w:val="-1"/>
          <w:sz w:val="16"/>
        </w:rPr>
        <w:t xml:space="preserve">least </w:t>
      </w:r>
      <w:r>
        <w:rPr>
          <w:sz w:val="16"/>
        </w:rPr>
        <w:t>1.0%</w:t>
      </w:r>
      <w:r>
        <w:rPr>
          <w:spacing w:val="-1"/>
          <w:sz w:val="16"/>
        </w:rPr>
        <w:t xml:space="preserve"> subjects</w:t>
      </w:r>
      <w:r>
        <w:rPr>
          <w:sz w:val="16"/>
        </w:rPr>
        <w:t xml:space="preserve"> </w:t>
      </w:r>
      <w:r>
        <w:rPr>
          <w:spacing w:val="-1"/>
          <w:sz w:val="16"/>
        </w:rPr>
        <w:t>in</w:t>
      </w:r>
      <w:r>
        <w:rPr>
          <w:spacing w:val="1"/>
          <w:sz w:val="16"/>
        </w:rPr>
        <w:t xml:space="preserve"> </w:t>
      </w:r>
      <w:r>
        <w:rPr>
          <w:spacing w:val="-1"/>
          <w:sz w:val="16"/>
        </w:rPr>
        <w:t>lenalidomide/rituximab arm</w:t>
      </w:r>
      <w:r>
        <w:rPr>
          <w:sz w:val="16"/>
        </w:rPr>
        <w:t xml:space="preserve"> </w:t>
      </w:r>
      <w:r>
        <w:rPr>
          <w:spacing w:val="-2"/>
          <w:sz w:val="16"/>
        </w:rPr>
        <w:t>and</w:t>
      </w:r>
      <w:r>
        <w:rPr>
          <w:spacing w:val="-1"/>
          <w:sz w:val="16"/>
        </w:rPr>
        <w:t xml:space="preserve"> </w:t>
      </w:r>
      <w:r>
        <w:rPr>
          <w:sz w:val="16"/>
        </w:rPr>
        <w:t>at</w:t>
      </w:r>
      <w:r>
        <w:rPr>
          <w:spacing w:val="61"/>
          <w:sz w:val="16"/>
        </w:rPr>
        <w:t xml:space="preserve"> </w:t>
      </w:r>
      <w:r>
        <w:rPr>
          <w:spacing w:val="-1"/>
          <w:sz w:val="16"/>
        </w:rPr>
        <w:t>least</w:t>
      </w:r>
      <w:r>
        <w:rPr>
          <w:spacing w:val="1"/>
          <w:sz w:val="16"/>
        </w:rPr>
        <w:t xml:space="preserve"> </w:t>
      </w:r>
      <w:r>
        <w:rPr>
          <w:sz w:val="16"/>
        </w:rPr>
        <w:t>1.0%</w:t>
      </w:r>
      <w:r>
        <w:rPr>
          <w:spacing w:val="-1"/>
          <w:sz w:val="16"/>
        </w:rPr>
        <w:t xml:space="preserve"> higher</w:t>
      </w:r>
      <w:r>
        <w:rPr>
          <w:sz w:val="16"/>
        </w:rPr>
        <w:t xml:space="preserve"> </w:t>
      </w:r>
      <w:r>
        <w:rPr>
          <w:spacing w:val="-1"/>
          <w:sz w:val="16"/>
        </w:rPr>
        <w:t>frequency</w:t>
      </w:r>
      <w:r>
        <w:rPr>
          <w:spacing w:val="-3"/>
          <w:sz w:val="16"/>
        </w:rPr>
        <w:t xml:space="preserve"> </w:t>
      </w:r>
      <w:r>
        <w:rPr>
          <w:spacing w:val="-1"/>
          <w:sz w:val="16"/>
        </w:rPr>
        <w:t>in</w:t>
      </w:r>
      <w:r>
        <w:rPr>
          <w:spacing w:val="2"/>
          <w:sz w:val="16"/>
        </w:rPr>
        <w:t xml:space="preserve"> </w:t>
      </w:r>
      <w:r>
        <w:rPr>
          <w:spacing w:val="-1"/>
          <w:sz w:val="16"/>
        </w:rPr>
        <w:t>lenalidomide/rituximab</w:t>
      </w:r>
      <w:r>
        <w:rPr>
          <w:spacing w:val="2"/>
          <w:sz w:val="16"/>
        </w:rPr>
        <w:t xml:space="preserve"> </w:t>
      </w:r>
      <w:r>
        <w:rPr>
          <w:spacing w:val="-1"/>
          <w:sz w:val="16"/>
        </w:rPr>
        <w:t>arm</w:t>
      </w:r>
      <w:r>
        <w:rPr>
          <w:spacing w:val="-2"/>
          <w:sz w:val="16"/>
        </w:rPr>
        <w:t xml:space="preserve"> </w:t>
      </w:r>
      <w:r>
        <w:rPr>
          <w:spacing w:val="-1"/>
          <w:sz w:val="16"/>
        </w:rPr>
        <w:t xml:space="preserve">compared </w:t>
      </w:r>
      <w:r>
        <w:rPr>
          <w:sz w:val="16"/>
        </w:rPr>
        <w:t>to</w:t>
      </w:r>
      <w:r>
        <w:rPr>
          <w:spacing w:val="-1"/>
          <w:sz w:val="16"/>
        </w:rPr>
        <w:t xml:space="preserve"> control arm</w:t>
      </w:r>
      <w:r>
        <w:rPr>
          <w:sz w:val="16"/>
        </w:rPr>
        <w:t xml:space="preserve"> - </w:t>
      </w:r>
      <w:r>
        <w:rPr>
          <w:spacing w:val="-1"/>
          <w:sz w:val="16"/>
        </w:rPr>
        <w:t>(safety</w:t>
      </w:r>
      <w:r>
        <w:rPr>
          <w:spacing w:val="-3"/>
          <w:sz w:val="16"/>
        </w:rPr>
        <w:t xml:space="preserve"> </w:t>
      </w:r>
      <w:r>
        <w:rPr>
          <w:spacing w:val="-1"/>
          <w:sz w:val="16"/>
        </w:rPr>
        <w:t>population)</w:t>
      </w:r>
      <w:r w:rsidR="001404A0">
        <w:rPr>
          <w:spacing w:val="-1"/>
          <w:sz w:val="16"/>
        </w:rPr>
        <w:t xml:space="preserve"> </w:t>
      </w:r>
      <w:r>
        <w:rPr>
          <w:spacing w:val="-1"/>
          <w:sz w:val="16"/>
        </w:rPr>
        <w:t>FL</w:t>
      </w:r>
      <w:r>
        <w:rPr>
          <w:spacing w:val="-4"/>
          <w:sz w:val="16"/>
        </w:rPr>
        <w:t xml:space="preserve"> </w:t>
      </w:r>
      <w:r>
        <w:rPr>
          <w:sz w:val="16"/>
        </w:rPr>
        <w:t>single</w:t>
      </w:r>
      <w:r>
        <w:rPr>
          <w:spacing w:val="-1"/>
          <w:sz w:val="16"/>
        </w:rPr>
        <w:t xml:space="preserve"> arm</w:t>
      </w:r>
      <w:r>
        <w:rPr>
          <w:sz w:val="16"/>
        </w:rPr>
        <w:t xml:space="preserve"> - phase</w:t>
      </w:r>
      <w:r>
        <w:rPr>
          <w:spacing w:val="-4"/>
          <w:sz w:val="16"/>
        </w:rPr>
        <w:t xml:space="preserve"> </w:t>
      </w:r>
      <w:r>
        <w:rPr>
          <w:sz w:val="16"/>
        </w:rPr>
        <w:t>3</w:t>
      </w:r>
      <w:r>
        <w:rPr>
          <w:spacing w:val="2"/>
          <w:sz w:val="16"/>
        </w:rPr>
        <w:t xml:space="preserve"> </w:t>
      </w:r>
      <w:r>
        <w:rPr>
          <w:spacing w:val="-1"/>
          <w:sz w:val="16"/>
        </w:rPr>
        <w:t>trial:</w:t>
      </w:r>
    </w:p>
    <w:p w:rsidR="001423DC" w:rsidRDefault="001423DC" w:rsidP="001423DC">
      <w:pPr>
        <w:widowControl w:val="0"/>
        <w:numPr>
          <w:ilvl w:val="0"/>
          <w:numId w:val="89"/>
        </w:numPr>
        <w:tabs>
          <w:tab w:val="left" w:pos="1659"/>
        </w:tabs>
        <w:spacing w:before="1" w:line="190"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with</w:t>
      </w:r>
      <w:r>
        <w:rPr>
          <w:rFonts w:eastAsia="Times New Roman"/>
          <w:spacing w:val="2"/>
          <w:sz w:val="16"/>
          <w:szCs w:val="16"/>
        </w:rPr>
        <w:t xml:space="preserve"> </w:t>
      </w:r>
      <w:r>
        <w:rPr>
          <w:rFonts w:eastAsia="Times New Roman"/>
          <w:sz w:val="16"/>
          <w:szCs w:val="16"/>
        </w:rPr>
        <w:t>≥</w:t>
      </w:r>
      <w:r>
        <w:rPr>
          <w:rFonts w:eastAsia="Times New Roman"/>
          <w:spacing w:val="-1"/>
          <w:sz w:val="16"/>
          <w:szCs w:val="16"/>
        </w:rPr>
        <w:t xml:space="preserve"> 5.0%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p>
    <w:p w:rsidR="001423DC" w:rsidRDefault="001423DC" w:rsidP="001423DC">
      <w:pPr>
        <w:widowControl w:val="0"/>
        <w:numPr>
          <w:ilvl w:val="0"/>
          <w:numId w:val="89"/>
        </w:numPr>
        <w:tabs>
          <w:tab w:val="left" w:pos="1659"/>
        </w:tabs>
        <w:spacing w:line="184"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2"/>
          <w:sz w:val="16"/>
          <w:szCs w:val="16"/>
        </w:rPr>
        <w:t>Gr</w:t>
      </w:r>
      <w:r>
        <w:rPr>
          <w:rFonts w:eastAsia="Times New Roman"/>
          <w:sz w:val="16"/>
          <w:szCs w:val="16"/>
        </w:rPr>
        <w:t xml:space="preserve"> </w:t>
      </w:r>
      <w:r>
        <w:rPr>
          <w:rFonts w:eastAsia="Times New Roman"/>
          <w:spacing w:val="-1"/>
          <w:sz w:val="16"/>
          <w:szCs w:val="16"/>
        </w:rPr>
        <w:t>3/4</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Grade 3/4</w:t>
      </w:r>
      <w:r>
        <w:rPr>
          <w:rFonts w:eastAsia="Times New Roman"/>
          <w:spacing w:val="2"/>
          <w:sz w:val="16"/>
          <w:szCs w:val="16"/>
        </w:rPr>
        <w:t xml:space="preserve"> </w:t>
      </w:r>
      <w:r>
        <w:rPr>
          <w:rFonts w:eastAsia="Times New Roman"/>
          <w:spacing w:val="-1"/>
          <w:sz w:val="16"/>
          <w:szCs w:val="16"/>
        </w:rPr>
        <w:t>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reported</w:t>
      </w:r>
      <w:r>
        <w:rPr>
          <w:rFonts w:eastAsia="Times New Roman"/>
          <w:spacing w:val="2"/>
          <w:sz w:val="16"/>
          <w:szCs w:val="16"/>
        </w:rPr>
        <w:t xml:space="preserve"> </w:t>
      </w:r>
      <w:r>
        <w:rPr>
          <w:rFonts w:eastAsia="Times New Roman"/>
          <w:spacing w:val="-1"/>
          <w:sz w:val="16"/>
          <w:szCs w:val="16"/>
        </w:rPr>
        <w:t>in</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1.0%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p>
    <w:p w:rsidR="001423DC" w:rsidRDefault="001423DC" w:rsidP="001423DC">
      <w:pPr>
        <w:widowControl w:val="0"/>
        <w:numPr>
          <w:ilvl w:val="0"/>
          <w:numId w:val="89"/>
        </w:numPr>
        <w:tabs>
          <w:tab w:val="left" w:pos="1659"/>
        </w:tabs>
        <w:spacing w:line="183"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1"/>
          <w:sz w:val="16"/>
          <w:szCs w:val="16"/>
        </w:rPr>
        <w:t>Serious</w:t>
      </w:r>
      <w:r>
        <w:rPr>
          <w:rFonts w:eastAsia="Times New Roman"/>
          <w:sz w:val="16"/>
          <w:szCs w:val="16"/>
        </w:rPr>
        <w:t xml:space="preserve"> </w:t>
      </w:r>
      <w:r>
        <w:rPr>
          <w:rFonts w:eastAsia="Times New Roman"/>
          <w:spacing w:val="-2"/>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serious</w:t>
      </w:r>
      <w:r>
        <w:rPr>
          <w:rFonts w:eastAsia="Times New Roman"/>
          <w:sz w:val="16"/>
          <w:szCs w:val="16"/>
        </w:rPr>
        <w:t xml:space="preserve"> </w:t>
      </w:r>
      <w:r>
        <w:rPr>
          <w:rFonts w:eastAsia="Times New Roman"/>
          <w:spacing w:val="-1"/>
          <w:sz w:val="16"/>
          <w:szCs w:val="16"/>
        </w:rPr>
        <w:t>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reported</w:t>
      </w:r>
      <w:r>
        <w:rPr>
          <w:rFonts w:eastAsia="Times New Roman"/>
          <w:spacing w:val="2"/>
          <w:sz w:val="16"/>
          <w:szCs w:val="16"/>
        </w:rPr>
        <w:t xml:space="preserve"> </w:t>
      </w:r>
      <w:r>
        <w:rPr>
          <w:rFonts w:eastAsia="Times New Roman"/>
          <w:spacing w:val="-1"/>
          <w:sz w:val="16"/>
          <w:szCs w:val="16"/>
        </w:rPr>
        <w:t xml:space="preserve">in </w:t>
      </w:r>
      <w:r>
        <w:rPr>
          <w:rFonts w:eastAsia="Times New Roman"/>
          <w:sz w:val="16"/>
          <w:szCs w:val="16"/>
        </w:rPr>
        <w:t>≥</w:t>
      </w:r>
      <w:r>
        <w:rPr>
          <w:rFonts w:eastAsia="Times New Roman"/>
          <w:spacing w:val="-1"/>
          <w:sz w:val="16"/>
          <w:szCs w:val="16"/>
        </w:rPr>
        <w:t xml:space="preserve"> </w:t>
      </w:r>
      <w:r>
        <w:rPr>
          <w:rFonts w:eastAsia="Times New Roman"/>
          <w:sz w:val="16"/>
          <w:szCs w:val="16"/>
        </w:rPr>
        <w:t>1.0%</w:t>
      </w:r>
      <w:r>
        <w:rPr>
          <w:rFonts w:eastAsia="Times New Roman"/>
          <w:spacing w:val="-1"/>
          <w:sz w:val="16"/>
          <w:szCs w:val="16"/>
        </w:rPr>
        <w:t xml:space="preserve"> of subjects</w:t>
      </w:r>
    </w:p>
    <w:p w:rsidR="001423DC" w:rsidRDefault="001423DC" w:rsidP="001423DC">
      <w:pPr>
        <w:spacing w:line="177" w:lineRule="exact"/>
        <w:ind w:left="218"/>
        <w:rPr>
          <w:rFonts w:eastAsia="Times New Roman"/>
          <w:sz w:val="16"/>
          <w:szCs w:val="16"/>
        </w:rPr>
      </w:pPr>
      <w:r>
        <w:rPr>
          <w:rFonts w:eastAsia="Times New Roman"/>
          <w:spacing w:val="-3"/>
          <w:position w:val="6"/>
          <w:sz w:val="10"/>
          <w:szCs w:val="10"/>
        </w:rPr>
        <w:t>◊</w:t>
      </w:r>
      <w:r>
        <w:rPr>
          <w:rFonts w:eastAsia="Times New Roman"/>
          <w:spacing w:val="-1"/>
          <w:sz w:val="16"/>
          <w:szCs w:val="16"/>
        </w:rPr>
        <w:t>Adverse</w:t>
      </w:r>
      <w:r>
        <w:rPr>
          <w:rFonts w:eastAsia="Times New Roman"/>
          <w:spacing w:val="-4"/>
          <w:sz w:val="16"/>
          <w:szCs w:val="16"/>
        </w:rPr>
        <w:t xml:space="preserve"> </w:t>
      </w:r>
      <w:r>
        <w:rPr>
          <w:rFonts w:eastAsia="Times New Roman"/>
          <w:spacing w:val="-1"/>
          <w:sz w:val="16"/>
          <w:szCs w:val="16"/>
        </w:rPr>
        <w:t>events</w:t>
      </w:r>
      <w:r>
        <w:rPr>
          <w:rFonts w:eastAsia="Times New Roman"/>
          <w:spacing w:val="-3"/>
          <w:sz w:val="16"/>
          <w:szCs w:val="16"/>
        </w:rPr>
        <w:t xml:space="preserve"> </w:t>
      </w:r>
      <w:r>
        <w:rPr>
          <w:rFonts w:eastAsia="Times New Roman"/>
          <w:spacing w:val="-1"/>
          <w:sz w:val="16"/>
          <w:szCs w:val="16"/>
        </w:rPr>
        <w:t xml:space="preserve">reported </w:t>
      </w:r>
      <w:r>
        <w:rPr>
          <w:rFonts w:eastAsia="Times New Roman"/>
          <w:sz w:val="16"/>
          <w:szCs w:val="16"/>
        </w:rPr>
        <w:t>as</w:t>
      </w:r>
      <w:r>
        <w:rPr>
          <w:rFonts w:eastAsia="Times New Roman"/>
          <w:spacing w:val="-5"/>
          <w:sz w:val="16"/>
          <w:szCs w:val="16"/>
        </w:rPr>
        <w:t xml:space="preserve"> </w:t>
      </w:r>
      <w:r>
        <w:rPr>
          <w:rFonts w:eastAsia="Times New Roman"/>
          <w:spacing w:val="-1"/>
          <w:sz w:val="16"/>
          <w:szCs w:val="16"/>
        </w:rPr>
        <w:t>serious</w:t>
      </w:r>
      <w:r>
        <w:rPr>
          <w:rFonts w:eastAsia="Times New Roman"/>
          <w:spacing w:val="-4"/>
          <w:sz w:val="16"/>
          <w:szCs w:val="16"/>
        </w:rPr>
        <w:t xml:space="preserve"> </w:t>
      </w:r>
      <w:r>
        <w:rPr>
          <w:rFonts w:eastAsia="Times New Roman"/>
          <w:sz w:val="16"/>
          <w:szCs w:val="16"/>
        </w:rPr>
        <w:t>in</w:t>
      </w:r>
      <w:r>
        <w:rPr>
          <w:rFonts w:eastAsia="Times New Roman"/>
          <w:spacing w:val="-4"/>
          <w:sz w:val="16"/>
          <w:szCs w:val="16"/>
        </w:rPr>
        <w:t xml:space="preserve"> </w:t>
      </w:r>
      <w:r>
        <w:rPr>
          <w:rFonts w:eastAsia="Times New Roman"/>
          <w:spacing w:val="-1"/>
          <w:sz w:val="16"/>
          <w:szCs w:val="16"/>
        </w:rPr>
        <w:t>follicular</w:t>
      </w:r>
      <w:r>
        <w:rPr>
          <w:rFonts w:eastAsia="Times New Roman"/>
          <w:spacing w:val="-3"/>
          <w:sz w:val="16"/>
          <w:szCs w:val="16"/>
        </w:rPr>
        <w:t xml:space="preserve"> </w:t>
      </w:r>
      <w:r>
        <w:rPr>
          <w:rFonts w:eastAsia="Times New Roman"/>
          <w:spacing w:val="-1"/>
          <w:sz w:val="16"/>
          <w:szCs w:val="16"/>
        </w:rPr>
        <w:t>lymphoma</w:t>
      </w:r>
      <w:r>
        <w:rPr>
          <w:rFonts w:eastAsia="Times New Roman"/>
          <w:spacing w:val="-3"/>
          <w:sz w:val="16"/>
          <w:szCs w:val="16"/>
        </w:rPr>
        <w:t xml:space="preserve"> </w:t>
      </w:r>
      <w:r>
        <w:rPr>
          <w:rFonts w:eastAsia="Times New Roman"/>
          <w:spacing w:val="-1"/>
          <w:sz w:val="16"/>
          <w:szCs w:val="16"/>
        </w:rPr>
        <w:t>clinical</w:t>
      </w:r>
      <w:r>
        <w:rPr>
          <w:rFonts w:eastAsia="Times New Roman"/>
          <w:spacing w:val="-4"/>
          <w:sz w:val="16"/>
          <w:szCs w:val="16"/>
        </w:rPr>
        <w:t xml:space="preserve"> </w:t>
      </w:r>
      <w:r>
        <w:rPr>
          <w:rFonts w:eastAsia="Times New Roman"/>
          <w:spacing w:val="-1"/>
          <w:sz w:val="16"/>
          <w:szCs w:val="16"/>
        </w:rPr>
        <w:t>trials</w:t>
      </w:r>
    </w:p>
    <w:p w:rsidR="001423DC" w:rsidRDefault="001423DC" w:rsidP="001423DC">
      <w:pPr>
        <w:spacing w:line="184" w:lineRule="exact"/>
        <w:ind w:left="218"/>
        <w:rPr>
          <w:rFonts w:eastAsia="Times New Roman"/>
          <w:sz w:val="16"/>
          <w:szCs w:val="16"/>
        </w:rPr>
      </w:pPr>
      <w:r>
        <w:rPr>
          <w:position w:val="6"/>
          <w:sz w:val="10"/>
        </w:rPr>
        <w:t>+</w:t>
      </w:r>
      <w:r>
        <w:rPr>
          <w:spacing w:val="2"/>
          <w:position w:val="6"/>
          <w:sz w:val="10"/>
        </w:rPr>
        <w:t xml:space="preserve"> </w:t>
      </w:r>
      <w:r>
        <w:rPr>
          <w:spacing w:val="-1"/>
          <w:sz w:val="16"/>
        </w:rPr>
        <w:t>Applies</w:t>
      </w:r>
      <w:r>
        <w:rPr>
          <w:spacing w:val="1"/>
          <w:sz w:val="16"/>
        </w:rPr>
        <w:t xml:space="preserve"> </w:t>
      </w:r>
      <w:r>
        <w:rPr>
          <w:sz w:val="16"/>
        </w:rPr>
        <w:t>to</w:t>
      </w:r>
      <w:r>
        <w:rPr>
          <w:spacing w:val="-3"/>
          <w:sz w:val="16"/>
        </w:rPr>
        <w:t xml:space="preserve"> </w:t>
      </w:r>
      <w:r>
        <w:rPr>
          <w:spacing w:val="-1"/>
          <w:sz w:val="16"/>
        </w:rPr>
        <w:t>serious</w:t>
      </w:r>
      <w:r>
        <w:rPr>
          <w:sz w:val="16"/>
        </w:rPr>
        <w:t xml:space="preserve"> </w:t>
      </w:r>
      <w:r>
        <w:rPr>
          <w:spacing w:val="-1"/>
          <w:sz w:val="16"/>
        </w:rPr>
        <w:t xml:space="preserve">adverse </w:t>
      </w:r>
      <w:r>
        <w:rPr>
          <w:sz w:val="16"/>
        </w:rPr>
        <w:t>drug</w:t>
      </w:r>
      <w:r>
        <w:rPr>
          <w:spacing w:val="-1"/>
          <w:sz w:val="16"/>
        </w:rPr>
        <w:t xml:space="preserve"> reactions</w:t>
      </w:r>
      <w:r>
        <w:rPr>
          <w:sz w:val="16"/>
        </w:rPr>
        <w:t xml:space="preserve"> </w:t>
      </w:r>
      <w:r>
        <w:rPr>
          <w:spacing w:val="-2"/>
          <w:sz w:val="16"/>
        </w:rPr>
        <w:t>only</w:t>
      </w:r>
    </w:p>
    <w:p w:rsidR="001423DC" w:rsidRDefault="001423DC" w:rsidP="001423DC">
      <w:pPr>
        <w:widowControl w:val="0"/>
        <w:numPr>
          <w:ilvl w:val="0"/>
          <w:numId w:val="71"/>
        </w:numPr>
        <w:tabs>
          <w:tab w:val="left" w:pos="296"/>
        </w:tabs>
        <w:spacing w:line="185" w:lineRule="exact"/>
        <w:rPr>
          <w:rFonts w:eastAsia="Times New Roman"/>
          <w:sz w:val="16"/>
          <w:szCs w:val="16"/>
        </w:rPr>
      </w:pPr>
      <w:r>
        <w:rPr>
          <w:spacing w:val="-1"/>
          <w:sz w:val="16"/>
        </w:rPr>
        <w:t>Rash includes</w:t>
      </w:r>
      <w:r>
        <w:rPr>
          <w:sz w:val="16"/>
        </w:rPr>
        <w:t xml:space="preserve"> </w:t>
      </w:r>
      <w:r>
        <w:rPr>
          <w:spacing w:val="-1"/>
          <w:sz w:val="16"/>
        </w:rPr>
        <w:t>PT</w:t>
      </w:r>
      <w:r>
        <w:rPr>
          <w:spacing w:val="-2"/>
          <w:sz w:val="16"/>
        </w:rPr>
        <w:t xml:space="preserve"> </w:t>
      </w:r>
      <w:r>
        <w:rPr>
          <w:spacing w:val="-1"/>
          <w:sz w:val="16"/>
        </w:rPr>
        <w:t>of</w:t>
      </w:r>
      <w:r>
        <w:rPr>
          <w:sz w:val="16"/>
        </w:rPr>
        <w:t xml:space="preserve"> </w:t>
      </w:r>
      <w:r>
        <w:rPr>
          <w:spacing w:val="-1"/>
          <w:sz w:val="16"/>
        </w:rPr>
        <w:t>rash and rash maculo-papular</w:t>
      </w:r>
    </w:p>
    <w:p w:rsidR="001423DC" w:rsidRDefault="001423DC" w:rsidP="001423DC">
      <w:pPr>
        <w:spacing w:line="186" w:lineRule="exact"/>
        <w:ind w:left="218"/>
        <w:rPr>
          <w:rFonts w:eastAsia="Times New Roman"/>
          <w:sz w:val="16"/>
          <w:szCs w:val="16"/>
        </w:rPr>
      </w:pPr>
      <w:r>
        <w:rPr>
          <w:spacing w:val="-1"/>
          <w:position w:val="6"/>
          <w:sz w:val="10"/>
        </w:rPr>
        <w:t>**</w:t>
      </w:r>
      <w:r>
        <w:rPr>
          <w:spacing w:val="-1"/>
          <w:sz w:val="16"/>
        </w:rPr>
        <w:t>Leucopenia includes</w:t>
      </w:r>
      <w:r>
        <w:rPr>
          <w:spacing w:val="1"/>
          <w:sz w:val="16"/>
        </w:rPr>
        <w:t xml:space="preserve"> </w:t>
      </w:r>
      <w:r>
        <w:rPr>
          <w:spacing w:val="-1"/>
          <w:sz w:val="16"/>
        </w:rPr>
        <w:t>PT</w:t>
      </w:r>
      <w:r>
        <w:rPr>
          <w:spacing w:val="-2"/>
          <w:sz w:val="16"/>
        </w:rPr>
        <w:t xml:space="preserve"> </w:t>
      </w:r>
      <w:r>
        <w:rPr>
          <w:spacing w:val="-1"/>
          <w:sz w:val="16"/>
        </w:rPr>
        <w:t>leucopenia and</w:t>
      </w:r>
      <w:r>
        <w:rPr>
          <w:spacing w:val="1"/>
          <w:sz w:val="16"/>
        </w:rPr>
        <w:t xml:space="preserve"> </w:t>
      </w:r>
      <w:r>
        <w:rPr>
          <w:spacing w:val="-1"/>
          <w:sz w:val="16"/>
        </w:rPr>
        <w:t>white blood</w:t>
      </w:r>
      <w:r>
        <w:rPr>
          <w:spacing w:val="2"/>
          <w:sz w:val="16"/>
        </w:rPr>
        <w:t xml:space="preserve"> </w:t>
      </w:r>
      <w:r>
        <w:rPr>
          <w:spacing w:val="-1"/>
          <w:sz w:val="16"/>
        </w:rPr>
        <w:t>cell count decreased</w:t>
      </w:r>
    </w:p>
    <w:p w:rsidR="001423DC" w:rsidRDefault="001423DC" w:rsidP="001423DC">
      <w:pPr>
        <w:spacing w:line="183" w:lineRule="exact"/>
        <w:ind w:left="218"/>
        <w:rPr>
          <w:rFonts w:eastAsia="Times New Roman"/>
          <w:sz w:val="16"/>
          <w:szCs w:val="16"/>
        </w:rPr>
      </w:pPr>
      <w:r>
        <w:rPr>
          <w:spacing w:val="-1"/>
          <w:sz w:val="16"/>
        </w:rPr>
        <w:t>***Lymphopenia</w:t>
      </w:r>
      <w:r>
        <w:rPr>
          <w:spacing w:val="1"/>
          <w:sz w:val="16"/>
        </w:rPr>
        <w:t xml:space="preserve"> </w:t>
      </w:r>
      <w:r>
        <w:rPr>
          <w:spacing w:val="-1"/>
          <w:sz w:val="16"/>
        </w:rPr>
        <w:t>includes</w:t>
      </w:r>
      <w:r>
        <w:rPr>
          <w:sz w:val="16"/>
        </w:rPr>
        <w:t xml:space="preserve"> </w:t>
      </w:r>
      <w:r>
        <w:rPr>
          <w:spacing w:val="-1"/>
          <w:sz w:val="16"/>
        </w:rPr>
        <w:t>PT</w:t>
      </w:r>
      <w:r>
        <w:rPr>
          <w:spacing w:val="-2"/>
          <w:sz w:val="16"/>
        </w:rPr>
        <w:t xml:space="preserve"> </w:t>
      </w:r>
      <w:r>
        <w:rPr>
          <w:spacing w:val="-1"/>
          <w:sz w:val="16"/>
        </w:rPr>
        <w:t xml:space="preserve">lymphopenia and lymphocyte </w:t>
      </w:r>
      <w:r>
        <w:rPr>
          <w:sz w:val="16"/>
        </w:rPr>
        <w:t>count</w:t>
      </w:r>
      <w:r>
        <w:rPr>
          <w:spacing w:val="-1"/>
          <w:sz w:val="16"/>
        </w:rPr>
        <w:t xml:space="preserve"> decreased</w:t>
      </w:r>
    </w:p>
    <w:p w:rsidR="001423DC" w:rsidRDefault="001423DC" w:rsidP="00AB7A9E"/>
    <w:p w:rsidR="001423DC" w:rsidRDefault="001423DC" w:rsidP="00AB7A9E"/>
    <w:p w:rsidR="00745A94" w:rsidRDefault="00506994" w:rsidP="00AB7A9E">
      <w:pPr>
        <w:ind w:right="520"/>
        <w:rPr>
          <w:rFonts w:eastAsia="Times New Roman"/>
          <w:i/>
          <w:iCs/>
          <w:u w:val="single"/>
        </w:rPr>
      </w:pPr>
      <w:r w:rsidRPr="004273C8">
        <w:rPr>
          <w:rFonts w:eastAsia="Times New Roman"/>
          <w:i/>
          <w:iCs/>
          <w:u w:val="single"/>
        </w:rPr>
        <w:t>Tabulated summary of post-marketing adverse reactions</w:t>
      </w:r>
    </w:p>
    <w:p w:rsidR="00506994" w:rsidRPr="00335062" w:rsidRDefault="00506994" w:rsidP="00AB7A9E">
      <w:pPr>
        <w:ind w:right="520"/>
      </w:pPr>
      <w:r w:rsidRPr="00335062">
        <w:rPr>
          <w:rFonts w:eastAsia="Times New Roman"/>
        </w:rPr>
        <w:t>In addition to the above adverse reactions identified from the pivotal clinical trials, the following table is derived from data gathered from post-marketing data.</w:t>
      </w:r>
    </w:p>
    <w:p w:rsidR="00506994" w:rsidRDefault="00506994" w:rsidP="00AB7A9E">
      <w:pPr>
        <w:rPr>
          <w:rFonts w:eastAsia="Times New Roman"/>
          <w:b/>
          <w:bCs/>
        </w:rPr>
      </w:pPr>
    </w:p>
    <w:p w:rsidR="00506994" w:rsidRPr="00335062" w:rsidRDefault="00506994" w:rsidP="00AB7A9E">
      <w:r w:rsidRPr="00335062">
        <w:rPr>
          <w:rFonts w:eastAsia="Times New Roman"/>
          <w:b/>
          <w:bCs/>
        </w:rPr>
        <w:t xml:space="preserve">Table </w:t>
      </w:r>
      <w:r w:rsidR="001423DC">
        <w:rPr>
          <w:rFonts w:eastAsia="Times New Roman"/>
          <w:b/>
          <w:bCs/>
        </w:rPr>
        <w:t>6</w:t>
      </w:r>
      <w:r w:rsidRPr="00335062">
        <w:rPr>
          <w:rFonts w:eastAsia="Times New Roman"/>
          <w:b/>
          <w:bCs/>
        </w:rPr>
        <w:t>: ADRs reported in post-marketing use in patients treated with lenalidomide</w:t>
      </w:r>
    </w:p>
    <w:tbl>
      <w:tblPr>
        <w:tblW w:w="9498" w:type="dxa"/>
        <w:tblInd w:w="10" w:type="dxa"/>
        <w:tblLayout w:type="fixed"/>
        <w:tblCellMar>
          <w:left w:w="0" w:type="dxa"/>
          <w:right w:w="0" w:type="dxa"/>
        </w:tblCellMar>
        <w:tblLook w:val="04A0" w:firstRow="1" w:lastRow="0" w:firstColumn="1" w:lastColumn="0" w:noHBand="0" w:noVBand="1"/>
      </w:tblPr>
      <w:tblGrid>
        <w:gridCol w:w="2260"/>
        <w:gridCol w:w="100"/>
        <w:gridCol w:w="3169"/>
        <w:gridCol w:w="222"/>
        <w:gridCol w:w="40"/>
        <w:gridCol w:w="446"/>
        <w:gridCol w:w="80"/>
        <w:gridCol w:w="420"/>
        <w:gridCol w:w="620"/>
        <w:gridCol w:w="20"/>
        <w:gridCol w:w="2121"/>
      </w:tblGrid>
      <w:tr w:rsidR="00506994" w:rsidRPr="000E6AA3" w:rsidTr="00970238">
        <w:trPr>
          <w:trHeight w:val="242"/>
          <w:tblHeader/>
        </w:trPr>
        <w:tc>
          <w:tcPr>
            <w:tcW w:w="2260" w:type="dxa"/>
            <w:tcBorders>
              <w:top w:val="single" w:sz="8" w:space="0" w:color="auto"/>
              <w:left w:val="single" w:sz="8" w:space="0" w:color="auto"/>
              <w:right w:val="single" w:sz="8" w:space="0" w:color="auto"/>
            </w:tcBorders>
            <w:vAlign w:val="bottom"/>
          </w:tcPr>
          <w:p w:rsidR="00506994" w:rsidRPr="00E86B71" w:rsidRDefault="00506994" w:rsidP="00AB7A9E">
            <w:pPr>
              <w:rPr>
                <w:b/>
              </w:rPr>
            </w:pPr>
            <w:r w:rsidRPr="00E86B71">
              <w:rPr>
                <w:b/>
              </w:rPr>
              <w:t>System Organ Class</w:t>
            </w:r>
          </w:p>
        </w:tc>
        <w:tc>
          <w:tcPr>
            <w:tcW w:w="100" w:type="dxa"/>
            <w:tcBorders>
              <w:top w:val="single" w:sz="8" w:space="0" w:color="auto"/>
            </w:tcBorders>
            <w:vAlign w:val="bottom"/>
          </w:tcPr>
          <w:p w:rsidR="00506994" w:rsidRPr="00E86B71" w:rsidRDefault="00506994" w:rsidP="00AB7A9E">
            <w:pPr>
              <w:rPr>
                <w:b/>
              </w:rPr>
            </w:pPr>
          </w:p>
        </w:tc>
        <w:tc>
          <w:tcPr>
            <w:tcW w:w="3877" w:type="dxa"/>
            <w:gridSpan w:val="4"/>
            <w:tcBorders>
              <w:top w:val="single" w:sz="8" w:space="0" w:color="auto"/>
              <w:right w:val="single" w:sz="8" w:space="0" w:color="auto"/>
            </w:tcBorders>
            <w:vAlign w:val="bottom"/>
          </w:tcPr>
          <w:p w:rsidR="00506994" w:rsidRPr="00E86B71" w:rsidRDefault="00506994" w:rsidP="00AB7A9E">
            <w:pPr>
              <w:rPr>
                <w:b/>
              </w:rPr>
            </w:pPr>
            <w:r w:rsidRPr="00E86B71">
              <w:rPr>
                <w:b/>
              </w:rPr>
              <w:t>All ADRs/Frequency</w:t>
            </w:r>
          </w:p>
        </w:tc>
        <w:tc>
          <w:tcPr>
            <w:tcW w:w="80" w:type="dxa"/>
            <w:tcBorders>
              <w:top w:val="single" w:sz="8" w:space="0" w:color="auto"/>
            </w:tcBorders>
            <w:vAlign w:val="bottom"/>
          </w:tcPr>
          <w:p w:rsidR="00506994" w:rsidRPr="00E86B71" w:rsidRDefault="00506994" w:rsidP="00AB7A9E">
            <w:pPr>
              <w:rPr>
                <w:b/>
              </w:rPr>
            </w:pPr>
          </w:p>
        </w:tc>
        <w:tc>
          <w:tcPr>
            <w:tcW w:w="3181" w:type="dxa"/>
            <w:gridSpan w:val="4"/>
            <w:tcBorders>
              <w:top w:val="single" w:sz="8" w:space="0" w:color="auto"/>
              <w:right w:val="single" w:sz="8" w:space="0" w:color="auto"/>
            </w:tcBorders>
            <w:vAlign w:val="bottom"/>
          </w:tcPr>
          <w:p w:rsidR="00506994" w:rsidRPr="00E86B71" w:rsidRDefault="00506994" w:rsidP="00AB7A9E">
            <w:pPr>
              <w:rPr>
                <w:b/>
              </w:rPr>
            </w:pPr>
            <w:r w:rsidRPr="00E86B71">
              <w:rPr>
                <w:b/>
              </w:rPr>
              <w:t>Grade 3−4 ADRs/Frequency</w:t>
            </w:r>
          </w:p>
        </w:tc>
      </w:tr>
      <w:tr w:rsidR="00506994" w:rsidRPr="000E6AA3" w:rsidTr="00970238">
        <w:trPr>
          <w:trHeight w:val="255"/>
          <w:tblHeader/>
        </w:trPr>
        <w:tc>
          <w:tcPr>
            <w:tcW w:w="2260" w:type="dxa"/>
            <w:tcBorders>
              <w:left w:val="single" w:sz="8" w:space="0" w:color="auto"/>
              <w:bottom w:val="single" w:sz="4" w:space="0" w:color="auto"/>
              <w:right w:val="single" w:sz="8" w:space="0" w:color="auto"/>
            </w:tcBorders>
            <w:vAlign w:val="bottom"/>
          </w:tcPr>
          <w:p w:rsidR="00506994" w:rsidRPr="00E86B71" w:rsidRDefault="00506994" w:rsidP="00AB7A9E">
            <w:pPr>
              <w:rPr>
                <w:b/>
              </w:rPr>
            </w:pPr>
            <w:r w:rsidRPr="00E86B71">
              <w:rPr>
                <w:b/>
              </w:rPr>
              <w:t>/ Preferred Term</w:t>
            </w:r>
          </w:p>
        </w:tc>
        <w:tc>
          <w:tcPr>
            <w:tcW w:w="100" w:type="dxa"/>
            <w:tcBorders>
              <w:bottom w:val="single" w:sz="4" w:space="0" w:color="auto"/>
            </w:tcBorders>
            <w:vAlign w:val="bottom"/>
          </w:tcPr>
          <w:p w:rsidR="00506994" w:rsidRPr="00E86B71" w:rsidRDefault="00506994" w:rsidP="00AB7A9E">
            <w:pPr>
              <w:rPr>
                <w:b/>
              </w:rPr>
            </w:pPr>
          </w:p>
        </w:tc>
        <w:tc>
          <w:tcPr>
            <w:tcW w:w="3169" w:type="dxa"/>
            <w:tcBorders>
              <w:bottom w:val="single" w:sz="4" w:space="0" w:color="auto"/>
            </w:tcBorders>
            <w:vAlign w:val="bottom"/>
          </w:tcPr>
          <w:p w:rsidR="00506994" w:rsidRPr="00E86B71" w:rsidRDefault="00506994" w:rsidP="00AB7A9E">
            <w:pPr>
              <w:rPr>
                <w:b/>
              </w:rPr>
            </w:pPr>
          </w:p>
        </w:tc>
        <w:tc>
          <w:tcPr>
            <w:tcW w:w="222" w:type="dxa"/>
            <w:tcBorders>
              <w:bottom w:val="single" w:sz="4" w:space="0" w:color="auto"/>
            </w:tcBorders>
            <w:vAlign w:val="bottom"/>
          </w:tcPr>
          <w:p w:rsidR="00506994" w:rsidRPr="00E86B71" w:rsidRDefault="00506994" w:rsidP="00AB7A9E">
            <w:pPr>
              <w:rPr>
                <w:b/>
              </w:rPr>
            </w:pPr>
          </w:p>
        </w:tc>
        <w:tc>
          <w:tcPr>
            <w:tcW w:w="40" w:type="dxa"/>
            <w:tcBorders>
              <w:bottom w:val="single" w:sz="4" w:space="0" w:color="auto"/>
            </w:tcBorders>
            <w:vAlign w:val="bottom"/>
          </w:tcPr>
          <w:p w:rsidR="00506994" w:rsidRPr="00E86B71" w:rsidRDefault="00506994" w:rsidP="00AB7A9E">
            <w:pPr>
              <w:rPr>
                <w:b/>
              </w:rPr>
            </w:pPr>
          </w:p>
        </w:tc>
        <w:tc>
          <w:tcPr>
            <w:tcW w:w="446" w:type="dxa"/>
            <w:tcBorders>
              <w:bottom w:val="single" w:sz="4" w:space="0" w:color="auto"/>
              <w:right w:val="single" w:sz="8" w:space="0" w:color="auto"/>
            </w:tcBorders>
            <w:vAlign w:val="bottom"/>
          </w:tcPr>
          <w:p w:rsidR="00506994" w:rsidRPr="00E86B71" w:rsidRDefault="00506994" w:rsidP="00AB7A9E">
            <w:pPr>
              <w:rPr>
                <w:b/>
              </w:rPr>
            </w:pPr>
          </w:p>
        </w:tc>
        <w:tc>
          <w:tcPr>
            <w:tcW w:w="80" w:type="dxa"/>
            <w:tcBorders>
              <w:bottom w:val="single" w:sz="4" w:space="0" w:color="auto"/>
            </w:tcBorders>
            <w:vAlign w:val="bottom"/>
          </w:tcPr>
          <w:p w:rsidR="00506994" w:rsidRPr="00E86B71" w:rsidRDefault="00506994" w:rsidP="00AB7A9E">
            <w:pPr>
              <w:rPr>
                <w:b/>
              </w:rPr>
            </w:pPr>
          </w:p>
        </w:tc>
        <w:tc>
          <w:tcPr>
            <w:tcW w:w="420" w:type="dxa"/>
            <w:tcBorders>
              <w:bottom w:val="single" w:sz="4" w:space="0" w:color="auto"/>
            </w:tcBorders>
            <w:vAlign w:val="bottom"/>
          </w:tcPr>
          <w:p w:rsidR="00506994" w:rsidRPr="00E86B71" w:rsidRDefault="00506994" w:rsidP="00AB7A9E">
            <w:pPr>
              <w:rPr>
                <w:b/>
              </w:rPr>
            </w:pPr>
          </w:p>
        </w:tc>
        <w:tc>
          <w:tcPr>
            <w:tcW w:w="620" w:type="dxa"/>
            <w:tcBorders>
              <w:bottom w:val="single" w:sz="4" w:space="0" w:color="auto"/>
            </w:tcBorders>
            <w:vAlign w:val="bottom"/>
          </w:tcPr>
          <w:p w:rsidR="00506994" w:rsidRPr="00E86B71" w:rsidRDefault="00506994" w:rsidP="00AB7A9E">
            <w:pPr>
              <w:rPr>
                <w:b/>
              </w:rPr>
            </w:pPr>
          </w:p>
        </w:tc>
        <w:tc>
          <w:tcPr>
            <w:tcW w:w="20" w:type="dxa"/>
            <w:tcBorders>
              <w:bottom w:val="single" w:sz="4" w:space="0" w:color="auto"/>
            </w:tcBorders>
            <w:vAlign w:val="bottom"/>
          </w:tcPr>
          <w:p w:rsidR="00506994" w:rsidRPr="00E86B71" w:rsidRDefault="00506994" w:rsidP="00AB7A9E">
            <w:pPr>
              <w:rPr>
                <w:b/>
              </w:rPr>
            </w:pPr>
          </w:p>
        </w:tc>
        <w:tc>
          <w:tcPr>
            <w:tcW w:w="2121" w:type="dxa"/>
            <w:tcBorders>
              <w:bottom w:val="single" w:sz="4" w:space="0" w:color="auto"/>
              <w:right w:val="single" w:sz="8" w:space="0" w:color="auto"/>
            </w:tcBorders>
            <w:vAlign w:val="bottom"/>
          </w:tcPr>
          <w:p w:rsidR="00506994" w:rsidRPr="00E86B71" w:rsidRDefault="00506994" w:rsidP="00AB7A9E">
            <w:pPr>
              <w:rPr>
                <w:b/>
              </w:rPr>
            </w:pPr>
          </w:p>
        </w:tc>
      </w:tr>
      <w:tr w:rsidR="00506994" w:rsidRPr="000E6AA3" w:rsidTr="00986E84">
        <w:trPr>
          <w:trHeight w:val="214"/>
        </w:trPr>
        <w:tc>
          <w:tcPr>
            <w:tcW w:w="2260" w:type="dxa"/>
            <w:tcBorders>
              <w:top w:val="single" w:sz="4" w:space="0" w:color="auto"/>
              <w:left w:val="single" w:sz="8" w:space="0" w:color="auto"/>
              <w:bottom w:val="single" w:sz="4" w:space="0" w:color="auto"/>
              <w:right w:val="single" w:sz="8" w:space="0" w:color="auto"/>
            </w:tcBorders>
          </w:tcPr>
          <w:p w:rsidR="00506994" w:rsidRPr="00E86B71" w:rsidRDefault="00506994" w:rsidP="00986E84">
            <w:pPr>
              <w:rPr>
                <w:b/>
              </w:rPr>
            </w:pPr>
            <w:r w:rsidRPr="002C71E4">
              <w:rPr>
                <w:b/>
              </w:rPr>
              <w:t>Infections and Infestations</w:t>
            </w:r>
          </w:p>
        </w:tc>
        <w:tc>
          <w:tcPr>
            <w:tcW w:w="100" w:type="dxa"/>
            <w:tcBorders>
              <w:top w:val="single" w:sz="4" w:space="0" w:color="auto"/>
              <w:bottom w:val="single" w:sz="4" w:space="0" w:color="auto"/>
            </w:tcBorders>
            <w:vAlign w:val="bottom"/>
          </w:tcPr>
          <w:p w:rsidR="00506994" w:rsidRPr="002C71E4" w:rsidRDefault="00506994" w:rsidP="00AB7A9E">
            <w:pPr>
              <w:rPr>
                <w:u w:val="single"/>
              </w:rPr>
            </w:pPr>
          </w:p>
        </w:tc>
        <w:tc>
          <w:tcPr>
            <w:tcW w:w="3169" w:type="dxa"/>
            <w:tcBorders>
              <w:top w:val="single" w:sz="4" w:space="0" w:color="auto"/>
              <w:bottom w:val="single" w:sz="4" w:space="0" w:color="auto"/>
            </w:tcBorders>
            <w:vAlign w:val="bottom"/>
          </w:tcPr>
          <w:p w:rsidR="00506994" w:rsidRPr="002C71E4" w:rsidRDefault="00506994" w:rsidP="00AB7A9E">
            <w:pPr>
              <w:rPr>
                <w:u w:val="single"/>
              </w:rPr>
            </w:pPr>
            <w:r w:rsidRPr="002C71E4">
              <w:rPr>
                <w:u w:val="single"/>
              </w:rPr>
              <w:t>Not known</w:t>
            </w:r>
          </w:p>
          <w:p w:rsidR="00506994" w:rsidRPr="002C71E4" w:rsidRDefault="00506994" w:rsidP="00AB7A9E">
            <w:r w:rsidRPr="002C71E4">
              <w:t>Viral infection, including herpes zoster and hepatitis B virus reactivation</w:t>
            </w:r>
          </w:p>
        </w:tc>
        <w:tc>
          <w:tcPr>
            <w:tcW w:w="222" w:type="dxa"/>
            <w:tcBorders>
              <w:top w:val="single" w:sz="4" w:space="0" w:color="auto"/>
              <w:bottom w:val="single" w:sz="4" w:space="0" w:color="auto"/>
            </w:tcBorders>
            <w:vAlign w:val="bottom"/>
          </w:tcPr>
          <w:p w:rsidR="00506994" w:rsidRPr="000E6AA3" w:rsidRDefault="00506994" w:rsidP="00AB7A9E"/>
        </w:tc>
        <w:tc>
          <w:tcPr>
            <w:tcW w:w="40" w:type="dxa"/>
            <w:tcBorders>
              <w:top w:val="single" w:sz="4" w:space="0" w:color="auto"/>
              <w:bottom w:val="single" w:sz="4" w:space="0" w:color="auto"/>
            </w:tcBorders>
            <w:vAlign w:val="bottom"/>
          </w:tcPr>
          <w:p w:rsidR="00506994" w:rsidRPr="000E6AA3" w:rsidRDefault="00506994" w:rsidP="00AB7A9E"/>
        </w:tc>
        <w:tc>
          <w:tcPr>
            <w:tcW w:w="446" w:type="dxa"/>
            <w:tcBorders>
              <w:top w:val="single" w:sz="4" w:space="0" w:color="auto"/>
              <w:bottom w:val="single" w:sz="4" w:space="0" w:color="auto"/>
              <w:right w:val="single" w:sz="8" w:space="0" w:color="auto"/>
            </w:tcBorders>
            <w:vAlign w:val="bottom"/>
          </w:tcPr>
          <w:p w:rsidR="00506994" w:rsidRPr="000E6AA3" w:rsidRDefault="00506994" w:rsidP="00AB7A9E">
            <w:pPr>
              <w:rPr>
                <w:u w:val="single"/>
              </w:rPr>
            </w:pPr>
          </w:p>
        </w:tc>
        <w:tc>
          <w:tcPr>
            <w:tcW w:w="80" w:type="dxa"/>
            <w:tcBorders>
              <w:top w:val="single" w:sz="4" w:space="0" w:color="auto"/>
              <w:bottom w:val="single" w:sz="4" w:space="0" w:color="auto"/>
            </w:tcBorders>
          </w:tcPr>
          <w:p w:rsidR="00506994" w:rsidRPr="000E6AA3" w:rsidRDefault="00506994" w:rsidP="00CA12F4">
            <w:pPr>
              <w:rPr>
                <w:u w:val="single"/>
              </w:rPr>
            </w:pPr>
          </w:p>
        </w:tc>
        <w:tc>
          <w:tcPr>
            <w:tcW w:w="3181" w:type="dxa"/>
            <w:gridSpan w:val="4"/>
            <w:tcBorders>
              <w:top w:val="single" w:sz="4" w:space="0" w:color="auto"/>
              <w:bottom w:val="single" w:sz="4" w:space="0" w:color="auto"/>
              <w:right w:val="single" w:sz="8" w:space="0" w:color="auto"/>
            </w:tcBorders>
          </w:tcPr>
          <w:p w:rsidR="00492E23" w:rsidRPr="00492E23" w:rsidRDefault="00EE3678" w:rsidP="00CA12F4">
            <w:pPr>
              <w:rPr>
                <w:u w:val="single"/>
              </w:rPr>
            </w:pPr>
            <w:r w:rsidRPr="00EE3678">
              <w:rPr>
                <w:u w:val="single"/>
              </w:rPr>
              <w:t xml:space="preserve">Not known </w:t>
            </w:r>
          </w:p>
          <w:p w:rsidR="00506994" w:rsidRPr="000E6AA3" w:rsidRDefault="00E914AB" w:rsidP="00CA12F4">
            <w:pPr>
              <w:rPr>
                <w:u w:val="single"/>
              </w:rPr>
            </w:pPr>
            <w:r>
              <w:t>Viral infections, including herpes zoster and hepatitis B virus reactivation</w:t>
            </w:r>
          </w:p>
        </w:tc>
      </w:tr>
      <w:tr w:rsidR="00986E84" w:rsidRPr="000E6AA3" w:rsidTr="00847F91">
        <w:trPr>
          <w:trHeight w:val="214"/>
        </w:trPr>
        <w:tc>
          <w:tcPr>
            <w:tcW w:w="2260" w:type="dxa"/>
            <w:vMerge w:val="restart"/>
            <w:tcBorders>
              <w:top w:val="single" w:sz="4" w:space="0" w:color="auto"/>
              <w:left w:val="single" w:sz="8" w:space="0" w:color="auto"/>
              <w:right w:val="single" w:sz="8" w:space="0" w:color="auto"/>
            </w:tcBorders>
            <w:vAlign w:val="bottom"/>
          </w:tcPr>
          <w:p w:rsidR="00986E84" w:rsidRPr="00E86B71" w:rsidRDefault="00986E84" w:rsidP="00AB7A9E">
            <w:pPr>
              <w:rPr>
                <w:b/>
              </w:rPr>
            </w:pPr>
            <w:r w:rsidRPr="00E86B71">
              <w:rPr>
                <w:b/>
              </w:rPr>
              <w:t>Neoplasms Benign,</w:t>
            </w:r>
          </w:p>
          <w:p w:rsidR="00986E84" w:rsidRPr="00E86B71" w:rsidRDefault="00986E84" w:rsidP="00AB7A9E">
            <w:pPr>
              <w:rPr>
                <w:b/>
              </w:rPr>
            </w:pPr>
            <w:r w:rsidRPr="00E86B71">
              <w:rPr>
                <w:b/>
              </w:rPr>
              <w:t>Malignant and</w:t>
            </w:r>
          </w:p>
          <w:p w:rsidR="00986E84" w:rsidRPr="00E86B71" w:rsidRDefault="00986E84" w:rsidP="00AB7A9E">
            <w:pPr>
              <w:rPr>
                <w:b/>
              </w:rPr>
            </w:pPr>
            <w:r w:rsidRPr="00E86B71">
              <w:rPr>
                <w:b/>
              </w:rPr>
              <w:t>Unspecified (incl</w:t>
            </w:r>
          </w:p>
          <w:p w:rsidR="00986E84" w:rsidRPr="00E86B71" w:rsidRDefault="00986E84" w:rsidP="00AB7A9E">
            <w:pPr>
              <w:rPr>
                <w:b/>
              </w:rPr>
            </w:pPr>
            <w:r w:rsidRPr="00E86B71">
              <w:rPr>
                <w:b/>
              </w:rPr>
              <w:t>cysts and polyps)</w:t>
            </w:r>
          </w:p>
        </w:tc>
        <w:tc>
          <w:tcPr>
            <w:tcW w:w="100" w:type="dxa"/>
            <w:tcBorders>
              <w:top w:val="single" w:sz="4" w:space="0" w:color="auto"/>
            </w:tcBorders>
            <w:vAlign w:val="bottom"/>
          </w:tcPr>
          <w:p w:rsidR="00986E84" w:rsidRPr="000E6AA3" w:rsidRDefault="00986E84" w:rsidP="00AB7A9E"/>
        </w:tc>
        <w:tc>
          <w:tcPr>
            <w:tcW w:w="3169" w:type="dxa"/>
            <w:tcBorders>
              <w:top w:val="single" w:sz="4" w:space="0" w:color="auto"/>
            </w:tcBorders>
            <w:vAlign w:val="bottom"/>
          </w:tcPr>
          <w:p w:rsidR="00986E84" w:rsidRPr="000E6AA3" w:rsidRDefault="00986E84" w:rsidP="00AB7A9E"/>
        </w:tc>
        <w:tc>
          <w:tcPr>
            <w:tcW w:w="222" w:type="dxa"/>
            <w:tcBorders>
              <w:top w:val="single" w:sz="4" w:space="0" w:color="auto"/>
            </w:tcBorders>
            <w:vAlign w:val="bottom"/>
          </w:tcPr>
          <w:p w:rsidR="00986E84" w:rsidRPr="000E6AA3" w:rsidRDefault="00986E84" w:rsidP="00AB7A9E"/>
        </w:tc>
        <w:tc>
          <w:tcPr>
            <w:tcW w:w="40" w:type="dxa"/>
            <w:tcBorders>
              <w:top w:val="single" w:sz="4" w:space="0" w:color="auto"/>
            </w:tcBorders>
            <w:vAlign w:val="bottom"/>
          </w:tcPr>
          <w:p w:rsidR="00986E84" w:rsidRPr="000E6AA3" w:rsidRDefault="00986E84" w:rsidP="00AB7A9E"/>
        </w:tc>
        <w:tc>
          <w:tcPr>
            <w:tcW w:w="446" w:type="dxa"/>
            <w:tcBorders>
              <w:top w:val="single" w:sz="4" w:space="0" w:color="auto"/>
              <w:right w:val="single" w:sz="8" w:space="0" w:color="auto"/>
            </w:tcBorders>
            <w:vAlign w:val="bottom"/>
          </w:tcPr>
          <w:p w:rsidR="00986E84" w:rsidRPr="000E6AA3" w:rsidRDefault="00986E84" w:rsidP="00AB7A9E">
            <w:pPr>
              <w:rPr>
                <w:u w:val="single"/>
              </w:rPr>
            </w:pPr>
          </w:p>
        </w:tc>
        <w:tc>
          <w:tcPr>
            <w:tcW w:w="80" w:type="dxa"/>
            <w:tcBorders>
              <w:top w:val="single" w:sz="4" w:space="0" w:color="auto"/>
            </w:tcBorders>
            <w:vAlign w:val="bottom"/>
          </w:tcPr>
          <w:p w:rsidR="00986E84" w:rsidRPr="000E6AA3" w:rsidRDefault="00986E84" w:rsidP="00AB7A9E">
            <w:pPr>
              <w:rPr>
                <w:u w:val="single"/>
              </w:rPr>
            </w:pPr>
          </w:p>
        </w:tc>
        <w:tc>
          <w:tcPr>
            <w:tcW w:w="3181" w:type="dxa"/>
            <w:gridSpan w:val="4"/>
            <w:tcBorders>
              <w:top w:val="single" w:sz="4" w:space="0" w:color="auto"/>
              <w:right w:val="single" w:sz="8" w:space="0" w:color="auto"/>
            </w:tcBorders>
            <w:vAlign w:val="bottom"/>
          </w:tcPr>
          <w:p w:rsidR="00986E84" w:rsidRPr="000E6AA3" w:rsidRDefault="00986E84" w:rsidP="00AB7A9E">
            <w:pPr>
              <w:rPr>
                <w:u w:val="single"/>
              </w:rPr>
            </w:pPr>
            <w:r w:rsidRPr="000E6AA3">
              <w:rPr>
                <w:u w:val="single"/>
              </w:rPr>
              <w:t>Rare</w:t>
            </w:r>
          </w:p>
        </w:tc>
      </w:tr>
      <w:tr w:rsidR="00986E84" w:rsidRPr="000E6AA3" w:rsidTr="00847F91">
        <w:trPr>
          <w:trHeight w:val="261"/>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3181" w:type="dxa"/>
            <w:gridSpan w:val="4"/>
            <w:tcBorders>
              <w:right w:val="single" w:sz="8" w:space="0" w:color="auto"/>
            </w:tcBorders>
            <w:vAlign w:val="bottom"/>
          </w:tcPr>
          <w:p w:rsidR="00986E84" w:rsidRPr="000E6AA3" w:rsidRDefault="00986E84" w:rsidP="00AB7A9E">
            <w:r w:rsidRPr="000E6AA3">
              <w:t>Tumour lysis syndrome</w:t>
            </w:r>
          </w:p>
        </w:tc>
      </w:tr>
      <w:tr w:rsidR="00986E84" w:rsidRPr="000E6AA3" w:rsidTr="00847F91">
        <w:trPr>
          <w:trHeight w:val="252"/>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420" w:type="dxa"/>
            <w:vAlign w:val="bottom"/>
          </w:tcPr>
          <w:p w:rsidR="00986E84" w:rsidRPr="000E6AA3" w:rsidRDefault="00986E84" w:rsidP="00AB7A9E"/>
        </w:tc>
        <w:tc>
          <w:tcPr>
            <w:tcW w:w="620" w:type="dxa"/>
            <w:vAlign w:val="bottom"/>
          </w:tcPr>
          <w:p w:rsidR="00986E84" w:rsidRPr="000E6AA3" w:rsidRDefault="00986E84" w:rsidP="00AB7A9E"/>
        </w:tc>
        <w:tc>
          <w:tcPr>
            <w:tcW w:w="20" w:type="dxa"/>
            <w:vAlign w:val="bottom"/>
          </w:tcPr>
          <w:p w:rsidR="00986E84" w:rsidRPr="000E6AA3" w:rsidRDefault="00986E84" w:rsidP="00AB7A9E"/>
        </w:tc>
        <w:tc>
          <w:tcPr>
            <w:tcW w:w="2121" w:type="dxa"/>
            <w:tcBorders>
              <w:right w:val="single" w:sz="8" w:space="0" w:color="auto"/>
            </w:tcBorders>
            <w:vAlign w:val="bottom"/>
          </w:tcPr>
          <w:p w:rsidR="00986E84" w:rsidRPr="000E6AA3" w:rsidRDefault="00986E84" w:rsidP="00AB7A9E"/>
        </w:tc>
      </w:tr>
      <w:tr w:rsidR="00986E84" w:rsidRPr="000E6AA3" w:rsidTr="00847F91">
        <w:trPr>
          <w:trHeight w:val="254"/>
        </w:trPr>
        <w:tc>
          <w:tcPr>
            <w:tcW w:w="2260" w:type="dxa"/>
            <w:vMerge/>
            <w:tcBorders>
              <w:left w:val="single" w:sz="8" w:space="0" w:color="auto"/>
              <w:bottom w:val="single" w:sz="4" w:space="0" w:color="auto"/>
              <w:right w:val="single" w:sz="8" w:space="0" w:color="auto"/>
            </w:tcBorders>
            <w:vAlign w:val="bottom"/>
          </w:tcPr>
          <w:p w:rsidR="00986E84" w:rsidRPr="00E86B71" w:rsidRDefault="00986E84" w:rsidP="00AB7A9E">
            <w:pPr>
              <w:rPr>
                <w:b/>
              </w:rPr>
            </w:pPr>
          </w:p>
        </w:tc>
        <w:tc>
          <w:tcPr>
            <w:tcW w:w="100" w:type="dxa"/>
            <w:tcBorders>
              <w:bottom w:val="single" w:sz="4" w:space="0" w:color="auto"/>
            </w:tcBorders>
            <w:vAlign w:val="bottom"/>
          </w:tcPr>
          <w:p w:rsidR="00986E84" w:rsidRPr="000E6AA3" w:rsidRDefault="00986E84" w:rsidP="00AB7A9E"/>
        </w:tc>
        <w:tc>
          <w:tcPr>
            <w:tcW w:w="3169" w:type="dxa"/>
            <w:tcBorders>
              <w:bottom w:val="single" w:sz="4" w:space="0" w:color="auto"/>
            </w:tcBorders>
            <w:vAlign w:val="bottom"/>
          </w:tcPr>
          <w:p w:rsidR="00986E84" w:rsidRPr="000E6AA3" w:rsidRDefault="00986E84" w:rsidP="00AB7A9E"/>
        </w:tc>
        <w:tc>
          <w:tcPr>
            <w:tcW w:w="222" w:type="dxa"/>
            <w:tcBorders>
              <w:bottom w:val="single" w:sz="4" w:space="0" w:color="auto"/>
            </w:tcBorders>
            <w:vAlign w:val="bottom"/>
          </w:tcPr>
          <w:p w:rsidR="00986E84" w:rsidRPr="000E6AA3" w:rsidRDefault="00986E84" w:rsidP="00AB7A9E"/>
        </w:tc>
        <w:tc>
          <w:tcPr>
            <w:tcW w:w="40" w:type="dxa"/>
            <w:tcBorders>
              <w:bottom w:val="single" w:sz="4" w:space="0" w:color="auto"/>
            </w:tcBorders>
            <w:vAlign w:val="bottom"/>
          </w:tcPr>
          <w:p w:rsidR="00986E84" w:rsidRPr="000E6AA3" w:rsidRDefault="00986E84" w:rsidP="00AB7A9E"/>
        </w:tc>
        <w:tc>
          <w:tcPr>
            <w:tcW w:w="446" w:type="dxa"/>
            <w:tcBorders>
              <w:bottom w:val="single" w:sz="4" w:space="0" w:color="auto"/>
              <w:right w:val="single" w:sz="8" w:space="0" w:color="auto"/>
            </w:tcBorders>
            <w:vAlign w:val="bottom"/>
          </w:tcPr>
          <w:p w:rsidR="00986E84" w:rsidRPr="000E6AA3" w:rsidRDefault="00986E84" w:rsidP="00AB7A9E"/>
        </w:tc>
        <w:tc>
          <w:tcPr>
            <w:tcW w:w="80" w:type="dxa"/>
            <w:tcBorders>
              <w:bottom w:val="single" w:sz="4" w:space="0" w:color="auto"/>
            </w:tcBorders>
            <w:vAlign w:val="bottom"/>
          </w:tcPr>
          <w:p w:rsidR="00986E84" w:rsidRPr="000E6AA3" w:rsidRDefault="00986E84" w:rsidP="00AB7A9E"/>
        </w:tc>
        <w:tc>
          <w:tcPr>
            <w:tcW w:w="420" w:type="dxa"/>
            <w:tcBorders>
              <w:bottom w:val="single" w:sz="4" w:space="0" w:color="auto"/>
            </w:tcBorders>
            <w:vAlign w:val="bottom"/>
          </w:tcPr>
          <w:p w:rsidR="00986E84" w:rsidRPr="000E6AA3" w:rsidRDefault="00986E84" w:rsidP="00AB7A9E"/>
        </w:tc>
        <w:tc>
          <w:tcPr>
            <w:tcW w:w="620" w:type="dxa"/>
            <w:tcBorders>
              <w:bottom w:val="single" w:sz="4" w:space="0" w:color="auto"/>
            </w:tcBorders>
            <w:vAlign w:val="bottom"/>
          </w:tcPr>
          <w:p w:rsidR="00986E84" w:rsidRPr="000E6AA3" w:rsidRDefault="00986E84" w:rsidP="00AB7A9E"/>
        </w:tc>
        <w:tc>
          <w:tcPr>
            <w:tcW w:w="20" w:type="dxa"/>
            <w:tcBorders>
              <w:bottom w:val="single" w:sz="4" w:space="0" w:color="auto"/>
            </w:tcBorders>
            <w:vAlign w:val="bottom"/>
          </w:tcPr>
          <w:p w:rsidR="00986E84" w:rsidRPr="000E6AA3" w:rsidRDefault="00986E84" w:rsidP="00AB7A9E"/>
        </w:tc>
        <w:tc>
          <w:tcPr>
            <w:tcW w:w="2121" w:type="dxa"/>
            <w:tcBorders>
              <w:bottom w:val="single" w:sz="4" w:space="0" w:color="auto"/>
              <w:right w:val="single" w:sz="4" w:space="0" w:color="auto"/>
            </w:tcBorders>
            <w:vAlign w:val="bottom"/>
          </w:tcPr>
          <w:p w:rsidR="00986E84" w:rsidRPr="000E6AA3" w:rsidRDefault="00986E84" w:rsidP="00AB7A9E"/>
        </w:tc>
      </w:tr>
      <w:tr w:rsidR="00132C7D" w:rsidRPr="000E6AA3" w:rsidTr="004A3A6C">
        <w:trPr>
          <w:trHeight w:val="215"/>
        </w:trPr>
        <w:tc>
          <w:tcPr>
            <w:tcW w:w="2260" w:type="dxa"/>
            <w:tcBorders>
              <w:top w:val="single" w:sz="4" w:space="0" w:color="auto"/>
              <w:left w:val="single" w:sz="4" w:space="0" w:color="auto"/>
              <w:right w:val="single" w:sz="4" w:space="0" w:color="auto"/>
            </w:tcBorders>
          </w:tcPr>
          <w:p w:rsidR="00132C7D" w:rsidRPr="00E86B71" w:rsidRDefault="00132C7D" w:rsidP="00986E84">
            <w:pPr>
              <w:rPr>
                <w:b/>
              </w:rPr>
            </w:pPr>
            <w:r>
              <w:rPr>
                <w:b/>
              </w:rPr>
              <w:t>Immune System Disorders</w:t>
            </w:r>
          </w:p>
        </w:tc>
        <w:tc>
          <w:tcPr>
            <w:tcW w:w="3977" w:type="dxa"/>
            <w:gridSpan w:val="5"/>
            <w:tcBorders>
              <w:top w:val="single" w:sz="4" w:space="0" w:color="auto"/>
              <w:left w:val="single" w:sz="4" w:space="0" w:color="auto"/>
              <w:right w:val="single" w:sz="4" w:space="0" w:color="auto"/>
            </w:tcBorders>
          </w:tcPr>
          <w:p w:rsidR="00132C7D" w:rsidRDefault="00132C7D" w:rsidP="00993DBF">
            <w:pPr>
              <w:ind w:right="-204" w:firstLine="150"/>
              <w:rPr>
                <w:u w:val="single"/>
              </w:rPr>
            </w:pPr>
            <w:r>
              <w:rPr>
                <w:u w:val="single"/>
              </w:rPr>
              <w:t>Rare</w:t>
            </w:r>
          </w:p>
          <w:p w:rsidR="00132C7D" w:rsidRPr="004A3A6C" w:rsidRDefault="00132C7D" w:rsidP="00993DBF">
            <w:pPr>
              <w:ind w:right="-204" w:firstLine="150"/>
            </w:pPr>
            <w:r>
              <w:t>Anaphylactic reaction</w:t>
            </w:r>
            <w:r w:rsidRPr="000E6AA3">
              <w:t>^</w:t>
            </w:r>
          </w:p>
          <w:p w:rsidR="00132C7D" w:rsidRDefault="00132C7D" w:rsidP="00993DBF">
            <w:pPr>
              <w:ind w:right="-204" w:firstLine="150"/>
              <w:rPr>
                <w:u w:val="single"/>
              </w:rPr>
            </w:pPr>
          </w:p>
          <w:p w:rsidR="00132C7D" w:rsidRPr="001F4BC4" w:rsidRDefault="00132C7D" w:rsidP="00993DBF">
            <w:pPr>
              <w:ind w:right="-204" w:firstLine="150"/>
              <w:rPr>
                <w:u w:val="single"/>
              </w:rPr>
            </w:pPr>
            <w:r w:rsidRPr="001F4BC4">
              <w:rPr>
                <w:u w:val="single"/>
              </w:rPr>
              <w:t>Not known</w:t>
            </w:r>
          </w:p>
          <w:p w:rsidR="00132C7D" w:rsidRPr="001F4BC4" w:rsidRDefault="00132C7D" w:rsidP="00993DBF">
            <w:pPr>
              <w:ind w:right="-204" w:firstLine="150"/>
            </w:pPr>
            <w:r w:rsidRPr="008A0979">
              <w:t>Solid organ transplant rejection</w:t>
            </w:r>
          </w:p>
        </w:tc>
        <w:tc>
          <w:tcPr>
            <w:tcW w:w="80" w:type="dxa"/>
            <w:tcBorders>
              <w:top w:val="single" w:sz="4" w:space="0" w:color="auto"/>
              <w:left w:val="single" w:sz="4" w:space="0" w:color="auto"/>
            </w:tcBorders>
            <w:vAlign w:val="bottom"/>
          </w:tcPr>
          <w:p w:rsidR="00132C7D" w:rsidRPr="000E6AA3" w:rsidRDefault="00132C7D" w:rsidP="00AB7A9E"/>
        </w:tc>
        <w:tc>
          <w:tcPr>
            <w:tcW w:w="3181" w:type="dxa"/>
            <w:gridSpan w:val="4"/>
            <w:tcBorders>
              <w:top w:val="single" w:sz="4" w:space="0" w:color="auto"/>
              <w:right w:val="single" w:sz="4" w:space="0" w:color="auto"/>
            </w:tcBorders>
          </w:tcPr>
          <w:p w:rsidR="00132C7D" w:rsidRDefault="00132C7D" w:rsidP="00132C7D">
            <w:pPr>
              <w:ind w:right="-204" w:firstLine="49"/>
              <w:rPr>
                <w:u w:val="single"/>
              </w:rPr>
            </w:pPr>
            <w:r>
              <w:rPr>
                <w:u w:val="single"/>
              </w:rPr>
              <w:t>Rare</w:t>
            </w:r>
          </w:p>
          <w:p w:rsidR="00132C7D" w:rsidRPr="00AE0488" w:rsidRDefault="00132C7D" w:rsidP="00132C7D">
            <w:pPr>
              <w:ind w:right="-204" w:firstLine="49"/>
            </w:pPr>
            <w:r>
              <w:t>Anaphylactic reaction</w:t>
            </w:r>
            <w:r w:rsidRPr="000E6AA3">
              <w:t>^</w:t>
            </w:r>
          </w:p>
          <w:p w:rsidR="00132C7D" w:rsidRPr="000E6AA3" w:rsidRDefault="00132C7D" w:rsidP="00132C7D"/>
        </w:tc>
      </w:tr>
      <w:tr w:rsidR="00CA12F4" w:rsidRPr="000E6AA3" w:rsidTr="00CA12F4">
        <w:trPr>
          <w:trHeight w:val="215"/>
        </w:trPr>
        <w:tc>
          <w:tcPr>
            <w:tcW w:w="2260" w:type="dxa"/>
            <w:tcBorders>
              <w:top w:val="single" w:sz="4" w:space="0" w:color="auto"/>
              <w:left w:val="single" w:sz="4" w:space="0" w:color="auto"/>
              <w:right w:val="single" w:sz="4" w:space="0" w:color="auto"/>
            </w:tcBorders>
            <w:vAlign w:val="bottom"/>
          </w:tcPr>
          <w:p w:rsidR="00CA12F4" w:rsidRPr="00E86B71" w:rsidRDefault="00CA12F4" w:rsidP="00AB7A9E">
            <w:pPr>
              <w:rPr>
                <w:b/>
              </w:rPr>
            </w:pPr>
            <w:r w:rsidRPr="00E86B71">
              <w:rPr>
                <w:b/>
              </w:rPr>
              <w:t>Blood and</w:t>
            </w:r>
          </w:p>
        </w:tc>
        <w:tc>
          <w:tcPr>
            <w:tcW w:w="3977" w:type="dxa"/>
            <w:gridSpan w:val="5"/>
            <w:vMerge w:val="restart"/>
            <w:tcBorders>
              <w:top w:val="single" w:sz="4" w:space="0" w:color="auto"/>
              <w:left w:val="single" w:sz="4" w:space="0" w:color="auto"/>
              <w:right w:val="single" w:sz="4" w:space="0" w:color="auto"/>
            </w:tcBorders>
          </w:tcPr>
          <w:p w:rsidR="00CA12F4" w:rsidRPr="002C71E4" w:rsidRDefault="00CA12F4" w:rsidP="00993DBF">
            <w:pPr>
              <w:ind w:right="-204" w:firstLine="150"/>
              <w:rPr>
                <w:u w:val="single"/>
              </w:rPr>
            </w:pPr>
            <w:r w:rsidRPr="002C71E4">
              <w:rPr>
                <w:u w:val="single"/>
              </w:rPr>
              <w:t>Not known</w:t>
            </w:r>
          </w:p>
          <w:p w:rsidR="00CA12F4" w:rsidRPr="000E6AA3" w:rsidRDefault="00CA12F4" w:rsidP="00993DBF">
            <w:pPr>
              <w:ind w:firstLine="150"/>
            </w:pPr>
            <w:r w:rsidRPr="000E6AA3">
              <w:t>Acquired haemophilia</w:t>
            </w:r>
          </w:p>
        </w:tc>
        <w:tc>
          <w:tcPr>
            <w:tcW w:w="80" w:type="dxa"/>
            <w:tcBorders>
              <w:top w:val="single" w:sz="4" w:space="0" w:color="auto"/>
              <w:left w:val="single" w:sz="4" w:space="0" w:color="auto"/>
            </w:tcBorders>
            <w:vAlign w:val="bottom"/>
          </w:tcPr>
          <w:p w:rsidR="00CA12F4" w:rsidRPr="000E6AA3" w:rsidRDefault="00CA12F4" w:rsidP="00AB7A9E"/>
        </w:tc>
        <w:tc>
          <w:tcPr>
            <w:tcW w:w="420" w:type="dxa"/>
            <w:tcBorders>
              <w:top w:val="single" w:sz="4" w:space="0" w:color="auto"/>
            </w:tcBorders>
            <w:vAlign w:val="bottom"/>
          </w:tcPr>
          <w:p w:rsidR="00CA12F4" w:rsidRPr="000E6AA3" w:rsidRDefault="00CA12F4" w:rsidP="00AB7A9E"/>
        </w:tc>
        <w:tc>
          <w:tcPr>
            <w:tcW w:w="620" w:type="dxa"/>
            <w:tcBorders>
              <w:top w:val="single" w:sz="4" w:space="0" w:color="auto"/>
            </w:tcBorders>
            <w:vAlign w:val="bottom"/>
          </w:tcPr>
          <w:p w:rsidR="00CA12F4" w:rsidRPr="000E6AA3" w:rsidRDefault="00CA12F4" w:rsidP="00AB7A9E"/>
        </w:tc>
        <w:tc>
          <w:tcPr>
            <w:tcW w:w="20" w:type="dxa"/>
            <w:tcBorders>
              <w:top w:val="single" w:sz="4" w:space="0" w:color="auto"/>
            </w:tcBorders>
            <w:vAlign w:val="bottom"/>
          </w:tcPr>
          <w:p w:rsidR="00CA12F4" w:rsidRPr="000E6AA3" w:rsidRDefault="00CA12F4" w:rsidP="00AB7A9E"/>
        </w:tc>
        <w:tc>
          <w:tcPr>
            <w:tcW w:w="2121" w:type="dxa"/>
            <w:tcBorders>
              <w:top w:val="single" w:sz="4" w:space="0" w:color="auto"/>
              <w:right w:val="single" w:sz="4" w:space="0" w:color="auto"/>
            </w:tcBorders>
            <w:vAlign w:val="bottom"/>
          </w:tcPr>
          <w:p w:rsidR="00CA12F4" w:rsidRPr="000E6AA3" w:rsidRDefault="00CA12F4" w:rsidP="00AB7A9E"/>
        </w:tc>
      </w:tr>
      <w:tr w:rsidR="00CA12F4" w:rsidRPr="000E6AA3" w:rsidTr="002331C8">
        <w:trPr>
          <w:trHeight w:val="259"/>
        </w:trPr>
        <w:tc>
          <w:tcPr>
            <w:tcW w:w="2260" w:type="dxa"/>
            <w:tcBorders>
              <w:left w:val="single" w:sz="4" w:space="0" w:color="auto"/>
              <w:bottom w:val="single" w:sz="4" w:space="0" w:color="auto"/>
              <w:right w:val="single" w:sz="4" w:space="0" w:color="auto"/>
            </w:tcBorders>
            <w:vAlign w:val="bottom"/>
          </w:tcPr>
          <w:p w:rsidR="00CA12F4" w:rsidRDefault="00CA12F4" w:rsidP="00AB7A9E">
            <w:pPr>
              <w:rPr>
                <w:b/>
              </w:rPr>
            </w:pPr>
            <w:r w:rsidRPr="00E86B71">
              <w:rPr>
                <w:b/>
              </w:rPr>
              <w:t>Lymphatic</w:t>
            </w:r>
          </w:p>
          <w:p w:rsidR="00CA12F4" w:rsidRPr="00E86B71" w:rsidRDefault="00CA12F4" w:rsidP="00AB7A9E">
            <w:pPr>
              <w:rPr>
                <w:b/>
              </w:rPr>
            </w:pPr>
            <w:r>
              <w:rPr>
                <w:b/>
              </w:rPr>
              <w:t>System Disorders</w:t>
            </w:r>
          </w:p>
        </w:tc>
        <w:tc>
          <w:tcPr>
            <w:tcW w:w="3977" w:type="dxa"/>
            <w:gridSpan w:val="5"/>
            <w:vMerge/>
            <w:tcBorders>
              <w:left w:val="single" w:sz="4" w:space="0" w:color="auto"/>
              <w:bottom w:val="single" w:sz="4" w:space="0" w:color="auto"/>
              <w:right w:val="single" w:sz="4" w:space="0" w:color="auto"/>
            </w:tcBorders>
            <w:vAlign w:val="bottom"/>
          </w:tcPr>
          <w:p w:rsidR="00CA12F4" w:rsidRPr="000E6AA3" w:rsidRDefault="00CA12F4" w:rsidP="00AB7A9E"/>
        </w:tc>
        <w:tc>
          <w:tcPr>
            <w:tcW w:w="80" w:type="dxa"/>
            <w:tcBorders>
              <w:left w:val="single" w:sz="4" w:space="0" w:color="auto"/>
              <w:bottom w:val="single" w:sz="4" w:space="0" w:color="auto"/>
            </w:tcBorders>
            <w:vAlign w:val="bottom"/>
          </w:tcPr>
          <w:p w:rsidR="00CA12F4" w:rsidRPr="000E6AA3" w:rsidRDefault="00CA12F4" w:rsidP="00AB7A9E"/>
        </w:tc>
        <w:tc>
          <w:tcPr>
            <w:tcW w:w="420" w:type="dxa"/>
            <w:tcBorders>
              <w:bottom w:val="single" w:sz="4" w:space="0" w:color="auto"/>
            </w:tcBorders>
            <w:vAlign w:val="bottom"/>
          </w:tcPr>
          <w:p w:rsidR="00CA12F4" w:rsidRPr="000E6AA3" w:rsidRDefault="00CA12F4" w:rsidP="00AB7A9E"/>
        </w:tc>
        <w:tc>
          <w:tcPr>
            <w:tcW w:w="620" w:type="dxa"/>
            <w:tcBorders>
              <w:bottom w:val="single" w:sz="4" w:space="0" w:color="auto"/>
            </w:tcBorders>
            <w:vAlign w:val="bottom"/>
          </w:tcPr>
          <w:p w:rsidR="00CA12F4" w:rsidRPr="000E6AA3" w:rsidRDefault="00CA12F4" w:rsidP="00AB7A9E"/>
        </w:tc>
        <w:tc>
          <w:tcPr>
            <w:tcW w:w="20" w:type="dxa"/>
            <w:tcBorders>
              <w:bottom w:val="single" w:sz="4" w:space="0" w:color="auto"/>
            </w:tcBorders>
            <w:vAlign w:val="bottom"/>
          </w:tcPr>
          <w:p w:rsidR="00CA12F4" w:rsidRPr="000E6AA3" w:rsidRDefault="00CA12F4" w:rsidP="00AB7A9E"/>
        </w:tc>
        <w:tc>
          <w:tcPr>
            <w:tcW w:w="2121" w:type="dxa"/>
            <w:tcBorders>
              <w:bottom w:val="single" w:sz="4" w:space="0" w:color="auto"/>
              <w:right w:val="single" w:sz="4" w:space="0" w:color="auto"/>
            </w:tcBorders>
            <w:vAlign w:val="bottom"/>
          </w:tcPr>
          <w:p w:rsidR="00CA12F4" w:rsidRPr="000E6AA3" w:rsidRDefault="00CA12F4" w:rsidP="00AB7A9E"/>
        </w:tc>
      </w:tr>
      <w:tr w:rsidR="00506994" w:rsidRPr="000E6AA3" w:rsidTr="00847F91">
        <w:trPr>
          <w:trHeight w:val="214"/>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Endocrine Disorders</w:t>
            </w:r>
          </w:p>
        </w:tc>
        <w:tc>
          <w:tcPr>
            <w:tcW w:w="100" w:type="dxa"/>
            <w:tcBorders>
              <w:top w:val="single" w:sz="4" w:space="0" w:color="auto"/>
            </w:tcBorders>
            <w:vAlign w:val="bottom"/>
          </w:tcPr>
          <w:p w:rsidR="00506994" w:rsidRPr="002C71E4" w:rsidRDefault="00506994" w:rsidP="00AB7A9E">
            <w:pPr>
              <w:rPr>
                <w:u w:val="single"/>
              </w:rPr>
            </w:pPr>
          </w:p>
        </w:tc>
        <w:tc>
          <w:tcPr>
            <w:tcW w:w="3169" w:type="dxa"/>
            <w:tcBorders>
              <w:top w:val="single" w:sz="4" w:space="0" w:color="auto"/>
            </w:tcBorders>
            <w:vAlign w:val="bottom"/>
          </w:tcPr>
          <w:p w:rsidR="00506994" w:rsidRPr="002C71E4" w:rsidRDefault="00506994" w:rsidP="00AB7A9E">
            <w:pPr>
              <w:rPr>
                <w:u w:val="single"/>
              </w:rPr>
            </w:pPr>
            <w:r w:rsidRPr="002C71E4">
              <w:rPr>
                <w:u w:val="single"/>
              </w:rPr>
              <w:t>Common</w:t>
            </w:r>
          </w:p>
        </w:tc>
        <w:tc>
          <w:tcPr>
            <w:tcW w:w="708" w:type="dxa"/>
            <w:gridSpan w:val="3"/>
            <w:tcBorders>
              <w:right w:val="single" w:sz="4" w:space="0" w:color="auto"/>
            </w:tcBorders>
            <w:vAlign w:val="bottom"/>
          </w:tcPr>
          <w:p w:rsidR="00506994" w:rsidRPr="002C71E4" w:rsidRDefault="00506994" w:rsidP="00AB7A9E"/>
        </w:tc>
        <w:tc>
          <w:tcPr>
            <w:tcW w:w="80" w:type="dxa"/>
            <w:tcBorders>
              <w:left w:val="single" w:sz="4" w:space="0" w:color="auto"/>
            </w:tcBorders>
            <w:vAlign w:val="bottom"/>
          </w:tcPr>
          <w:p w:rsidR="00506994" w:rsidRPr="000E6AA3" w:rsidRDefault="00506994" w:rsidP="00AB7A9E"/>
        </w:tc>
        <w:tc>
          <w:tcPr>
            <w:tcW w:w="420" w:type="dxa"/>
            <w:vAlign w:val="bottom"/>
          </w:tcPr>
          <w:p w:rsidR="00506994" w:rsidRPr="000E6AA3" w:rsidRDefault="00506994" w:rsidP="00AB7A9E"/>
        </w:tc>
        <w:tc>
          <w:tcPr>
            <w:tcW w:w="620" w:type="dxa"/>
            <w:vAlign w:val="bottom"/>
          </w:tcPr>
          <w:p w:rsidR="00506994" w:rsidRPr="000E6AA3" w:rsidRDefault="00506994" w:rsidP="00AB7A9E"/>
        </w:tc>
        <w:tc>
          <w:tcPr>
            <w:tcW w:w="20" w:type="dxa"/>
            <w:vAlign w:val="bottom"/>
          </w:tcPr>
          <w:p w:rsidR="00506994" w:rsidRPr="000E6AA3" w:rsidRDefault="00506994" w:rsidP="00AB7A9E"/>
        </w:tc>
        <w:tc>
          <w:tcPr>
            <w:tcW w:w="2121" w:type="dxa"/>
            <w:tcBorders>
              <w:right w:val="single" w:sz="8" w:space="0" w:color="auto"/>
            </w:tcBorders>
            <w:vAlign w:val="bottom"/>
          </w:tcPr>
          <w:p w:rsidR="00506994" w:rsidRPr="000E6AA3" w:rsidRDefault="00506994" w:rsidP="00AB7A9E"/>
        </w:tc>
      </w:tr>
      <w:tr w:rsidR="00506994" w:rsidRPr="000E6AA3" w:rsidTr="00847F91">
        <w:trPr>
          <w:trHeight w:val="260"/>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4" w:space="0" w:color="auto"/>
              <w:right w:val="single" w:sz="4" w:space="0" w:color="auto"/>
            </w:tcBorders>
            <w:vAlign w:val="bottom"/>
          </w:tcPr>
          <w:p w:rsidR="00506994" w:rsidRPr="000E6AA3" w:rsidRDefault="00506994" w:rsidP="00AB7A9E">
            <w:r w:rsidRPr="000E6AA3">
              <w:t>Hyperthyroidism</w:t>
            </w:r>
          </w:p>
        </w:tc>
        <w:tc>
          <w:tcPr>
            <w:tcW w:w="80" w:type="dxa"/>
            <w:tcBorders>
              <w:left w:val="single" w:sz="4" w:space="0" w:color="auto"/>
              <w:bottom w:val="single" w:sz="8" w:space="0" w:color="auto"/>
            </w:tcBorders>
            <w:vAlign w:val="bottom"/>
          </w:tcPr>
          <w:p w:rsidR="00506994" w:rsidRPr="000E6AA3" w:rsidRDefault="00506994" w:rsidP="00AB7A9E"/>
        </w:tc>
        <w:tc>
          <w:tcPr>
            <w:tcW w:w="420" w:type="dxa"/>
            <w:tcBorders>
              <w:bottom w:val="single" w:sz="8" w:space="0" w:color="auto"/>
            </w:tcBorders>
            <w:vAlign w:val="bottom"/>
          </w:tcPr>
          <w:p w:rsidR="00506994" w:rsidRPr="000E6AA3" w:rsidRDefault="00506994" w:rsidP="00AB7A9E"/>
        </w:tc>
        <w:tc>
          <w:tcPr>
            <w:tcW w:w="620" w:type="dxa"/>
            <w:tcBorders>
              <w:bottom w:val="single" w:sz="8" w:space="0" w:color="auto"/>
            </w:tcBorders>
            <w:vAlign w:val="bottom"/>
          </w:tcPr>
          <w:p w:rsidR="00506994" w:rsidRPr="000E6AA3" w:rsidRDefault="00506994" w:rsidP="00AB7A9E"/>
        </w:tc>
        <w:tc>
          <w:tcPr>
            <w:tcW w:w="20" w:type="dxa"/>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986E84" w:rsidRPr="000E6AA3" w:rsidTr="00847F91">
        <w:trPr>
          <w:trHeight w:val="217"/>
        </w:trPr>
        <w:tc>
          <w:tcPr>
            <w:tcW w:w="2260" w:type="dxa"/>
            <w:vMerge w:val="restart"/>
            <w:tcBorders>
              <w:left w:val="single" w:sz="8" w:space="0" w:color="auto"/>
              <w:right w:val="single" w:sz="8" w:space="0" w:color="auto"/>
            </w:tcBorders>
            <w:vAlign w:val="bottom"/>
          </w:tcPr>
          <w:p w:rsidR="00986E84" w:rsidRPr="00E86B71" w:rsidRDefault="00986E84" w:rsidP="00AB7A9E">
            <w:pPr>
              <w:rPr>
                <w:b/>
              </w:rPr>
            </w:pPr>
            <w:r w:rsidRPr="00E86B71">
              <w:rPr>
                <w:b/>
              </w:rPr>
              <w:t>Respiratory,</w:t>
            </w:r>
          </w:p>
          <w:p w:rsidR="00986E84" w:rsidRPr="00E86B71" w:rsidRDefault="00986E84" w:rsidP="00AB7A9E">
            <w:pPr>
              <w:rPr>
                <w:b/>
              </w:rPr>
            </w:pPr>
            <w:r w:rsidRPr="00E86B71">
              <w:rPr>
                <w:b/>
              </w:rPr>
              <w:t>Thoracic and</w:t>
            </w:r>
          </w:p>
          <w:p w:rsidR="00986E84" w:rsidRPr="00E86B71" w:rsidRDefault="00986E84" w:rsidP="00AB7A9E">
            <w:pPr>
              <w:rPr>
                <w:b/>
              </w:rPr>
            </w:pPr>
            <w:r w:rsidRPr="00E86B71">
              <w:rPr>
                <w:b/>
              </w:rPr>
              <w:t>Mediastinal</w:t>
            </w:r>
          </w:p>
          <w:p w:rsidR="00986E84" w:rsidRPr="00E86B71" w:rsidRDefault="00986E84" w:rsidP="00AB7A9E">
            <w:pPr>
              <w:rPr>
                <w:b/>
              </w:rPr>
            </w:pPr>
            <w:r w:rsidRPr="00E86B71">
              <w:rPr>
                <w:b/>
              </w:rPr>
              <w:t>Disorders</w:t>
            </w:r>
          </w:p>
        </w:tc>
        <w:tc>
          <w:tcPr>
            <w:tcW w:w="100" w:type="dxa"/>
            <w:vAlign w:val="bottom"/>
          </w:tcPr>
          <w:p w:rsidR="00986E84" w:rsidRPr="000E6AA3" w:rsidRDefault="00986E84" w:rsidP="00AB7A9E"/>
        </w:tc>
        <w:tc>
          <w:tcPr>
            <w:tcW w:w="3169" w:type="dxa"/>
            <w:tcBorders>
              <w:top w:val="single" w:sz="4" w:space="0" w:color="auto"/>
            </w:tcBorders>
            <w:vAlign w:val="bottom"/>
          </w:tcPr>
          <w:p w:rsidR="00986E84" w:rsidRDefault="00D92917" w:rsidP="00AB7A9E">
            <w:r>
              <w:rPr>
                <w:u w:val="single"/>
              </w:rPr>
              <w:t>Uncommon</w:t>
            </w:r>
          </w:p>
          <w:p w:rsidR="00D92917" w:rsidRPr="00D92917" w:rsidRDefault="00D92917" w:rsidP="00AB7A9E">
            <w:r>
              <w:t>Pulmonary hypertension</w:t>
            </w:r>
          </w:p>
        </w:tc>
        <w:tc>
          <w:tcPr>
            <w:tcW w:w="222" w:type="dxa"/>
            <w:tcBorders>
              <w:top w:val="single" w:sz="4" w:space="0" w:color="auto"/>
            </w:tcBorders>
            <w:vAlign w:val="bottom"/>
          </w:tcPr>
          <w:p w:rsidR="00986E84" w:rsidRPr="000E6AA3" w:rsidRDefault="00986E84" w:rsidP="00AB7A9E"/>
        </w:tc>
        <w:tc>
          <w:tcPr>
            <w:tcW w:w="40" w:type="dxa"/>
            <w:tcBorders>
              <w:top w:val="single" w:sz="4" w:space="0" w:color="auto"/>
            </w:tcBorders>
            <w:vAlign w:val="bottom"/>
          </w:tcPr>
          <w:p w:rsidR="00986E84" w:rsidRPr="000E6AA3" w:rsidRDefault="00986E84" w:rsidP="00AB7A9E"/>
        </w:tc>
        <w:tc>
          <w:tcPr>
            <w:tcW w:w="446" w:type="dxa"/>
            <w:tcBorders>
              <w:top w:val="single" w:sz="4" w:space="0" w:color="auto"/>
              <w:right w:val="single" w:sz="8" w:space="0" w:color="auto"/>
            </w:tcBorders>
            <w:vAlign w:val="bottom"/>
          </w:tcPr>
          <w:p w:rsidR="00986E84" w:rsidRPr="000E6AA3" w:rsidRDefault="00986E84" w:rsidP="00AB7A9E">
            <w:pPr>
              <w:rPr>
                <w:u w:val="single"/>
              </w:rPr>
            </w:pPr>
          </w:p>
        </w:tc>
        <w:tc>
          <w:tcPr>
            <w:tcW w:w="80" w:type="dxa"/>
            <w:vAlign w:val="bottom"/>
          </w:tcPr>
          <w:p w:rsidR="00986E84" w:rsidRPr="000E6AA3" w:rsidRDefault="00986E84" w:rsidP="00AB7A9E">
            <w:pPr>
              <w:rPr>
                <w:u w:val="single"/>
              </w:rPr>
            </w:pPr>
          </w:p>
        </w:tc>
        <w:tc>
          <w:tcPr>
            <w:tcW w:w="3181" w:type="dxa"/>
            <w:gridSpan w:val="4"/>
            <w:tcBorders>
              <w:right w:val="single" w:sz="8" w:space="0" w:color="auto"/>
            </w:tcBorders>
            <w:vAlign w:val="bottom"/>
          </w:tcPr>
          <w:p w:rsidR="00D92917" w:rsidRDefault="00D92917" w:rsidP="00AB7A9E">
            <w:r w:rsidRPr="00D92917">
              <w:rPr>
                <w:u w:val="single"/>
              </w:rPr>
              <w:t>Rare</w:t>
            </w:r>
          </w:p>
          <w:p w:rsidR="00D92917" w:rsidRDefault="00D92917" w:rsidP="00AB7A9E">
            <w:r>
              <w:t>Pulmonary hypertension</w:t>
            </w:r>
          </w:p>
          <w:p w:rsidR="00D92917" w:rsidRPr="00D92917" w:rsidRDefault="00D92917" w:rsidP="00AB7A9E"/>
          <w:p w:rsidR="00986E84" w:rsidRPr="000E6AA3" w:rsidRDefault="00986E84" w:rsidP="00AB7A9E">
            <w:pPr>
              <w:rPr>
                <w:u w:val="single"/>
              </w:rPr>
            </w:pPr>
            <w:r w:rsidRPr="00D92917">
              <w:rPr>
                <w:u w:val="single"/>
              </w:rPr>
              <w:t>Not</w:t>
            </w:r>
            <w:r w:rsidRPr="000E6AA3">
              <w:rPr>
                <w:u w:val="single"/>
              </w:rPr>
              <w:t xml:space="preserve"> Known</w:t>
            </w:r>
          </w:p>
        </w:tc>
      </w:tr>
      <w:tr w:rsidR="00986E84" w:rsidRPr="000E6AA3" w:rsidTr="00847F91">
        <w:trPr>
          <w:trHeight w:val="261"/>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3181" w:type="dxa"/>
            <w:gridSpan w:val="4"/>
            <w:tcBorders>
              <w:right w:val="single" w:sz="8" w:space="0" w:color="auto"/>
            </w:tcBorders>
            <w:vAlign w:val="bottom"/>
          </w:tcPr>
          <w:p w:rsidR="00986E84" w:rsidRPr="000E6AA3" w:rsidRDefault="00986E84" w:rsidP="00AB7A9E">
            <w:r w:rsidRPr="000E6AA3">
              <w:t>Interstitial pneumonitis</w:t>
            </w:r>
          </w:p>
        </w:tc>
      </w:tr>
      <w:tr w:rsidR="00986E84" w:rsidRPr="000E6AA3" w:rsidTr="00847F91">
        <w:trPr>
          <w:trHeight w:val="252"/>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420" w:type="dxa"/>
            <w:vAlign w:val="bottom"/>
          </w:tcPr>
          <w:p w:rsidR="00986E84" w:rsidRPr="000E6AA3" w:rsidRDefault="00986E84" w:rsidP="00AB7A9E"/>
        </w:tc>
        <w:tc>
          <w:tcPr>
            <w:tcW w:w="620" w:type="dxa"/>
            <w:vAlign w:val="bottom"/>
          </w:tcPr>
          <w:p w:rsidR="00986E84" w:rsidRPr="000E6AA3" w:rsidRDefault="00986E84" w:rsidP="00AB7A9E"/>
        </w:tc>
        <w:tc>
          <w:tcPr>
            <w:tcW w:w="20" w:type="dxa"/>
            <w:vAlign w:val="bottom"/>
          </w:tcPr>
          <w:p w:rsidR="00986E84" w:rsidRPr="000E6AA3" w:rsidRDefault="00986E84" w:rsidP="00AB7A9E"/>
        </w:tc>
        <w:tc>
          <w:tcPr>
            <w:tcW w:w="2121" w:type="dxa"/>
            <w:tcBorders>
              <w:right w:val="single" w:sz="8" w:space="0" w:color="auto"/>
            </w:tcBorders>
            <w:vAlign w:val="bottom"/>
          </w:tcPr>
          <w:p w:rsidR="00986E84" w:rsidRPr="000E6AA3" w:rsidRDefault="00986E84" w:rsidP="00AB7A9E"/>
        </w:tc>
      </w:tr>
      <w:tr w:rsidR="00986E84" w:rsidRPr="000E6AA3" w:rsidTr="00847F91">
        <w:trPr>
          <w:trHeight w:val="254"/>
        </w:trPr>
        <w:tc>
          <w:tcPr>
            <w:tcW w:w="2260" w:type="dxa"/>
            <w:vMerge/>
            <w:tcBorders>
              <w:left w:val="single" w:sz="8" w:space="0" w:color="auto"/>
              <w:bottom w:val="single" w:sz="8" w:space="0" w:color="auto"/>
              <w:right w:val="single" w:sz="8" w:space="0" w:color="auto"/>
            </w:tcBorders>
            <w:vAlign w:val="bottom"/>
          </w:tcPr>
          <w:p w:rsidR="00986E84" w:rsidRPr="00E86B71" w:rsidRDefault="00986E84" w:rsidP="00AB7A9E">
            <w:pPr>
              <w:rPr>
                <w:b/>
              </w:rPr>
            </w:pPr>
          </w:p>
        </w:tc>
        <w:tc>
          <w:tcPr>
            <w:tcW w:w="100" w:type="dxa"/>
            <w:tcBorders>
              <w:bottom w:val="single" w:sz="8" w:space="0" w:color="auto"/>
            </w:tcBorders>
            <w:vAlign w:val="bottom"/>
          </w:tcPr>
          <w:p w:rsidR="00986E84" w:rsidRPr="000E6AA3" w:rsidRDefault="00986E84" w:rsidP="00AB7A9E"/>
        </w:tc>
        <w:tc>
          <w:tcPr>
            <w:tcW w:w="3169" w:type="dxa"/>
            <w:tcBorders>
              <w:bottom w:val="single" w:sz="8" w:space="0" w:color="auto"/>
            </w:tcBorders>
            <w:vAlign w:val="bottom"/>
          </w:tcPr>
          <w:p w:rsidR="00986E84" w:rsidRPr="000E6AA3" w:rsidRDefault="00986E84" w:rsidP="00AB7A9E"/>
        </w:tc>
        <w:tc>
          <w:tcPr>
            <w:tcW w:w="222" w:type="dxa"/>
            <w:tcBorders>
              <w:bottom w:val="single" w:sz="8" w:space="0" w:color="auto"/>
            </w:tcBorders>
            <w:vAlign w:val="bottom"/>
          </w:tcPr>
          <w:p w:rsidR="00986E84" w:rsidRPr="000E6AA3" w:rsidRDefault="00986E84" w:rsidP="00AB7A9E"/>
        </w:tc>
        <w:tc>
          <w:tcPr>
            <w:tcW w:w="40" w:type="dxa"/>
            <w:tcBorders>
              <w:bottom w:val="single" w:sz="8" w:space="0" w:color="auto"/>
            </w:tcBorders>
            <w:vAlign w:val="bottom"/>
          </w:tcPr>
          <w:p w:rsidR="00986E84" w:rsidRPr="000E6AA3" w:rsidRDefault="00986E84" w:rsidP="00AB7A9E"/>
        </w:tc>
        <w:tc>
          <w:tcPr>
            <w:tcW w:w="446" w:type="dxa"/>
            <w:tcBorders>
              <w:bottom w:val="single" w:sz="8" w:space="0" w:color="auto"/>
              <w:right w:val="single" w:sz="8" w:space="0" w:color="auto"/>
            </w:tcBorders>
            <w:vAlign w:val="bottom"/>
          </w:tcPr>
          <w:p w:rsidR="00986E84" w:rsidRPr="000E6AA3" w:rsidRDefault="00986E84" w:rsidP="00AB7A9E"/>
        </w:tc>
        <w:tc>
          <w:tcPr>
            <w:tcW w:w="80" w:type="dxa"/>
            <w:tcBorders>
              <w:bottom w:val="single" w:sz="8" w:space="0" w:color="auto"/>
            </w:tcBorders>
            <w:vAlign w:val="bottom"/>
          </w:tcPr>
          <w:p w:rsidR="00986E84" w:rsidRPr="000E6AA3" w:rsidRDefault="00986E84" w:rsidP="00AB7A9E"/>
        </w:tc>
        <w:tc>
          <w:tcPr>
            <w:tcW w:w="420" w:type="dxa"/>
            <w:tcBorders>
              <w:bottom w:val="single" w:sz="8" w:space="0" w:color="auto"/>
            </w:tcBorders>
            <w:vAlign w:val="bottom"/>
          </w:tcPr>
          <w:p w:rsidR="00986E84" w:rsidRPr="000E6AA3" w:rsidRDefault="00986E84" w:rsidP="00AB7A9E"/>
        </w:tc>
        <w:tc>
          <w:tcPr>
            <w:tcW w:w="620" w:type="dxa"/>
            <w:tcBorders>
              <w:bottom w:val="single" w:sz="8" w:space="0" w:color="auto"/>
            </w:tcBorders>
            <w:vAlign w:val="bottom"/>
          </w:tcPr>
          <w:p w:rsidR="00986E84" w:rsidRPr="000E6AA3" w:rsidRDefault="00986E84" w:rsidP="00AB7A9E"/>
        </w:tc>
        <w:tc>
          <w:tcPr>
            <w:tcW w:w="20" w:type="dxa"/>
            <w:tcBorders>
              <w:bottom w:val="single" w:sz="8" w:space="0" w:color="auto"/>
            </w:tcBorders>
            <w:vAlign w:val="bottom"/>
          </w:tcPr>
          <w:p w:rsidR="00986E84" w:rsidRPr="000E6AA3" w:rsidRDefault="00986E84" w:rsidP="00AB7A9E"/>
        </w:tc>
        <w:tc>
          <w:tcPr>
            <w:tcW w:w="2121" w:type="dxa"/>
            <w:tcBorders>
              <w:bottom w:val="single" w:sz="8" w:space="0" w:color="auto"/>
              <w:right w:val="single" w:sz="8" w:space="0" w:color="auto"/>
            </w:tcBorders>
            <w:vAlign w:val="bottom"/>
          </w:tcPr>
          <w:p w:rsidR="00986E84" w:rsidRPr="000E6AA3" w:rsidRDefault="00986E84" w:rsidP="00AB7A9E"/>
        </w:tc>
      </w:tr>
      <w:tr w:rsidR="00506994" w:rsidRPr="000E6AA3" w:rsidTr="00847F91">
        <w:trPr>
          <w:trHeight w:val="215"/>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Gastrointestinal</w:t>
            </w: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r>
      <w:tr w:rsidR="00506994" w:rsidRPr="000E6AA3" w:rsidTr="00847F91">
        <w:trPr>
          <w:trHeight w:val="259"/>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Disorders</w:t>
            </w: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Pancreatitis, Gastrointestinal</w:t>
            </w:r>
          </w:p>
        </w:tc>
      </w:tr>
      <w:tr w:rsidR="00506994" w:rsidRPr="000E6AA3" w:rsidTr="00847F91">
        <w:trPr>
          <w:trHeight w:val="250"/>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perforation (including</w:t>
            </w:r>
          </w:p>
        </w:tc>
      </w:tr>
      <w:tr w:rsidR="00506994" w:rsidRPr="000E6AA3" w:rsidTr="00847F91">
        <w:trPr>
          <w:trHeight w:val="252"/>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diverticular, intestinal and large</w:t>
            </w:r>
          </w:p>
        </w:tc>
      </w:tr>
      <w:tr w:rsidR="00506994" w:rsidRPr="000E6AA3" w:rsidTr="00847F91">
        <w:trPr>
          <w:trHeight w:val="254"/>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intestine perforations) ^</w:t>
            </w:r>
          </w:p>
        </w:tc>
      </w:tr>
      <w:tr w:rsidR="00506994" w:rsidRPr="000E6AA3" w:rsidTr="00847F91">
        <w:trPr>
          <w:trHeight w:val="261"/>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8" w:space="0" w:color="auto"/>
              <w:right w:val="single" w:sz="8" w:space="0" w:color="auto"/>
            </w:tcBorders>
            <w:vAlign w:val="bottom"/>
          </w:tcPr>
          <w:p w:rsidR="00506994" w:rsidRPr="000E6AA3" w:rsidRDefault="00506994" w:rsidP="00AB7A9E"/>
        </w:tc>
        <w:tc>
          <w:tcPr>
            <w:tcW w:w="80" w:type="dxa"/>
            <w:tcBorders>
              <w:bottom w:val="single" w:sz="8" w:space="0" w:color="auto"/>
            </w:tcBorders>
            <w:vAlign w:val="bottom"/>
          </w:tcPr>
          <w:p w:rsidR="00506994" w:rsidRPr="000E6AA3" w:rsidRDefault="00506994" w:rsidP="00AB7A9E"/>
        </w:tc>
        <w:tc>
          <w:tcPr>
            <w:tcW w:w="1060" w:type="dxa"/>
            <w:gridSpan w:val="3"/>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506994" w:rsidRPr="000E6AA3" w:rsidTr="00847F91">
        <w:trPr>
          <w:trHeight w:val="213"/>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Hepatobiliary</w:t>
            </w: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c>
          <w:tcPr>
            <w:tcW w:w="80" w:type="dxa"/>
            <w:vAlign w:val="bottom"/>
          </w:tcPr>
          <w:p w:rsidR="00506994" w:rsidRPr="000E6AA3" w:rsidRDefault="00506994" w:rsidP="00AB7A9E">
            <w:pPr>
              <w:rPr>
                <w:u w:val="single"/>
              </w:rPr>
            </w:pPr>
          </w:p>
        </w:tc>
        <w:tc>
          <w:tcPr>
            <w:tcW w:w="3181"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r>
      <w:tr w:rsidR="00506994" w:rsidRPr="000E6AA3" w:rsidTr="00847F91">
        <w:trPr>
          <w:trHeight w:val="259"/>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Disorders</w:t>
            </w: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r w:rsidRPr="000E6AA3">
              <w:t>Acute hepatic failure^, Hepatitis toxic^,</w:t>
            </w:r>
          </w:p>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Acute hepatic failure^, Hepatitis</w:t>
            </w:r>
          </w:p>
        </w:tc>
      </w:tr>
      <w:tr w:rsidR="00506994" w:rsidRPr="000E6AA3" w:rsidTr="00847F91">
        <w:trPr>
          <w:trHeight w:val="247"/>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r w:rsidRPr="000E6AA3">
              <w:t>Cytolytic hepatitis^, Cholestatic hepatitis^,</w:t>
            </w:r>
          </w:p>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toxic^</w:t>
            </w:r>
          </w:p>
        </w:tc>
      </w:tr>
      <w:tr w:rsidR="00506994" w:rsidRPr="000E6AA3" w:rsidTr="00847F91">
        <w:trPr>
          <w:trHeight w:val="258"/>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8" w:space="0" w:color="auto"/>
              <w:right w:val="single" w:sz="8" w:space="0" w:color="auto"/>
            </w:tcBorders>
            <w:vAlign w:val="bottom"/>
          </w:tcPr>
          <w:p w:rsidR="00506994" w:rsidRPr="000E6AA3" w:rsidRDefault="00506994" w:rsidP="00AB7A9E">
            <w:r w:rsidRPr="000E6AA3">
              <w:t>Mixed cytolytic/cholestatic hepatitis^</w:t>
            </w:r>
          </w:p>
        </w:tc>
        <w:tc>
          <w:tcPr>
            <w:tcW w:w="80" w:type="dxa"/>
            <w:tcBorders>
              <w:bottom w:val="single" w:sz="8" w:space="0" w:color="auto"/>
            </w:tcBorders>
            <w:vAlign w:val="bottom"/>
          </w:tcPr>
          <w:p w:rsidR="00506994" w:rsidRPr="000E6AA3" w:rsidRDefault="00506994" w:rsidP="00AB7A9E"/>
        </w:tc>
        <w:tc>
          <w:tcPr>
            <w:tcW w:w="420" w:type="dxa"/>
            <w:tcBorders>
              <w:bottom w:val="single" w:sz="8" w:space="0" w:color="auto"/>
            </w:tcBorders>
            <w:vAlign w:val="bottom"/>
          </w:tcPr>
          <w:p w:rsidR="00506994" w:rsidRPr="000E6AA3" w:rsidRDefault="00506994" w:rsidP="00AB7A9E"/>
        </w:tc>
        <w:tc>
          <w:tcPr>
            <w:tcW w:w="620" w:type="dxa"/>
            <w:tcBorders>
              <w:bottom w:val="single" w:sz="8" w:space="0" w:color="auto"/>
            </w:tcBorders>
            <w:vAlign w:val="bottom"/>
          </w:tcPr>
          <w:p w:rsidR="00506994" w:rsidRPr="000E6AA3" w:rsidRDefault="00506994" w:rsidP="00AB7A9E"/>
        </w:tc>
        <w:tc>
          <w:tcPr>
            <w:tcW w:w="20" w:type="dxa"/>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CA12F4" w:rsidRPr="000E6AA3" w:rsidTr="00CA12F4">
        <w:trPr>
          <w:trHeight w:val="216"/>
        </w:trPr>
        <w:tc>
          <w:tcPr>
            <w:tcW w:w="2260" w:type="dxa"/>
            <w:tcBorders>
              <w:left w:val="single" w:sz="8" w:space="0" w:color="auto"/>
              <w:right w:val="single" w:sz="8" w:space="0" w:color="auto"/>
            </w:tcBorders>
            <w:vAlign w:val="bottom"/>
          </w:tcPr>
          <w:p w:rsidR="00CA12F4" w:rsidRPr="00E86B71" w:rsidRDefault="00CA12F4" w:rsidP="00AB7A9E">
            <w:pPr>
              <w:rPr>
                <w:b/>
              </w:rPr>
            </w:pPr>
            <w:r w:rsidRPr="00E86B71">
              <w:rPr>
                <w:b/>
              </w:rPr>
              <w:t>Skin and</w:t>
            </w:r>
            <w:r>
              <w:rPr>
                <w:b/>
              </w:rPr>
              <w:t xml:space="preserve"> Subcutaneous Tissue Disorders</w:t>
            </w: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tcPr>
          <w:p w:rsidR="00CA12F4" w:rsidRPr="000E6AA3" w:rsidRDefault="00CA12F4" w:rsidP="00CA12F4"/>
        </w:tc>
        <w:tc>
          <w:tcPr>
            <w:tcW w:w="3181" w:type="dxa"/>
            <w:gridSpan w:val="4"/>
            <w:vMerge w:val="restart"/>
            <w:tcBorders>
              <w:right w:val="single" w:sz="8" w:space="0" w:color="auto"/>
            </w:tcBorders>
          </w:tcPr>
          <w:p w:rsidR="00CA12F4" w:rsidRPr="00CA12F4" w:rsidRDefault="00CA12F4" w:rsidP="00CA12F4">
            <w:pPr>
              <w:rPr>
                <w:u w:val="single"/>
              </w:rPr>
            </w:pPr>
            <w:r w:rsidRPr="00CA12F4">
              <w:rPr>
                <w:u w:val="single"/>
              </w:rPr>
              <w:t>Uncommon</w:t>
            </w:r>
          </w:p>
          <w:p w:rsidR="00CA12F4" w:rsidRDefault="00CA12F4" w:rsidP="00CA12F4">
            <w:r w:rsidRPr="000E6AA3">
              <w:t>Angioedema</w:t>
            </w:r>
          </w:p>
          <w:p w:rsidR="00CA12F4" w:rsidRDefault="00CA12F4" w:rsidP="00CA12F4"/>
          <w:p w:rsidR="00CA12F4" w:rsidRPr="000E6AA3" w:rsidRDefault="00CA12F4" w:rsidP="00CA12F4">
            <w:pPr>
              <w:rPr>
                <w:u w:val="single"/>
              </w:rPr>
            </w:pPr>
            <w:r w:rsidRPr="000E6AA3">
              <w:rPr>
                <w:u w:val="single"/>
              </w:rPr>
              <w:t>Rare</w:t>
            </w:r>
          </w:p>
          <w:p w:rsidR="00CA12F4" w:rsidRPr="000E6AA3" w:rsidRDefault="00CA12F4" w:rsidP="00CA12F4">
            <w:r w:rsidRPr="000E6AA3">
              <w:t>Stevens-Johnson Syndrome^,</w:t>
            </w:r>
          </w:p>
          <w:p w:rsidR="00CA12F4" w:rsidRDefault="00CA12F4" w:rsidP="00CA12F4">
            <w:r w:rsidRPr="000E6AA3">
              <w:t>Toxic epidermal necrolysis^</w:t>
            </w:r>
          </w:p>
          <w:p w:rsidR="00CA12F4" w:rsidRDefault="00CA12F4" w:rsidP="00CA12F4"/>
          <w:p w:rsidR="00CA12F4" w:rsidRPr="000E6AA3" w:rsidRDefault="00CA12F4" w:rsidP="00CA12F4">
            <w:pPr>
              <w:rPr>
                <w:u w:val="single"/>
              </w:rPr>
            </w:pPr>
            <w:r w:rsidRPr="000E6AA3">
              <w:rPr>
                <w:u w:val="single"/>
              </w:rPr>
              <w:t>Not Known</w:t>
            </w:r>
          </w:p>
          <w:p w:rsidR="00492E23" w:rsidRDefault="00CA12F4" w:rsidP="00492E23">
            <w:r w:rsidRPr="000E6AA3">
              <w:t>Leukocytoclastic vasculitis</w:t>
            </w:r>
            <w:r w:rsidR="00492E23">
              <w:t>, Drug</w:t>
            </w:r>
          </w:p>
          <w:p w:rsidR="00492E23" w:rsidRDefault="00492E23" w:rsidP="00492E23">
            <w:r>
              <w:t>Reaction with Eosinophilia and</w:t>
            </w:r>
          </w:p>
          <w:p w:rsidR="00CA12F4" w:rsidRPr="000E6AA3" w:rsidRDefault="00492E23" w:rsidP="00492E23">
            <w:r>
              <w:t>Systemic Symptoms^</w:t>
            </w:r>
          </w:p>
        </w:tc>
      </w:tr>
      <w:tr w:rsidR="00CA12F4" w:rsidRPr="000E6AA3" w:rsidTr="00847F91">
        <w:trPr>
          <w:trHeight w:val="26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25"/>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pPr>
              <w:rPr>
                <w:u w:val="single"/>
              </w:rPr>
            </w:pPr>
          </w:p>
        </w:tc>
        <w:tc>
          <w:tcPr>
            <w:tcW w:w="80" w:type="dxa"/>
            <w:vAlign w:val="bottom"/>
          </w:tcPr>
          <w:p w:rsidR="00CA12F4" w:rsidRPr="000E6AA3" w:rsidRDefault="00CA12F4" w:rsidP="00AB7A9E">
            <w:pPr>
              <w:rPr>
                <w:u w:val="single"/>
              </w:rPr>
            </w:pPr>
          </w:p>
        </w:tc>
        <w:tc>
          <w:tcPr>
            <w:tcW w:w="3181" w:type="dxa"/>
            <w:gridSpan w:val="4"/>
            <w:vMerge/>
            <w:tcBorders>
              <w:right w:val="single" w:sz="8" w:space="0" w:color="auto"/>
            </w:tcBorders>
            <w:vAlign w:val="bottom"/>
          </w:tcPr>
          <w:p w:rsidR="00CA12F4" w:rsidRPr="000E6AA3" w:rsidRDefault="00CA12F4" w:rsidP="00AB7A9E">
            <w:pPr>
              <w:rPr>
                <w:u w:val="single"/>
              </w:rPr>
            </w:pPr>
          </w:p>
        </w:tc>
      </w:tr>
      <w:tr w:rsidR="00CA12F4" w:rsidRPr="000E6AA3" w:rsidTr="00847F91">
        <w:trPr>
          <w:trHeight w:val="256"/>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5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3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pPr>
              <w:rPr>
                <w:u w:val="single"/>
              </w:rPr>
            </w:pPr>
          </w:p>
        </w:tc>
        <w:tc>
          <w:tcPr>
            <w:tcW w:w="80" w:type="dxa"/>
            <w:vAlign w:val="bottom"/>
          </w:tcPr>
          <w:p w:rsidR="00CA12F4" w:rsidRPr="000E6AA3" w:rsidRDefault="00CA12F4" w:rsidP="00AB7A9E">
            <w:pPr>
              <w:rPr>
                <w:u w:val="single"/>
              </w:rPr>
            </w:pPr>
          </w:p>
        </w:tc>
        <w:tc>
          <w:tcPr>
            <w:tcW w:w="3181" w:type="dxa"/>
            <w:gridSpan w:val="4"/>
            <w:vMerge/>
            <w:tcBorders>
              <w:right w:val="single" w:sz="8" w:space="0" w:color="auto"/>
            </w:tcBorders>
            <w:vAlign w:val="bottom"/>
          </w:tcPr>
          <w:p w:rsidR="00CA12F4" w:rsidRPr="000E6AA3" w:rsidRDefault="00CA12F4" w:rsidP="00AB7A9E">
            <w:pPr>
              <w:rPr>
                <w:u w:val="single"/>
              </w:rPr>
            </w:pPr>
          </w:p>
        </w:tc>
      </w:tr>
      <w:tr w:rsidR="00CA12F4" w:rsidRPr="000E6AA3" w:rsidTr="00847F91">
        <w:trPr>
          <w:trHeight w:val="257"/>
        </w:trPr>
        <w:tc>
          <w:tcPr>
            <w:tcW w:w="2260" w:type="dxa"/>
            <w:tcBorders>
              <w:left w:val="single" w:sz="8" w:space="0" w:color="auto"/>
              <w:bottom w:val="single" w:sz="8" w:space="0" w:color="auto"/>
              <w:right w:val="single" w:sz="8" w:space="0" w:color="auto"/>
            </w:tcBorders>
            <w:vAlign w:val="bottom"/>
          </w:tcPr>
          <w:p w:rsidR="00CA12F4" w:rsidRPr="000E6AA3" w:rsidRDefault="00CA12F4" w:rsidP="00AB7A9E"/>
        </w:tc>
        <w:tc>
          <w:tcPr>
            <w:tcW w:w="100" w:type="dxa"/>
            <w:tcBorders>
              <w:bottom w:val="single" w:sz="8" w:space="0" w:color="auto"/>
            </w:tcBorders>
            <w:vAlign w:val="bottom"/>
          </w:tcPr>
          <w:p w:rsidR="00CA12F4" w:rsidRPr="000E6AA3" w:rsidRDefault="00CA12F4" w:rsidP="00AB7A9E"/>
        </w:tc>
        <w:tc>
          <w:tcPr>
            <w:tcW w:w="3169" w:type="dxa"/>
            <w:tcBorders>
              <w:bottom w:val="single" w:sz="8" w:space="0" w:color="auto"/>
            </w:tcBorders>
            <w:vAlign w:val="bottom"/>
          </w:tcPr>
          <w:p w:rsidR="00CA12F4" w:rsidRPr="000E6AA3" w:rsidRDefault="00CA12F4" w:rsidP="00AB7A9E"/>
        </w:tc>
        <w:tc>
          <w:tcPr>
            <w:tcW w:w="222" w:type="dxa"/>
            <w:tcBorders>
              <w:bottom w:val="single" w:sz="8" w:space="0" w:color="auto"/>
            </w:tcBorders>
            <w:vAlign w:val="bottom"/>
          </w:tcPr>
          <w:p w:rsidR="00CA12F4" w:rsidRPr="000E6AA3" w:rsidRDefault="00CA12F4" w:rsidP="00AB7A9E"/>
        </w:tc>
        <w:tc>
          <w:tcPr>
            <w:tcW w:w="40" w:type="dxa"/>
            <w:tcBorders>
              <w:bottom w:val="single" w:sz="8" w:space="0" w:color="auto"/>
            </w:tcBorders>
            <w:vAlign w:val="bottom"/>
          </w:tcPr>
          <w:p w:rsidR="00CA12F4" w:rsidRPr="000E6AA3" w:rsidRDefault="00CA12F4" w:rsidP="00AB7A9E"/>
        </w:tc>
        <w:tc>
          <w:tcPr>
            <w:tcW w:w="446" w:type="dxa"/>
            <w:tcBorders>
              <w:bottom w:val="single" w:sz="8" w:space="0" w:color="auto"/>
              <w:right w:val="single" w:sz="8" w:space="0" w:color="auto"/>
            </w:tcBorders>
            <w:vAlign w:val="bottom"/>
          </w:tcPr>
          <w:p w:rsidR="00CA12F4" w:rsidRPr="000E6AA3" w:rsidRDefault="00CA12F4" w:rsidP="00AB7A9E"/>
        </w:tc>
        <w:tc>
          <w:tcPr>
            <w:tcW w:w="80" w:type="dxa"/>
            <w:tcBorders>
              <w:bottom w:val="single" w:sz="8" w:space="0" w:color="auto"/>
            </w:tcBorders>
            <w:vAlign w:val="bottom"/>
          </w:tcPr>
          <w:p w:rsidR="00CA12F4" w:rsidRPr="000E6AA3" w:rsidRDefault="00CA12F4" w:rsidP="00AB7A9E"/>
        </w:tc>
        <w:tc>
          <w:tcPr>
            <w:tcW w:w="3181" w:type="dxa"/>
            <w:gridSpan w:val="4"/>
            <w:vMerge/>
            <w:tcBorders>
              <w:bottom w:val="single" w:sz="8" w:space="0" w:color="auto"/>
              <w:right w:val="single" w:sz="8" w:space="0" w:color="auto"/>
            </w:tcBorders>
            <w:vAlign w:val="bottom"/>
          </w:tcPr>
          <w:p w:rsidR="00CA12F4" w:rsidRPr="000E6AA3" w:rsidRDefault="00CA12F4" w:rsidP="00AB7A9E"/>
        </w:tc>
      </w:tr>
      <w:tr w:rsidR="00506994" w:rsidRPr="000E6AA3" w:rsidTr="00847F91">
        <w:trPr>
          <w:trHeight w:val="238"/>
        </w:trPr>
        <w:tc>
          <w:tcPr>
            <w:tcW w:w="6317" w:type="dxa"/>
            <w:gridSpan w:val="7"/>
            <w:vAlign w:val="bottom"/>
          </w:tcPr>
          <w:p w:rsidR="00506994" w:rsidRDefault="00506994" w:rsidP="00AB7A9E">
            <w:pPr>
              <w:rPr>
                <w:sz w:val="16"/>
                <w:szCs w:val="16"/>
              </w:rPr>
            </w:pPr>
            <w:r w:rsidRPr="006F0CD6">
              <w:rPr>
                <w:sz w:val="16"/>
                <w:szCs w:val="16"/>
              </w:rPr>
              <w:t>^see section 4.8 description of selected adverse reactions</w:t>
            </w:r>
          </w:p>
          <w:p w:rsidR="00311E2E" w:rsidRPr="006F0CD6" w:rsidRDefault="00311E2E" w:rsidP="00AB7A9E">
            <w:pPr>
              <w:rPr>
                <w:sz w:val="16"/>
                <w:szCs w:val="16"/>
              </w:rPr>
            </w:pPr>
          </w:p>
        </w:tc>
        <w:tc>
          <w:tcPr>
            <w:tcW w:w="420" w:type="dxa"/>
            <w:vAlign w:val="bottom"/>
          </w:tcPr>
          <w:p w:rsidR="00506994" w:rsidRPr="000E6AA3" w:rsidRDefault="00506994" w:rsidP="00AB7A9E"/>
        </w:tc>
        <w:tc>
          <w:tcPr>
            <w:tcW w:w="620" w:type="dxa"/>
            <w:vAlign w:val="bottom"/>
          </w:tcPr>
          <w:p w:rsidR="00506994" w:rsidRPr="000E6AA3" w:rsidRDefault="00506994" w:rsidP="00AB7A9E"/>
        </w:tc>
        <w:tc>
          <w:tcPr>
            <w:tcW w:w="20" w:type="dxa"/>
            <w:vAlign w:val="bottom"/>
          </w:tcPr>
          <w:p w:rsidR="00506994" w:rsidRPr="000E6AA3" w:rsidRDefault="00506994" w:rsidP="00AB7A9E"/>
        </w:tc>
        <w:tc>
          <w:tcPr>
            <w:tcW w:w="2121" w:type="dxa"/>
            <w:vAlign w:val="bottom"/>
          </w:tcPr>
          <w:p w:rsidR="00506994" w:rsidRPr="000E6AA3" w:rsidRDefault="00506994" w:rsidP="00AB7A9E"/>
        </w:tc>
      </w:tr>
    </w:tbl>
    <w:p w:rsidR="00506994" w:rsidRPr="00335062" w:rsidRDefault="00506994" w:rsidP="00AB7A9E">
      <w:r w:rsidRPr="00335062">
        <w:rPr>
          <w:rFonts w:eastAsia="Times New Roman"/>
          <w:u w:val="single"/>
        </w:rPr>
        <w:t>Description of selected adverse reactions</w:t>
      </w:r>
    </w:p>
    <w:p w:rsidR="00506994" w:rsidRPr="004273C8" w:rsidRDefault="00506994" w:rsidP="00AB7A9E">
      <w:pPr>
        <w:rPr>
          <w:u w:val="single"/>
        </w:rPr>
      </w:pPr>
      <w:r w:rsidRPr="004273C8">
        <w:rPr>
          <w:rFonts w:eastAsia="Times New Roman"/>
          <w:i/>
          <w:iCs/>
          <w:u w:val="single"/>
        </w:rPr>
        <w:t>Teratogenicity</w:t>
      </w:r>
    </w:p>
    <w:p w:rsidR="00506994" w:rsidRPr="00335062" w:rsidRDefault="00506994" w:rsidP="00AB7A9E">
      <w:pPr>
        <w:ind w:right="180"/>
      </w:pPr>
      <w:r w:rsidRPr="00335062">
        <w:rPr>
          <w:rFonts w:eastAsia="Times New Roman"/>
        </w:rPr>
        <w:t xml:space="preserve">Lenalidomide is structurally related to thalidomide. Thalidomide is a known human teratogenic active substance that causes severe life-threatening birth defects. </w:t>
      </w:r>
      <w:r w:rsidR="000C36B3">
        <w:rPr>
          <w:rFonts w:eastAsia="Times New Roman"/>
        </w:rPr>
        <w:t>I</w:t>
      </w:r>
      <w:r w:rsidR="000C36B3" w:rsidRPr="00335062">
        <w:rPr>
          <w:rFonts w:eastAsia="Times New Roman"/>
        </w:rPr>
        <w:t>n monkeys</w:t>
      </w:r>
      <w:r w:rsidR="000C36B3">
        <w:rPr>
          <w:rFonts w:eastAsia="Times New Roman"/>
        </w:rPr>
        <w:t>,</w:t>
      </w:r>
      <w:r w:rsidR="000C36B3" w:rsidRPr="00335062">
        <w:rPr>
          <w:rFonts w:eastAsia="Times New Roman"/>
        </w:rPr>
        <w:t xml:space="preserve"> </w:t>
      </w:r>
      <w:r w:rsidR="000C36B3">
        <w:rPr>
          <w:rFonts w:eastAsia="Times New Roman"/>
        </w:rPr>
        <w:t>l</w:t>
      </w:r>
      <w:r w:rsidRPr="00335062">
        <w:rPr>
          <w:rFonts w:eastAsia="Times New Roman"/>
        </w:rPr>
        <w:t>enalidomide induced malformations similar to those described with thalidomide (see sections 4.6 and 5.3). If lenalidomide is taken during pregnancy, a teratogenic effect of lenalidomide in humans is expected.</w:t>
      </w:r>
    </w:p>
    <w:p w:rsidR="00506994" w:rsidRPr="00335062" w:rsidRDefault="00506994" w:rsidP="00AB7A9E"/>
    <w:p w:rsidR="00087A44" w:rsidRPr="004273C8" w:rsidRDefault="00506994" w:rsidP="00AB7A9E">
      <w:pPr>
        <w:rPr>
          <w:rFonts w:eastAsia="Times New Roman"/>
          <w:i/>
          <w:iCs/>
          <w:u w:val="single"/>
        </w:rPr>
      </w:pPr>
      <w:r w:rsidRPr="004273C8">
        <w:rPr>
          <w:rFonts w:eastAsia="Times New Roman"/>
          <w:i/>
          <w:iCs/>
          <w:u w:val="single"/>
        </w:rPr>
        <w:t>Neutropenia and thrombocytopenia</w:t>
      </w:r>
    </w:p>
    <w:p w:rsidR="00506994" w:rsidRPr="004273C8" w:rsidRDefault="00506994" w:rsidP="00AB7A9E">
      <w:pPr>
        <w:pStyle w:val="ListParagraph"/>
        <w:numPr>
          <w:ilvl w:val="0"/>
          <w:numId w:val="60"/>
        </w:numPr>
        <w:rPr>
          <w:rFonts w:eastAsia="Symbol"/>
          <w:u w:val="single"/>
        </w:rPr>
      </w:pPr>
      <w:r w:rsidRPr="004273C8">
        <w:rPr>
          <w:rFonts w:eastAsia="Times New Roman"/>
          <w:iCs/>
          <w:u w:val="single"/>
        </w:rPr>
        <w:t>Newly diagnosed multiple myeloma:  patients who have undergone ASCT treated with lenalidomide maintenance</w:t>
      </w:r>
    </w:p>
    <w:p w:rsidR="00506994" w:rsidRDefault="00506994" w:rsidP="00AB7A9E">
      <w:r>
        <w:t xml:space="preserve">Lenalidomide maintenance after ASCT is associated with a higher frequency of </w:t>
      </w:r>
      <w:r w:rsidR="000C36B3">
        <w:t>G</w:t>
      </w:r>
      <w:r>
        <w:t>rade 4 neutropenia compared to placebo maintenance (32.1% vs 26.7% [16.1% vs 1.8% after the start of maintenance treatment] in CALGB 100104 and 16.4% vs 0.7% in IFM 2005-02, respectively). Treatment-emergent AEs of neutropenia leading to lenalidomide discontinuation were reported in 2.2% of patients in CALGB 100104 and 2.4% of patients in IFM 2005-02, respectively. Grade 4 febrile neutropenia was reported at similar frequencies in the lenalidomide maintenance arms compared to placebo maintenance arms in both studies (0.4% vs 0.5% [0.4% vs 0.5% after the start of maintenance treatment] in CALGB 100104 and 0.3% vs 0% in IFM 2005-02, respectively).</w:t>
      </w:r>
    </w:p>
    <w:p w:rsidR="00506994" w:rsidRDefault="00506994" w:rsidP="00AB7A9E"/>
    <w:p w:rsidR="00506994" w:rsidRDefault="00506994" w:rsidP="00AB7A9E">
      <w:r>
        <w:t xml:space="preserve">Lenalidomide maintenance after ASCT is associated with a higher frequency of </w:t>
      </w:r>
      <w:r w:rsidR="002C788B">
        <w:t>G</w:t>
      </w:r>
      <w:r>
        <w:t>rade 3 or 4 thrombocytopenia compared to placebo maintenance (37.5% vs 30.3% [17.9% vs 4.1% after the start of maintenance treatment] in CALGB 100104 and 13.0% vs 2.9% in IFM 2005-02, respectively).</w:t>
      </w:r>
    </w:p>
    <w:p w:rsidR="00506994" w:rsidRDefault="00506994" w:rsidP="00AB7A9E"/>
    <w:p w:rsidR="002C788B" w:rsidRDefault="002C788B" w:rsidP="002C788B">
      <w:pPr>
        <w:pStyle w:val="BodyText"/>
        <w:widowControl w:val="0"/>
        <w:numPr>
          <w:ilvl w:val="1"/>
          <w:numId w:val="71"/>
        </w:numPr>
        <w:tabs>
          <w:tab w:val="left" w:pos="839"/>
        </w:tabs>
        <w:spacing w:after="0"/>
        <w:ind w:left="838" w:right="1169"/>
      </w:pPr>
      <w:r>
        <w:rPr>
          <w:spacing w:val="-1"/>
          <w:u w:val="single" w:color="000000"/>
        </w:rPr>
        <w:t>Newly</w:t>
      </w:r>
      <w:r>
        <w:rPr>
          <w:spacing w:val="-3"/>
          <w:u w:val="single" w:color="000000"/>
        </w:rPr>
        <w:t xml:space="preserve"> </w:t>
      </w:r>
      <w:r>
        <w:rPr>
          <w:spacing w:val="-1"/>
          <w:u w:val="single" w:color="000000"/>
        </w:rPr>
        <w:t>diagnosed</w:t>
      </w:r>
      <w:r>
        <w:rPr>
          <w:u w:val="single" w:color="000000"/>
        </w:rPr>
        <w:t xml:space="preserve"> </w:t>
      </w:r>
      <w:r>
        <w:rPr>
          <w:spacing w:val="-1"/>
          <w:u w:val="single" w:color="000000"/>
        </w:rPr>
        <w:t>multiple</w:t>
      </w:r>
      <w:r>
        <w:rPr>
          <w:spacing w:val="-2"/>
          <w:u w:val="single" w:color="000000"/>
        </w:rPr>
        <w:t xml:space="preserve"> myeloma</w:t>
      </w:r>
      <w:r>
        <w:rPr>
          <w:u w:val="single" w:color="000000"/>
        </w:rPr>
        <w:t xml:space="preserve"> patients </w:t>
      </w:r>
      <w:r>
        <w:rPr>
          <w:spacing w:val="-1"/>
          <w:u w:val="single" w:color="000000"/>
        </w:rPr>
        <w:t>who</w:t>
      </w:r>
      <w:r>
        <w:rPr>
          <w:u w:val="single" w:color="000000"/>
        </w:rPr>
        <w:t xml:space="preserve"> </w:t>
      </w:r>
      <w:r>
        <w:rPr>
          <w:spacing w:val="-1"/>
          <w:u w:val="single" w:color="000000"/>
        </w:rPr>
        <w:t>are</w:t>
      </w:r>
      <w:r>
        <w:rPr>
          <w:spacing w:val="-2"/>
          <w:u w:val="single" w:color="000000"/>
        </w:rPr>
        <w:t xml:space="preserve"> </w:t>
      </w:r>
      <w:r>
        <w:rPr>
          <w:u w:val="single" w:color="000000"/>
        </w:rPr>
        <w:t>not</w:t>
      </w:r>
      <w:r>
        <w:rPr>
          <w:spacing w:val="1"/>
          <w:u w:val="single" w:color="000000"/>
        </w:rPr>
        <w:t xml:space="preserve"> </w:t>
      </w:r>
      <w:r>
        <w:rPr>
          <w:spacing w:val="-1"/>
          <w:u w:val="single" w:color="000000"/>
        </w:rPr>
        <w:t>eligible</w:t>
      </w:r>
      <w:r>
        <w:rPr>
          <w:spacing w:val="-3"/>
          <w:u w:val="single" w:color="000000"/>
        </w:rPr>
        <w:t xml:space="preserve"> </w:t>
      </w:r>
      <w:r>
        <w:rPr>
          <w:u w:val="single" w:color="000000"/>
        </w:rPr>
        <w:t>for</w:t>
      </w:r>
      <w:r>
        <w:rPr>
          <w:spacing w:val="-1"/>
          <w:u w:val="single" w:color="000000"/>
        </w:rPr>
        <w:t xml:space="preserve"> transplant</w:t>
      </w:r>
      <w:r>
        <w:rPr>
          <w:spacing w:val="1"/>
          <w:u w:val="single" w:color="000000"/>
        </w:rPr>
        <w:t xml:space="preserve"> </w:t>
      </w:r>
      <w:r>
        <w:rPr>
          <w:spacing w:val="-1"/>
          <w:u w:val="single" w:color="000000"/>
        </w:rPr>
        <w:t>receiving</w:t>
      </w:r>
      <w:r>
        <w:rPr>
          <w:spacing w:val="59"/>
        </w:rPr>
        <w:t xml:space="preserve"> </w:t>
      </w:r>
      <w:r>
        <w:rPr>
          <w:spacing w:val="-1"/>
          <w:u w:val="single" w:color="000000"/>
        </w:rPr>
        <w:t>lenalidomide</w:t>
      </w:r>
      <w:r>
        <w:rPr>
          <w:u w:val="single" w:color="000000"/>
        </w:rPr>
        <w:t xml:space="preserve"> in</w:t>
      </w:r>
      <w:r>
        <w:rPr>
          <w:spacing w:val="-3"/>
          <w:u w:val="single" w:color="000000"/>
        </w:rPr>
        <w:t xml:space="preserve"> </w:t>
      </w:r>
      <w:r>
        <w:rPr>
          <w:spacing w:val="-1"/>
          <w:u w:val="single" w:color="000000"/>
        </w:rPr>
        <w:t>combination</w:t>
      </w:r>
      <w:r>
        <w:rPr>
          <w:u w:val="single" w:color="000000"/>
        </w:rPr>
        <w:t xml:space="preserve"> with</w:t>
      </w:r>
      <w:r>
        <w:rPr>
          <w:spacing w:val="-3"/>
          <w:u w:val="single" w:color="000000"/>
        </w:rPr>
        <w:t xml:space="preserve"> </w:t>
      </w:r>
      <w:r>
        <w:rPr>
          <w:spacing w:val="-1"/>
          <w:u w:val="single" w:color="000000"/>
        </w:rPr>
        <w:t>bortezomib</w:t>
      </w:r>
      <w:r>
        <w:rPr>
          <w:u w:val="single" w:color="000000"/>
        </w:rPr>
        <w:t xml:space="preserve"> and </w:t>
      </w:r>
      <w:r>
        <w:rPr>
          <w:spacing w:val="-1"/>
          <w:u w:val="single" w:color="000000"/>
        </w:rPr>
        <w:t>dexamethasone</w:t>
      </w:r>
    </w:p>
    <w:p w:rsidR="002C788B" w:rsidRDefault="002C788B" w:rsidP="002C788B">
      <w:pPr>
        <w:pStyle w:val="BodyText"/>
        <w:spacing w:before="1"/>
        <w:ind w:right="117"/>
        <w:jc w:val="both"/>
      </w:pPr>
      <w:r>
        <w:rPr>
          <w:spacing w:val="-1"/>
        </w:rPr>
        <w:t>Grade</w:t>
      </w:r>
      <w:r>
        <w:t xml:space="preserve"> 4</w:t>
      </w:r>
      <w:r>
        <w:rPr>
          <w:spacing w:val="-3"/>
        </w:rPr>
        <w:t xml:space="preserve"> </w:t>
      </w:r>
      <w:r>
        <w:rPr>
          <w:spacing w:val="-1"/>
        </w:rPr>
        <w:t>neutropenia</w:t>
      </w:r>
      <w:r>
        <w:t xml:space="preserve"> </w:t>
      </w:r>
      <w:r>
        <w:rPr>
          <w:spacing w:val="-1"/>
        </w:rPr>
        <w:t>was</w:t>
      </w:r>
      <w:r>
        <w:t xml:space="preserve"> </w:t>
      </w:r>
      <w:r>
        <w:rPr>
          <w:spacing w:val="-1"/>
        </w:rPr>
        <w:t>observed</w:t>
      </w:r>
      <w:r>
        <w:rPr>
          <w:spacing w:val="-2"/>
        </w:rPr>
        <w:t xml:space="preserve"> </w:t>
      </w:r>
      <w:r>
        <w:t xml:space="preserve">in </w:t>
      </w:r>
      <w:r>
        <w:rPr>
          <w:spacing w:val="-1"/>
        </w:rPr>
        <w:t>the</w:t>
      </w:r>
      <w:r>
        <w:t xml:space="preserve"> </w:t>
      </w:r>
      <w:r>
        <w:rPr>
          <w:spacing w:val="-1"/>
        </w:rPr>
        <w:t>RVd</w:t>
      </w:r>
      <w:r>
        <w:t xml:space="preserve"> </w:t>
      </w:r>
      <w:r>
        <w:rPr>
          <w:spacing w:val="-1"/>
        </w:rPr>
        <w:t>arm</w:t>
      </w:r>
      <w:r>
        <w:rPr>
          <w:spacing w:val="-4"/>
        </w:rPr>
        <w:t xml:space="preserve"> </w:t>
      </w:r>
      <w:r>
        <w:t xml:space="preserve">to a </w:t>
      </w:r>
      <w:r>
        <w:rPr>
          <w:spacing w:val="-1"/>
        </w:rPr>
        <w:t>lesser</w:t>
      </w:r>
      <w:r>
        <w:rPr>
          <w:spacing w:val="1"/>
        </w:rPr>
        <w:t xml:space="preserve"> </w:t>
      </w:r>
      <w:r>
        <w:rPr>
          <w:spacing w:val="-1"/>
        </w:rPr>
        <w:t>extent</w:t>
      </w:r>
      <w:r>
        <w:rPr>
          <w:spacing w:val="1"/>
        </w:rPr>
        <w:t xml:space="preserve"> </w:t>
      </w:r>
      <w:r>
        <w:rPr>
          <w:spacing w:val="-1"/>
        </w:rPr>
        <w:t>than</w:t>
      </w:r>
      <w:r>
        <w:rPr>
          <w:spacing w:val="-2"/>
        </w:rPr>
        <w:t xml:space="preserve"> </w:t>
      </w:r>
      <w:r>
        <w:t xml:space="preserve">in </w:t>
      </w:r>
      <w:r>
        <w:rPr>
          <w:spacing w:val="-1"/>
        </w:rPr>
        <w:t>the</w:t>
      </w:r>
      <w:r>
        <w:rPr>
          <w:spacing w:val="1"/>
        </w:rPr>
        <w:t xml:space="preserve"> </w:t>
      </w:r>
      <w:r>
        <w:rPr>
          <w:spacing w:val="-2"/>
        </w:rPr>
        <w:t>Rd</w:t>
      </w:r>
      <w:r>
        <w:t xml:space="preserve"> </w:t>
      </w:r>
      <w:r>
        <w:rPr>
          <w:spacing w:val="-1"/>
        </w:rPr>
        <w:t>comparator</w:t>
      </w:r>
      <w:r>
        <w:rPr>
          <w:spacing w:val="1"/>
        </w:rPr>
        <w:t xml:space="preserve"> </w:t>
      </w:r>
      <w:r>
        <w:rPr>
          <w:spacing w:val="-1"/>
        </w:rPr>
        <w:t>arm</w:t>
      </w:r>
      <w:r>
        <w:rPr>
          <w:spacing w:val="-4"/>
        </w:rPr>
        <w:t xml:space="preserve"> </w:t>
      </w:r>
      <w:r>
        <w:t>(2.7%</w:t>
      </w:r>
      <w:r>
        <w:rPr>
          <w:spacing w:val="1"/>
        </w:rPr>
        <w:t xml:space="preserve"> </w:t>
      </w:r>
      <w:r>
        <w:rPr>
          <w:spacing w:val="-2"/>
        </w:rPr>
        <w:t>vs</w:t>
      </w:r>
      <w:r>
        <w:rPr>
          <w:spacing w:val="57"/>
        </w:rPr>
        <w:t xml:space="preserve"> </w:t>
      </w:r>
      <w:r>
        <w:rPr>
          <w:spacing w:val="-1"/>
        </w:rPr>
        <w:t>5.9%)</w:t>
      </w:r>
      <w:r>
        <w:rPr>
          <w:spacing w:val="1"/>
        </w:rPr>
        <w:t xml:space="preserve"> </w:t>
      </w:r>
      <w:r>
        <w:t>in</w:t>
      </w:r>
      <w:r>
        <w:rPr>
          <w:spacing w:val="-2"/>
        </w:rPr>
        <w:t xml:space="preserve"> </w:t>
      </w:r>
      <w:r>
        <w:t>the</w:t>
      </w:r>
      <w:r>
        <w:rPr>
          <w:spacing w:val="1"/>
        </w:rPr>
        <w:t xml:space="preserve"> </w:t>
      </w:r>
      <w:r>
        <w:rPr>
          <w:spacing w:val="-1"/>
        </w:rPr>
        <w:t>SWOG S0777</w:t>
      </w:r>
      <w:r>
        <w:rPr>
          <w:spacing w:val="-2"/>
        </w:rPr>
        <w:t xml:space="preserve"> </w:t>
      </w:r>
      <w:r>
        <w:rPr>
          <w:spacing w:val="-1"/>
        </w:rPr>
        <w:t>study.</w:t>
      </w:r>
      <w:r>
        <w:t xml:space="preserve"> </w:t>
      </w:r>
      <w:r>
        <w:rPr>
          <w:spacing w:val="-1"/>
        </w:rPr>
        <w:t>Grade</w:t>
      </w:r>
      <w:r>
        <w:t xml:space="preserve"> 4 </w:t>
      </w:r>
      <w:r>
        <w:rPr>
          <w:spacing w:val="-1"/>
        </w:rPr>
        <w:t>febrile</w:t>
      </w:r>
      <w:r>
        <w:t xml:space="preserve"> </w:t>
      </w:r>
      <w:r>
        <w:rPr>
          <w:spacing w:val="-1"/>
        </w:rPr>
        <w:t>neutropenia</w:t>
      </w:r>
      <w:r>
        <w:t xml:space="preserve"> </w:t>
      </w:r>
      <w:r>
        <w:rPr>
          <w:spacing w:val="-2"/>
        </w:rPr>
        <w:t>was</w:t>
      </w:r>
      <w:r>
        <w:t xml:space="preserve"> </w:t>
      </w:r>
      <w:r>
        <w:rPr>
          <w:spacing w:val="-1"/>
        </w:rPr>
        <w:t>reported</w:t>
      </w:r>
      <w:r>
        <w:rPr>
          <w:spacing w:val="-2"/>
        </w:rPr>
        <w:t xml:space="preserve"> </w:t>
      </w:r>
      <w:r>
        <w:t>at</w:t>
      </w:r>
      <w:r>
        <w:rPr>
          <w:spacing w:val="-1"/>
        </w:rPr>
        <w:t xml:space="preserve"> similar</w:t>
      </w:r>
      <w:r>
        <w:rPr>
          <w:spacing w:val="1"/>
        </w:rPr>
        <w:t xml:space="preserve"> </w:t>
      </w:r>
      <w:r>
        <w:rPr>
          <w:spacing w:val="-1"/>
        </w:rPr>
        <w:t>frequencies</w:t>
      </w:r>
      <w:r>
        <w:rPr>
          <w:spacing w:val="-2"/>
        </w:rPr>
        <w:t xml:space="preserve"> </w:t>
      </w:r>
      <w:r>
        <w:t>in</w:t>
      </w:r>
      <w:r>
        <w:rPr>
          <w:spacing w:val="-3"/>
        </w:rPr>
        <w:t xml:space="preserve"> </w:t>
      </w:r>
      <w:r>
        <w:t xml:space="preserve">the </w:t>
      </w:r>
      <w:r>
        <w:rPr>
          <w:spacing w:val="-1"/>
        </w:rPr>
        <w:t>RVd</w:t>
      </w:r>
      <w:r>
        <w:rPr>
          <w:spacing w:val="69"/>
        </w:rPr>
        <w:t xml:space="preserve"> </w:t>
      </w:r>
      <w:r>
        <w:t>arm</w:t>
      </w:r>
      <w:r>
        <w:rPr>
          <w:spacing w:val="-4"/>
        </w:rPr>
        <w:t xml:space="preserve"> </w:t>
      </w:r>
      <w:r>
        <w:rPr>
          <w:spacing w:val="-1"/>
        </w:rPr>
        <w:t>compared</w:t>
      </w:r>
      <w:r>
        <w:t xml:space="preserve"> to</w:t>
      </w:r>
      <w:r>
        <w:rPr>
          <w:spacing w:val="-2"/>
        </w:rPr>
        <w:t xml:space="preserve"> </w:t>
      </w:r>
      <w:r>
        <w:t xml:space="preserve">the </w:t>
      </w:r>
      <w:r>
        <w:rPr>
          <w:spacing w:val="-1"/>
        </w:rPr>
        <w:t>Rd</w:t>
      </w:r>
      <w:r>
        <w:t xml:space="preserve"> </w:t>
      </w:r>
      <w:r>
        <w:rPr>
          <w:spacing w:val="-2"/>
        </w:rPr>
        <w:t>arm</w:t>
      </w:r>
      <w:r>
        <w:rPr>
          <w:spacing w:val="-4"/>
        </w:rPr>
        <w:t xml:space="preserve"> </w:t>
      </w:r>
      <w:r>
        <w:t>(0.0%</w:t>
      </w:r>
      <w:r>
        <w:rPr>
          <w:spacing w:val="1"/>
        </w:rPr>
        <w:t xml:space="preserve"> </w:t>
      </w:r>
      <w:r>
        <w:rPr>
          <w:spacing w:val="-2"/>
        </w:rPr>
        <w:t>vs</w:t>
      </w:r>
      <w:r>
        <w:t xml:space="preserve"> </w:t>
      </w:r>
      <w:r>
        <w:rPr>
          <w:spacing w:val="-1"/>
        </w:rPr>
        <w:t>0.4%).</w:t>
      </w:r>
    </w:p>
    <w:p w:rsidR="002C788B" w:rsidRDefault="002C788B" w:rsidP="002C788B">
      <w:pPr>
        <w:spacing w:before="10"/>
        <w:rPr>
          <w:rFonts w:eastAsia="Times New Roman"/>
          <w:sz w:val="21"/>
          <w:szCs w:val="21"/>
        </w:rPr>
      </w:pPr>
    </w:p>
    <w:p w:rsidR="002C788B" w:rsidRDefault="002C788B" w:rsidP="002C788B">
      <w:pPr>
        <w:pStyle w:val="BodyText"/>
        <w:ind w:right="133"/>
      </w:pPr>
      <w:r>
        <w:rPr>
          <w:spacing w:val="-1"/>
        </w:rPr>
        <w:t>Grade</w:t>
      </w:r>
      <w:r>
        <w:t xml:space="preserve"> 3</w:t>
      </w:r>
      <w:r>
        <w:rPr>
          <w:spacing w:val="-3"/>
        </w:rPr>
        <w:t xml:space="preserve"> </w:t>
      </w:r>
      <w:r>
        <w:t>or</w:t>
      </w:r>
      <w:r>
        <w:rPr>
          <w:spacing w:val="1"/>
        </w:rPr>
        <w:t xml:space="preserve"> </w:t>
      </w:r>
      <w:r>
        <w:t>4</w:t>
      </w:r>
      <w:r>
        <w:rPr>
          <w:spacing w:val="-2"/>
        </w:rPr>
        <w:t xml:space="preserve"> </w:t>
      </w:r>
      <w:r>
        <w:rPr>
          <w:spacing w:val="-1"/>
        </w:rPr>
        <w:t>thrombocytopenia</w:t>
      </w:r>
      <w:r>
        <w:t xml:space="preserve"> </w:t>
      </w:r>
      <w:r>
        <w:rPr>
          <w:spacing w:val="-2"/>
        </w:rPr>
        <w:t>was</w:t>
      </w:r>
      <w:r>
        <w:t xml:space="preserve"> </w:t>
      </w:r>
      <w:r>
        <w:rPr>
          <w:spacing w:val="-1"/>
        </w:rPr>
        <w:t>observed</w:t>
      </w:r>
      <w:r>
        <w:rPr>
          <w:spacing w:val="-3"/>
        </w:rPr>
        <w:t xml:space="preserve"> </w:t>
      </w:r>
      <w:r>
        <w:t xml:space="preserve">in </w:t>
      </w:r>
      <w:r>
        <w:rPr>
          <w:spacing w:val="-1"/>
        </w:rPr>
        <w:t>the</w:t>
      </w:r>
      <w:r>
        <w:t xml:space="preserve"> </w:t>
      </w:r>
      <w:r>
        <w:rPr>
          <w:spacing w:val="-1"/>
        </w:rPr>
        <w:t>RVd</w:t>
      </w:r>
      <w:r>
        <w:t xml:space="preserve"> </w:t>
      </w:r>
      <w:r>
        <w:rPr>
          <w:spacing w:val="-1"/>
        </w:rPr>
        <w:t>arm</w:t>
      </w:r>
      <w:r>
        <w:rPr>
          <w:spacing w:val="-4"/>
        </w:rPr>
        <w:t xml:space="preserve"> </w:t>
      </w:r>
      <w:r>
        <w:t xml:space="preserve">to a </w:t>
      </w:r>
      <w:r>
        <w:rPr>
          <w:spacing w:val="-1"/>
        </w:rPr>
        <w:t>greater</w:t>
      </w:r>
      <w:r>
        <w:rPr>
          <w:spacing w:val="-2"/>
        </w:rPr>
        <w:t xml:space="preserve"> </w:t>
      </w:r>
      <w:r>
        <w:rPr>
          <w:spacing w:val="-1"/>
        </w:rPr>
        <w:t>extent</w:t>
      </w:r>
      <w:r>
        <w:rPr>
          <w:spacing w:val="-2"/>
        </w:rPr>
        <w:t xml:space="preserve"> </w:t>
      </w:r>
      <w:r>
        <w:rPr>
          <w:spacing w:val="-1"/>
        </w:rPr>
        <w:t>than</w:t>
      </w:r>
      <w:r>
        <w:t xml:space="preserve"> in</w:t>
      </w:r>
      <w:r>
        <w:rPr>
          <w:spacing w:val="-2"/>
        </w:rPr>
        <w:t xml:space="preserve"> </w:t>
      </w:r>
      <w:r>
        <w:t>the</w:t>
      </w:r>
      <w:r>
        <w:rPr>
          <w:spacing w:val="-2"/>
        </w:rPr>
        <w:t xml:space="preserve"> </w:t>
      </w:r>
      <w:r>
        <w:rPr>
          <w:spacing w:val="-1"/>
        </w:rPr>
        <w:t>Rd</w:t>
      </w:r>
      <w:r>
        <w:t xml:space="preserve"> </w:t>
      </w:r>
      <w:r>
        <w:rPr>
          <w:spacing w:val="-1"/>
        </w:rPr>
        <w:t>comparator</w:t>
      </w:r>
      <w:r>
        <w:rPr>
          <w:spacing w:val="73"/>
        </w:rPr>
        <w:t xml:space="preserve"> </w:t>
      </w:r>
      <w:r>
        <w:t>arm</w:t>
      </w:r>
      <w:r>
        <w:rPr>
          <w:spacing w:val="-4"/>
        </w:rPr>
        <w:t xml:space="preserve"> </w:t>
      </w:r>
      <w:r>
        <w:t>(17.2 %</w:t>
      </w:r>
      <w:r>
        <w:rPr>
          <w:spacing w:val="1"/>
        </w:rPr>
        <w:t xml:space="preserve"> </w:t>
      </w:r>
      <w:r>
        <w:rPr>
          <w:spacing w:val="-2"/>
        </w:rPr>
        <w:t>vs</w:t>
      </w:r>
      <w:r>
        <w:t xml:space="preserve"> </w:t>
      </w:r>
      <w:r>
        <w:rPr>
          <w:spacing w:val="-1"/>
        </w:rPr>
        <w:t>9.4%).</w:t>
      </w:r>
    </w:p>
    <w:p w:rsidR="002C788B" w:rsidRPr="00335062" w:rsidRDefault="002C788B" w:rsidP="00AB7A9E"/>
    <w:p w:rsidR="00506994" w:rsidRPr="004273C8" w:rsidRDefault="00506994" w:rsidP="00AB7A9E">
      <w:pPr>
        <w:pStyle w:val="ListParagraph"/>
        <w:numPr>
          <w:ilvl w:val="0"/>
          <w:numId w:val="59"/>
        </w:numPr>
        <w:tabs>
          <w:tab w:val="left" w:pos="820"/>
        </w:tabs>
        <w:ind w:right="160"/>
        <w:rPr>
          <w:rFonts w:eastAsia="Symbol"/>
          <w:u w:val="single"/>
        </w:rPr>
      </w:pPr>
      <w:r w:rsidRPr="004273C8">
        <w:rPr>
          <w:rFonts w:eastAsia="Times New Roman"/>
          <w:iCs/>
          <w:u w:val="single"/>
        </w:rPr>
        <w:t>Newly diagnosed multiple myeloma:  patients who are not eligible for transplant treated with lenalidomide in combination with dexamethasone</w:t>
      </w:r>
    </w:p>
    <w:p w:rsidR="00506994" w:rsidRPr="00335062" w:rsidRDefault="00506994" w:rsidP="00AB7A9E">
      <w:pPr>
        <w:ind w:right="380"/>
      </w:pPr>
      <w:r w:rsidRPr="00335062">
        <w:rPr>
          <w:rFonts w:eastAsia="Times New Roman"/>
        </w:rPr>
        <w:t xml:space="preserve">The combination of lenalidomide with dexamethasone in newly diagnosed multiple myeloma patients is associated with a </w:t>
      </w:r>
      <w:r>
        <w:rPr>
          <w:rFonts w:eastAsia="Times New Roman"/>
        </w:rPr>
        <w:t>lower frequency</w:t>
      </w:r>
      <w:r w:rsidRPr="00335062">
        <w:rPr>
          <w:rFonts w:eastAsia="Times New Roman"/>
        </w:rPr>
        <w:t xml:space="preserve"> of </w:t>
      </w:r>
      <w:r w:rsidR="002C788B">
        <w:rPr>
          <w:rFonts w:eastAsia="Times New Roman"/>
        </w:rPr>
        <w:t>G</w:t>
      </w:r>
      <w:r w:rsidRPr="00335062">
        <w:rPr>
          <w:rFonts w:eastAsia="Times New Roman"/>
        </w:rPr>
        <w:t xml:space="preserve">rade 4 </w:t>
      </w:r>
      <w:r w:rsidRPr="00E158EB">
        <w:rPr>
          <w:rFonts w:eastAsia="Times New Roman"/>
        </w:rPr>
        <w:t>neutropenia (8.5% in Rd and Rd18, compared with MPT (15%). Grade 4 febrile neutropenia was observed infrequently (0.6% in Rd and Rd18 compared</w:t>
      </w:r>
      <w:r w:rsidR="00C938ED">
        <w:rPr>
          <w:rFonts w:eastAsia="Times New Roman"/>
        </w:rPr>
        <w:t xml:space="preserve"> </w:t>
      </w:r>
      <w:r w:rsidRPr="00E158EB">
        <w:rPr>
          <w:rFonts w:eastAsia="Times New Roman"/>
        </w:rPr>
        <w:t>with 0.7% in MPT).</w:t>
      </w:r>
    </w:p>
    <w:p w:rsidR="00506994" w:rsidRPr="00335062" w:rsidRDefault="00506994" w:rsidP="00B322EF">
      <w:pPr>
        <w:tabs>
          <w:tab w:val="left" w:pos="7371"/>
        </w:tabs>
      </w:pPr>
    </w:p>
    <w:p w:rsidR="00087A44" w:rsidRDefault="00087A44" w:rsidP="00B322EF">
      <w:pPr>
        <w:tabs>
          <w:tab w:val="left" w:pos="7371"/>
        </w:tabs>
        <w:autoSpaceDE w:val="0"/>
        <w:autoSpaceDN w:val="0"/>
        <w:adjustRightInd w:val="0"/>
        <w:rPr>
          <w:rFonts w:eastAsia="Times New Roman"/>
        </w:rPr>
      </w:pPr>
      <w:r>
        <w:rPr>
          <w:rFonts w:eastAsia="Times New Roman"/>
        </w:rPr>
        <w:t>The combination of lenalidomide with dexamethasone in newly diagnosed multiple myeloma</w:t>
      </w:r>
    </w:p>
    <w:p w:rsidR="00087A44" w:rsidRDefault="00087A44" w:rsidP="00B322EF">
      <w:pPr>
        <w:tabs>
          <w:tab w:val="left" w:pos="7371"/>
        </w:tabs>
        <w:autoSpaceDE w:val="0"/>
        <w:autoSpaceDN w:val="0"/>
        <w:adjustRightInd w:val="0"/>
        <w:rPr>
          <w:rFonts w:eastAsia="Times New Roman"/>
        </w:rPr>
      </w:pPr>
      <w:proofErr w:type="gramStart"/>
      <w:r>
        <w:rPr>
          <w:rFonts w:eastAsia="Times New Roman"/>
        </w:rPr>
        <w:t>patients</w:t>
      </w:r>
      <w:proofErr w:type="gramEnd"/>
      <w:r>
        <w:rPr>
          <w:rFonts w:eastAsia="Times New Roman"/>
        </w:rPr>
        <w:t xml:space="preserve"> is associated with a lower frequency of </w:t>
      </w:r>
      <w:r w:rsidR="002C788B">
        <w:rPr>
          <w:rFonts w:eastAsia="Times New Roman"/>
        </w:rPr>
        <w:t>G</w:t>
      </w:r>
      <w:r>
        <w:rPr>
          <w:rFonts w:eastAsia="Times New Roman"/>
        </w:rPr>
        <w:t>rade 3 and 4 thrombocytopenia (8.1% in Rd and Rd18)</w:t>
      </w:r>
    </w:p>
    <w:p w:rsidR="00506994" w:rsidRDefault="00087A44" w:rsidP="00B322EF">
      <w:pPr>
        <w:tabs>
          <w:tab w:val="left" w:pos="7371"/>
        </w:tabs>
        <w:rPr>
          <w:rFonts w:eastAsia="Times New Roman"/>
        </w:rPr>
      </w:pPr>
      <w:r>
        <w:rPr>
          <w:rFonts w:eastAsia="Times New Roman"/>
        </w:rPr>
        <w:t>compared with MPT (11</w:t>
      </w:r>
      <w:r w:rsidR="00386D89">
        <w:rPr>
          <w:rFonts w:eastAsia="Times New Roman"/>
        </w:rPr>
        <w:t>.1</w:t>
      </w:r>
      <w:r>
        <w:rPr>
          <w:rFonts w:eastAsia="Times New Roman"/>
        </w:rPr>
        <w:t>%).</w:t>
      </w:r>
    </w:p>
    <w:p w:rsidR="00087A44" w:rsidRDefault="00087A44" w:rsidP="00AB7A9E"/>
    <w:p w:rsidR="00506994" w:rsidRPr="004273C8" w:rsidRDefault="00506994" w:rsidP="00AB7A9E">
      <w:pPr>
        <w:pStyle w:val="ListParagraph"/>
        <w:numPr>
          <w:ilvl w:val="0"/>
          <w:numId w:val="59"/>
        </w:numPr>
        <w:tabs>
          <w:tab w:val="left" w:pos="820"/>
        </w:tabs>
        <w:ind w:right="160"/>
        <w:rPr>
          <w:rFonts w:eastAsia="Symbol"/>
          <w:u w:val="single"/>
        </w:rPr>
      </w:pPr>
      <w:r w:rsidRPr="004273C8">
        <w:rPr>
          <w:rFonts w:eastAsia="Times New Roman"/>
          <w:iCs/>
          <w:u w:val="single"/>
        </w:rPr>
        <w:t>Newly diagnosed multiple myeloma:  patients who are not eligible for transplant treated with lenalidomide in combination with melphalan and prednisone</w:t>
      </w:r>
    </w:p>
    <w:p w:rsidR="00506994" w:rsidRDefault="00506994" w:rsidP="00AB7A9E">
      <w:r>
        <w:t xml:space="preserve">The combination of lenalidomide with melphalan and prednisone in newly diagnosed multiple myeloma patients is associated with a higher frequency of </w:t>
      </w:r>
      <w:r w:rsidR="002C788B">
        <w:t>G</w:t>
      </w:r>
      <w:r>
        <w:t xml:space="preserve">rade 4 </w:t>
      </w:r>
      <w:r w:rsidR="00894606">
        <w:t>neutropenia</w:t>
      </w:r>
      <w:r w:rsidR="002C788B">
        <w:t xml:space="preserve"> </w:t>
      </w:r>
      <w:r>
        <w:t>(34.1% in MPR+R/MPR+p</w:t>
      </w:r>
      <w:r w:rsidR="00B322EF">
        <w:t>)</w:t>
      </w:r>
      <w:r w:rsidR="001209E4">
        <w:t xml:space="preserve"> </w:t>
      </w:r>
      <w:r>
        <w:t xml:space="preserve">compared with MPp+p (7.8%). There was a higher frequency of </w:t>
      </w:r>
      <w:r w:rsidR="002C788B">
        <w:t>G</w:t>
      </w:r>
      <w:r>
        <w:t>rade 4 febrile neutropenia observed (1.7% in MPR+R/MPR+p compared to 0.0% in MPp+p).</w:t>
      </w:r>
    </w:p>
    <w:p w:rsidR="00506994" w:rsidRDefault="00506994" w:rsidP="00AB7A9E"/>
    <w:p w:rsidR="00506994" w:rsidRDefault="00506994" w:rsidP="00AB7A9E">
      <w:r>
        <w:t xml:space="preserve">The combination of lenalidomide with melphalan and prednisone in newly diagnosed multiple myeloma patients is associated with a higher frequency of </w:t>
      </w:r>
      <w:r w:rsidR="002C788B">
        <w:t>G</w:t>
      </w:r>
      <w:r>
        <w:t xml:space="preserve">rade 3 and </w:t>
      </w:r>
      <w:r w:rsidR="002C788B">
        <w:t>G</w:t>
      </w:r>
      <w:r>
        <w:t>rade 4 thrombocytopenia (40.4% in MPR+R/MPR+p) compared with MPp+p (13.7%).</w:t>
      </w:r>
    </w:p>
    <w:p w:rsidR="00506994" w:rsidRPr="00335062" w:rsidRDefault="00506994" w:rsidP="00AB7A9E"/>
    <w:p w:rsidR="00506994" w:rsidRPr="004273C8" w:rsidRDefault="00506994" w:rsidP="00AB7A9E">
      <w:pPr>
        <w:pStyle w:val="ListParagraph"/>
        <w:numPr>
          <w:ilvl w:val="0"/>
          <w:numId w:val="59"/>
        </w:numPr>
        <w:tabs>
          <w:tab w:val="left" w:pos="720"/>
        </w:tabs>
        <w:rPr>
          <w:rFonts w:eastAsia="Symbol"/>
          <w:u w:val="single"/>
        </w:rPr>
      </w:pPr>
      <w:r w:rsidRPr="004273C8">
        <w:rPr>
          <w:rFonts w:eastAsia="Times New Roman"/>
          <w:iCs/>
          <w:u w:val="single"/>
        </w:rPr>
        <w:t>Multiple myeloma: patients with at least one prior therapy</w:t>
      </w:r>
    </w:p>
    <w:p w:rsidR="00506994" w:rsidRPr="00335062" w:rsidRDefault="00506994" w:rsidP="00AB7A9E">
      <w:pPr>
        <w:ind w:right="160"/>
      </w:pPr>
      <w:r w:rsidRPr="00335062">
        <w:rPr>
          <w:rFonts w:eastAsia="Times New Roman"/>
        </w:rPr>
        <w:t xml:space="preserve">The combination of lenalidomide with dexamethasone in multiple myeloma patients is associated with a higher incidence of </w:t>
      </w:r>
      <w:r w:rsidR="002C788B">
        <w:rPr>
          <w:rFonts w:eastAsia="Times New Roman"/>
        </w:rPr>
        <w:t>G</w:t>
      </w:r>
      <w:r w:rsidRPr="00335062">
        <w:rPr>
          <w:rFonts w:eastAsia="Times New Roman"/>
        </w:rPr>
        <w:t>rade 4 neutropenia (5.1% in lenalidomide/dexamethasone-treated patients compared with 0.6% in placebo/dexamethasone-treated patients). Grade 4 febrile neutropenia episodes were observed infrequently (0.6% in lenalidomide/dexamethasone-treated patients compared to 0.0% in</w:t>
      </w:r>
      <w:r w:rsidR="002C788B">
        <w:rPr>
          <w:rFonts w:eastAsia="Times New Roman"/>
        </w:rPr>
        <w:t xml:space="preserve"> </w:t>
      </w:r>
      <w:r w:rsidRPr="00335062">
        <w:rPr>
          <w:rFonts w:eastAsia="Times New Roman"/>
        </w:rPr>
        <w:t>placebo/dexamethasone treated patients).</w:t>
      </w:r>
    </w:p>
    <w:p w:rsidR="00506994" w:rsidRPr="00335062" w:rsidRDefault="00506994" w:rsidP="00AB7A9E"/>
    <w:p w:rsidR="00506994" w:rsidRPr="00335062" w:rsidRDefault="00506994" w:rsidP="00AB7A9E">
      <w:pPr>
        <w:ind w:right="40"/>
      </w:pPr>
      <w:r w:rsidRPr="00335062">
        <w:rPr>
          <w:rFonts w:eastAsia="Times New Roman"/>
        </w:rPr>
        <w:t xml:space="preserve">The combination of lenalidomide with dexamethasone in multiple myeloma patients is associated with a higher incidence of </w:t>
      </w:r>
      <w:r w:rsidR="00185C42">
        <w:rPr>
          <w:rFonts w:eastAsia="Times New Roman"/>
        </w:rPr>
        <w:t>G</w:t>
      </w:r>
      <w:r w:rsidRPr="00335062">
        <w:rPr>
          <w:rFonts w:eastAsia="Times New Roman"/>
        </w:rPr>
        <w:t xml:space="preserve">rade 3 and </w:t>
      </w:r>
      <w:r w:rsidR="00185C42">
        <w:rPr>
          <w:rFonts w:eastAsia="Times New Roman"/>
        </w:rPr>
        <w:t>G</w:t>
      </w:r>
      <w:r w:rsidRPr="00335062">
        <w:rPr>
          <w:rFonts w:eastAsia="Times New Roman"/>
        </w:rPr>
        <w:t xml:space="preserve">rade 4 thrombocytopenia (9.9% and 1.4%, respectively, in </w:t>
      </w:r>
      <w:r w:rsidR="00087A44">
        <w:rPr>
          <w:rFonts w:eastAsia="Times New Roman"/>
        </w:rPr>
        <w:t>l</w:t>
      </w:r>
      <w:r w:rsidRPr="00335062">
        <w:rPr>
          <w:rFonts w:eastAsia="Times New Roman"/>
        </w:rPr>
        <w:t>enalidomide/dexamethasone-treated patients compared to 2.3% and 0.0% in placebo/dexamethasone-treated patients).</w:t>
      </w:r>
    </w:p>
    <w:p w:rsidR="00506994" w:rsidRDefault="00506994" w:rsidP="00AB7A9E"/>
    <w:p w:rsidR="000404D2" w:rsidRPr="004273C8" w:rsidRDefault="00EE3678">
      <w:pPr>
        <w:pStyle w:val="ListParagraph"/>
        <w:numPr>
          <w:ilvl w:val="0"/>
          <w:numId w:val="59"/>
        </w:numPr>
        <w:tabs>
          <w:tab w:val="left" w:pos="720"/>
        </w:tabs>
        <w:rPr>
          <w:u w:val="single"/>
        </w:rPr>
      </w:pPr>
      <w:r w:rsidRPr="004273C8">
        <w:rPr>
          <w:u w:val="single"/>
        </w:rPr>
        <w:t>Myelodysplastic syndromes patients</w:t>
      </w:r>
    </w:p>
    <w:p w:rsidR="00655D0D" w:rsidRDefault="00655D0D" w:rsidP="00655D0D">
      <w:r>
        <w:t xml:space="preserve">In myelodysplastic syndromes patients, lenalidomide is associated with a higher incidence of </w:t>
      </w:r>
      <w:r w:rsidR="002C788B">
        <w:t>G</w:t>
      </w:r>
      <w:r>
        <w:t xml:space="preserve">rade 3 or 4 neutropenia (74.6% in lenalidomide-treated patients compared with 14.9% in patients on placebo in the phase </w:t>
      </w:r>
      <w:r w:rsidR="002C788B">
        <w:t>3</w:t>
      </w:r>
      <w:r>
        <w:t xml:space="preserve"> study). Grade 3 or 4 febrile neutropenia episodes were observed in 2.2% of lenalidomide-treated patients compared with 0.0% in patients on placebo). Lenalidomide is associated with a higher incidence of </w:t>
      </w:r>
      <w:r w:rsidR="002C788B">
        <w:t>G</w:t>
      </w:r>
      <w:r>
        <w:t xml:space="preserve">rade 3 or 4 thrombocytopenia (37% in lenalidomide-treated patients compared with 1.5% in patients on placebo in the phase </w:t>
      </w:r>
      <w:r w:rsidR="00745A94">
        <w:t>3</w:t>
      </w:r>
      <w:r>
        <w:t xml:space="preserve"> study).</w:t>
      </w:r>
    </w:p>
    <w:p w:rsidR="00655D0D" w:rsidRDefault="00655D0D" w:rsidP="00655D0D">
      <w:r>
        <w:t xml:space="preserve"> </w:t>
      </w:r>
    </w:p>
    <w:p w:rsidR="000404D2" w:rsidRPr="004273C8" w:rsidRDefault="00EE3678">
      <w:pPr>
        <w:pStyle w:val="ListParagraph"/>
        <w:numPr>
          <w:ilvl w:val="0"/>
          <w:numId w:val="59"/>
        </w:numPr>
        <w:tabs>
          <w:tab w:val="left" w:pos="720"/>
        </w:tabs>
        <w:rPr>
          <w:u w:val="single"/>
        </w:rPr>
      </w:pPr>
      <w:r w:rsidRPr="004273C8">
        <w:rPr>
          <w:u w:val="single"/>
        </w:rPr>
        <w:t>Mantle cell lymphoma patients</w:t>
      </w:r>
    </w:p>
    <w:p w:rsidR="00655D0D" w:rsidRDefault="00655D0D" w:rsidP="00655D0D">
      <w:r>
        <w:t xml:space="preserve">In mantle cell lymphoma patients, lenalidomide is associated with a higher incidence of </w:t>
      </w:r>
      <w:r w:rsidR="002C788B">
        <w:t>G</w:t>
      </w:r>
      <w:r>
        <w:t xml:space="preserve">rade 3 or 4 neutropenia (43.7% in lenalidomide-treated patients compared with 33.7% in patients in the control arm in the phase </w:t>
      </w:r>
      <w:r w:rsidR="002C788B">
        <w:t>2</w:t>
      </w:r>
      <w:r>
        <w:t xml:space="preserve"> study). Grade 3 or 4 febrile neutropenia episodes were observed in 6.0% of lenalidomide-treated patients compared with 2.4% in patients on control arm.</w:t>
      </w:r>
    </w:p>
    <w:p w:rsidR="00655D0D" w:rsidRDefault="00655D0D" w:rsidP="00AB7A9E"/>
    <w:p w:rsidR="002C788B" w:rsidRDefault="002C788B" w:rsidP="002C788B">
      <w:pPr>
        <w:pStyle w:val="BodyText"/>
        <w:widowControl w:val="0"/>
        <w:numPr>
          <w:ilvl w:val="1"/>
          <w:numId w:val="72"/>
        </w:numPr>
        <w:tabs>
          <w:tab w:val="left" w:pos="839"/>
        </w:tabs>
        <w:spacing w:after="0" w:line="269" w:lineRule="exact"/>
      </w:pPr>
      <w:r>
        <w:rPr>
          <w:spacing w:val="-1"/>
          <w:u w:val="single" w:color="000000"/>
        </w:rPr>
        <w:t>Follicular</w:t>
      </w:r>
      <w:r>
        <w:rPr>
          <w:spacing w:val="1"/>
          <w:u w:val="single" w:color="000000"/>
        </w:rPr>
        <w:t xml:space="preserve"> </w:t>
      </w:r>
      <w:r>
        <w:rPr>
          <w:spacing w:val="-1"/>
          <w:u w:val="single" w:color="000000"/>
        </w:rPr>
        <w:t>lymphoma</w:t>
      </w:r>
      <w:r>
        <w:rPr>
          <w:u w:val="single" w:color="000000"/>
        </w:rPr>
        <w:t xml:space="preserve"> </w:t>
      </w:r>
      <w:r>
        <w:rPr>
          <w:spacing w:val="-1"/>
          <w:u w:val="single" w:color="000000"/>
        </w:rPr>
        <w:t>patients</w:t>
      </w:r>
    </w:p>
    <w:p w:rsidR="002C788B" w:rsidRDefault="002C788B" w:rsidP="004273C8">
      <w:r>
        <w:t>The</w:t>
      </w:r>
      <w:r>
        <w:rPr>
          <w:spacing w:val="-2"/>
        </w:rPr>
        <w:t xml:space="preserve"> </w:t>
      </w:r>
      <w:r>
        <w:t>combination</w:t>
      </w:r>
      <w:r>
        <w:rPr>
          <w:spacing w:val="-2"/>
        </w:rPr>
        <w:t xml:space="preserve"> </w:t>
      </w:r>
      <w:r>
        <w:t>of lenalidomide</w:t>
      </w:r>
      <w:r>
        <w:rPr>
          <w:spacing w:val="1"/>
        </w:rPr>
        <w:t xml:space="preserve"> </w:t>
      </w:r>
      <w:r>
        <w:t>with</w:t>
      </w:r>
      <w:r>
        <w:rPr>
          <w:spacing w:val="-2"/>
        </w:rPr>
        <w:t xml:space="preserve"> </w:t>
      </w:r>
      <w:r>
        <w:t>rituximab in</w:t>
      </w:r>
      <w:r>
        <w:rPr>
          <w:spacing w:val="-2"/>
        </w:rPr>
        <w:t xml:space="preserve"> </w:t>
      </w:r>
      <w:r>
        <w:t>follicular</w:t>
      </w:r>
      <w:r>
        <w:rPr>
          <w:spacing w:val="1"/>
        </w:rPr>
        <w:t xml:space="preserve"> </w:t>
      </w:r>
      <w:r>
        <w:t>lymphoma is associated with a</w:t>
      </w:r>
      <w:r>
        <w:rPr>
          <w:spacing w:val="-2"/>
        </w:rPr>
        <w:t xml:space="preserve"> </w:t>
      </w:r>
      <w:r>
        <w:t>higher</w:t>
      </w:r>
      <w:r>
        <w:rPr>
          <w:spacing w:val="-2"/>
        </w:rPr>
        <w:t xml:space="preserve"> </w:t>
      </w:r>
      <w:r>
        <w:t xml:space="preserve">rate </w:t>
      </w:r>
      <w:r>
        <w:rPr>
          <w:spacing w:val="-2"/>
        </w:rPr>
        <w:t>of</w:t>
      </w:r>
      <w:r>
        <w:rPr>
          <w:spacing w:val="69"/>
        </w:rPr>
        <w:t xml:space="preserve"> </w:t>
      </w:r>
      <w:r w:rsidR="000519FF">
        <w:t>G</w:t>
      </w:r>
      <w:r>
        <w:t>rade 3 or</w:t>
      </w:r>
      <w:r>
        <w:rPr>
          <w:spacing w:val="1"/>
        </w:rPr>
        <w:t xml:space="preserve"> </w:t>
      </w:r>
      <w:r w:rsidR="000519FF">
        <w:t>G</w:t>
      </w:r>
      <w:r>
        <w:t>rade 4 neutropenia</w:t>
      </w:r>
      <w:r>
        <w:rPr>
          <w:spacing w:val="-2"/>
        </w:rPr>
        <w:t xml:space="preserve"> </w:t>
      </w:r>
      <w:r>
        <w:t>(50.7%</w:t>
      </w:r>
      <w:r>
        <w:rPr>
          <w:spacing w:val="1"/>
        </w:rPr>
        <w:t xml:space="preserve"> </w:t>
      </w:r>
      <w:r>
        <w:t>in lenalidomide/rituximab treated</w:t>
      </w:r>
      <w:r>
        <w:rPr>
          <w:spacing w:val="-3"/>
        </w:rPr>
        <w:t xml:space="preserve"> </w:t>
      </w:r>
      <w:r>
        <w:t>patients</w:t>
      </w:r>
      <w:r>
        <w:rPr>
          <w:spacing w:val="-2"/>
        </w:rPr>
        <w:t xml:space="preserve"> </w:t>
      </w:r>
      <w:r>
        <w:t>compared with</w:t>
      </w:r>
      <w:r>
        <w:rPr>
          <w:spacing w:val="-2"/>
        </w:rPr>
        <w:t xml:space="preserve"> </w:t>
      </w:r>
      <w:r>
        <w:t>12.2%</w:t>
      </w:r>
      <w:r>
        <w:rPr>
          <w:spacing w:val="1"/>
        </w:rPr>
        <w:t xml:space="preserve"> </w:t>
      </w:r>
      <w:r>
        <w:t>in</w:t>
      </w:r>
      <w:r>
        <w:rPr>
          <w:spacing w:val="63"/>
        </w:rPr>
        <w:t xml:space="preserve"> </w:t>
      </w:r>
      <w:r>
        <w:t>placebo/rituximab treated patients). All</w:t>
      </w:r>
      <w:r>
        <w:rPr>
          <w:spacing w:val="1"/>
        </w:rPr>
        <w:t xml:space="preserve"> </w:t>
      </w:r>
      <w:r w:rsidR="000519FF">
        <w:rPr>
          <w:spacing w:val="-2"/>
        </w:rPr>
        <w:t>G</w:t>
      </w:r>
      <w:r>
        <w:rPr>
          <w:spacing w:val="-2"/>
        </w:rPr>
        <w:t>rade</w:t>
      </w:r>
      <w:r>
        <w:t xml:space="preserve"> 3 </w:t>
      </w:r>
      <w:r>
        <w:rPr>
          <w:spacing w:val="-2"/>
        </w:rPr>
        <w:t>or</w:t>
      </w:r>
      <w:r>
        <w:rPr>
          <w:spacing w:val="1"/>
        </w:rPr>
        <w:t xml:space="preserve"> </w:t>
      </w:r>
      <w:r>
        <w:t>4 neutropenia were reversible</w:t>
      </w:r>
      <w:r>
        <w:rPr>
          <w:spacing w:val="-2"/>
        </w:rPr>
        <w:t xml:space="preserve"> </w:t>
      </w:r>
      <w:r>
        <w:t>through dose</w:t>
      </w:r>
      <w:r>
        <w:rPr>
          <w:spacing w:val="-2"/>
        </w:rPr>
        <w:t xml:space="preserve"> </w:t>
      </w:r>
      <w:r>
        <w:t>interruption,</w:t>
      </w:r>
      <w:r>
        <w:rPr>
          <w:spacing w:val="81"/>
        </w:rPr>
        <w:t xml:space="preserve"> </w:t>
      </w:r>
      <w:r>
        <w:t>reduction and/or</w:t>
      </w:r>
      <w:r>
        <w:rPr>
          <w:spacing w:val="1"/>
        </w:rPr>
        <w:t xml:space="preserve"> </w:t>
      </w:r>
      <w:r>
        <w:t>supportive</w:t>
      </w:r>
      <w:r>
        <w:rPr>
          <w:spacing w:val="-2"/>
        </w:rPr>
        <w:t xml:space="preserve"> </w:t>
      </w:r>
      <w:r>
        <w:t>care</w:t>
      </w:r>
      <w:r>
        <w:rPr>
          <w:spacing w:val="-2"/>
        </w:rPr>
        <w:t xml:space="preserve"> </w:t>
      </w:r>
      <w:r>
        <w:t>with growth</w:t>
      </w:r>
      <w:r>
        <w:rPr>
          <w:spacing w:val="-2"/>
        </w:rPr>
        <w:t xml:space="preserve"> </w:t>
      </w:r>
      <w:r>
        <w:t>factors.</w:t>
      </w:r>
      <w:r>
        <w:rPr>
          <w:spacing w:val="-2"/>
        </w:rPr>
        <w:t xml:space="preserve"> </w:t>
      </w:r>
      <w:r>
        <w:t>Additionally, febrile neutropenia</w:t>
      </w:r>
      <w:r>
        <w:rPr>
          <w:spacing w:val="-2"/>
        </w:rPr>
        <w:t xml:space="preserve"> </w:t>
      </w:r>
      <w:r>
        <w:t>was observed</w:t>
      </w:r>
      <w:r>
        <w:rPr>
          <w:spacing w:val="73"/>
        </w:rPr>
        <w:t xml:space="preserve"> </w:t>
      </w:r>
      <w:r>
        <w:t>infrequently</w:t>
      </w:r>
      <w:r>
        <w:rPr>
          <w:spacing w:val="-3"/>
        </w:rPr>
        <w:t xml:space="preserve"> </w:t>
      </w:r>
      <w:r>
        <w:t>(2.7%</w:t>
      </w:r>
      <w:r>
        <w:rPr>
          <w:spacing w:val="1"/>
        </w:rPr>
        <w:t xml:space="preserve"> </w:t>
      </w:r>
      <w:r>
        <w:t>in</w:t>
      </w:r>
      <w:r>
        <w:rPr>
          <w:spacing w:val="-2"/>
        </w:rPr>
        <w:t xml:space="preserve"> </w:t>
      </w:r>
      <w:r>
        <w:t>lenalidomide/rituximab treated patients compared with</w:t>
      </w:r>
      <w:r>
        <w:rPr>
          <w:spacing w:val="-2"/>
        </w:rPr>
        <w:t xml:space="preserve"> </w:t>
      </w:r>
      <w:r>
        <w:t>0.7% in placebo/rituximab</w:t>
      </w:r>
      <w:r>
        <w:rPr>
          <w:spacing w:val="69"/>
        </w:rPr>
        <w:t xml:space="preserve"> </w:t>
      </w:r>
      <w:r>
        <w:t>treated patients).</w:t>
      </w:r>
    </w:p>
    <w:p w:rsidR="002C788B" w:rsidRDefault="002C788B" w:rsidP="004273C8">
      <w:pPr>
        <w:rPr>
          <w:rFonts w:eastAsia="Times New Roman"/>
          <w:sz w:val="21"/>
          <w:szCs w:val="21"/>
        </w:rPr>
      </w:pPr>
    </w:p>
    <w:p w:rsidR="002C788B" w:rsidRDefault="002C788B" w:rsidP="004273C8">
      <w:r>
        <w:t>Lenalidomide</w:t>
      </w:r>
      <w:r>
        <w:rPr>
          <w:spacing w:val="1"/>
        </w:rPr>
        <w:t xml:space="preserve"> </w:t>
      </w:r>
      <w:r>
        <w:t>in combination with</w:t>
      </w:r>
      <w:r>
        <w:rPr>
          <w:spacing w:val="-2"/>
        </w:rPr>
        <w:t xml:space="preserve"> </w:t>
      </w:r>
      <w:r>
        <w:t>rituximab is also</w:t>
      </w:r>
      <w:r>
        <w:rPr>
          <w:spacing w:val="-2"/>
        </w:rPr>
        <w:t xml:space="preserve"> </w:t>
      </w:r>
      <w:r>
        <w:t>associated with a higher</w:t>
      </w:r>
      <w:r>
        <w:rPr>
          <w:spacing w:val="-2"/>
        </w:rPr>
        <w:t xml:space="preserve"> </w:t>
      </w:r>
      <w:r>
        <w:t xml:space="preserve">incidence </w:t>
      </w:r>
      <w:r>
        <w:rPr>
          <w:spacing w:val="-2"/>
        </w:rPr>
        <w:t>of</w:t>
      </w:r>
      <w:r>
        <w:rPr>
          <w:spacing w:val="1"/>
        </w:rPr>
        <w:t xml:space="preserve"> </w:t>
      </w:r>
      <w:r>
        <w:t>grade</w:t>
      </w:r>
      <w:r>
        <w:rPr>
          <w:spacing w:val="-2"/>
        </w:rPr>
        <w:t xml:space="preserve"> </w:t>
      </w:r>
      <w:r>
        <w:t>3 or 4 thrombocytopenia</w:t>
      </w:r>
      <w:r>
        <w:rPr>
          <w:spacing w:val="-2"/>
        </w:rPr>
        <w:t xml:space="preserve"> </w:t>
      </w:r>
      <w:r>
        <w:t>(1.4% in lenalidomide/rituximab treated patients compared to</w:t>
      </w:r>
      <w:r>
        <w:rPr>
          <w:spacing w:val="-2"/>
        </w:rPr>
        <w:t xml:space="preserve"> </w:t>
      </w:r>
      <w:r>
        <w:t>0%</w:t>
      </w:r>
      <w:r>
        <w:rPr>
          <w:spacing w:val="1"/>
        </w:rPr>
        <w:t xml:space="preserve"> </w:t>
      </w:r>
      <w:r>
        <w:t>in placebo/rituximab</w:t>
      </w:r>
      <w:r>
        <w:rPr>
          <w:spacing w:val="63"/>
        </w:rPr>
        <w:t xml:space="preserve"> </w:t>
      </w:r>
      <w:r>
        <w:t>patients).</w:t>
      </w:r>
    </w:p>
    <w:p w:rsidR="002C788B" w:rsidRDefault="002C788B" w:rsidP="00AB7A9E"/>
    <w:p w:rsidR="00E637C8" w:rsidRPr="004273C8" w:rsidRDefault="00E637C8" w:rsidP="00AB7A9E">
      <w:pPr>
        <w:rPr>
          <w:i/>
          <w:u w:val="single"/>
        </w:rPr>
      </w:pPr>
      <w:r w:rsidRPr="004273C8">
        <w:rPr>
          <w:rFonts w:eastAsia="Times New Roman"/>
          <w:i/>
          <w:iCs/>
          <w:u w:val="single"/>
        </w:rPr>
        <w:t>Venous thromboembolism</w:t>
      </w:r>
    </w:p>
    <w:p w:rsidR="00087A44" w:rsidRDefault="00E637C8" w:rsidP="00AB7A9E">
      <w:pPr>
        <w:rPr>
          <w:rFonts w:eastAsia="Times New Roman"/>
        </w:rPr>
      </w:pPr>
      <w:r w:rsidRPr="00746107">
        <w:rPr>
          <w:rFonts w:eastAsia="Times New Roman"/>
        </w:rPr>
        <w:t xml:space="preserve">An increased risk of DVT and PE is associated with the use of </w:t>
      </w:r>
      <w:r w:rsidR="00C938ED">
        <w:rPr>
          <w:rFonts w:eastAsia="Times New Roman"/>
        </w:rPr>
        <w:t xml:space="preserve">the combination of </w:t>
      </w:r>
      <w:r w:rsidRPr="00746107">
        <w:rPr>
          <w:rFonts w:eastAsia="Times New Roman"/>
        </w:rPr>
        <w:t xml:space="preserve">lenalidomide with dexamethasone in patients with multiple myeloma, and to a lesser extent in patients treated with </w:t>
      </w:r>
      <w:r w:rsidR="002C788B">
        <w:rPr>
          <w:rFonts w:eastAsia="Times New Roman"/>
        </w:rPr>
        <w:t xml:space="preserve">lenalidomide in combination with </w:t>
      </w:r>
      <w:r w:rsidRPr="00746107">
        <w:rPr>
          <w:rFonts w:eastAsia="Times New Roman"/>
        </w:rPr>
        <w:t xml:space="preserve">melphalan and prednisone or in patients with </w:t>
      </w:r>
      <w:r w:rsidR="002C788B">
        <w:rPr>
          <w:rFonts w:eastAsia="Times New Roman"/>
        </w:rPr>
        <w:t xml:space="preserve">multiple myeloma, </w:t>
      </w:r>
      <w:r w:rsidRPr="00C938ED">
        <w:rPr>
          <w:rFonts w:eastAsia="Times New Roman"/>
        </w:rPr>
        <w:t>myelodysplastic syndromes and mantle cell lymphoma treated with lenalidomide monotherapy (see section 4.5).</w:t>
      </w:r>
      <w:r w:rsidRPr="00746107">
        <w:rPr>
          <w:rFonts w:eastAsia="Times New Roman"/>
        </w:rPr>
        <w:t xml:space="preserve"> </w:t>
      </w:r>
    </w:p>
    <w:p w:rsidR="00E637C8" w:rsidRPr="00746107" w:rsidRDefault="00E637C8" w:rsidP="00AB7A9E">
      <w:r w:rsidRPr="00746107">
        <w:rPr>
          <w:rFonts w:eastAsia="Times New Roman"/>
        </w:rPr>
        <w:t>Concomitant administration of erythropoietic agents or previous history of DVT may also increase thrombotic risk in these patients.</w:t>
      </w:r>
    </w:p>
    <w:p w:rsidR="00E637C8" w:rsidRPr="00746107" w:rsidRDefault="00E637C8" w:rsidP="00AB7A9E"/>
    <w:p w:rsidR="00E637C8" w:rsidRPr="004273C8" w:rsidRDefault="00E637C8" w:rsidP="00AB7A9E">
      <w:pPr>
        <w:rPr>
          <w:i/>
          <w:u w:val="single"/>
        </w:rPr>
      </w:pPr>
      <w:r w:rsidRPr="004273C8">
        <w:rPr>
          <w:rFonts w:eastAsia="Times New Roman"/>
          <w:i/>
          <w:iCs/>
          <w:u w:val="single"/>
        </w:rPr>
        <w:t>Myocardial infarction</w:t>
      </w:r>
    </w:p>
    <w:p w:rsidR="00E637C8" w:rsidRPr="00746107" w:rsidRDefault="00E637C8" w:rsidP="00AB7A9E">
      <w:pPr>
        <w:rPr>
          <w:rFonts w:eastAsia="Times New Roman"/>
        </w:rPr>
      </w:pPr>
      <w:r w:rsidRPr="00746107">
        <w:rPr>
          <w:rFonts w:eastAsia="Times New Roman"/>
        </w:rPr>
        <w:t>Myocardial infarction has been reported in patients receiving lenalidomide, particularly in those with known risk factors.</w:t>
      </w:r>
    </w:p>
    <w:p w:rsidR="00E637C8" w:rsidRPr="00746107" w:rsidRDefault="00E637C8" w:rsidP="00AB7A9E">
      <w:pPr>
        <w:rPr>
          <w:rFonts w:eastAsia="Times New Roman"/>
        </w:rPr>
      </w:pPr>
    </w:p>
    <w:p w:rsidR="00E637C8" w:rsidRPr="004273C8" w:rsidRDefault="00E637C8" w:rsidP="00AB7A9E">
      <w:pPr>
        <w:rPr>
          <w:u w:val="single"/>
        </w:rPr>
      </w:pPr>
      <w:r w:rsidRPr="004273C8">
        <w:rPr>
          <w:rFonts w:eastAsia="Times New Roman"/>
          <w:i/>
          <w:iCs/>
          <w:u w:val="single"/>
        </w:rPr>
        <w:t>Haemorrhagic disorders</w:t>
      </w:r>
    </w:p>
    <w:p w:rsidR="00E637C8" w:rsidRPr="00746107" w:rsidRDefault="00E637C8" w:rsidP="00AB7A9E">
      <w:pPr>
        <w:ind w:right="480"/>
      </w:pPr>
      <w:r w:rsidRPr="00746107">
        <w:rPr>
          <w:rFonts w:eastAsia="Times New Roman"/>
        </w:rPr>
        <w:t>Haemorrhagic disorders are listed under several system organ classes: Blood and lymphatic system disorders; nervous system disorders (intracranial haemorrhage); respiratory, thoracic and mediastinal disorders (epistaxis); gastrointestinal disorders (gingival bleeding, haemorrhoidal haemorrhage, rectal haemorrhage); renal and urinary disorders (haematuria); injury, poisoning and procedural complications (contusion) and vascular disorders (ecchymosis).</w:t>
      </w:r>
    </w:p>
    <w:p w:rsidR="00E637C8" w:rsidRPr="00746107" w:rsidRDefault="00E637C8" w:rsidP="00AB7A9E"/>
    <w:p w:rsidR="00E637C8" w:rsidRPr="004273C8" w:rsidRDefault="00E637C8" w:rsidP="00AB7A9E">
      <w:pPr>
        <w:rPr>
          <w:u w:val="single"/>
        </w:rPr>
      </w:pPr>
      <w:r w:rsidRPr="004273C8">
        <w:rPr>
          <w:rFonts w:eastAsia="Times New Roman"/>
          <w:i/>
          <w:iCs/>
          <w:u w:val="single"/>
        </w:rPr>
        <w:t>Allergic reactions</w:t>
      </w:r>
      <w:r w:rsidR="00386D89">
        <w:rPr>
          <w:rFonts w:eastAsia="Times New Roman"/>
          <w:i/>
          <w:iCs/>
          <w:u w:val="single"/>
        </w:rPr>
        <w:t xml:space="preserve"> and severe skin reactions</w:t>
      </w:r>
    </w:p>
    <w:p w:rsidR="00E637C8" w:rsidRDefault="00E637C8" w:rsidP="004A3A6C">
      <w:pPr>
        <w:ind w:right="240"/>
        <w:rPr>
          <w:rFonts w:eastAsia="Times New Roman"/>
        </w:rPr>
      </w:pPr>
      <w:r w:rsidRPr="00746107">
        <w:rPr>
          <w:rFonts w:eastAsia="Times New Roman"/>
        </w:rPr>
        <w:t xml:space="preserve">Cases of allergic reactions </w:t>
      </w:r>
      <w:r w:rsidR="00386D89" w:rsidRPr="00386D89">
        <w:rPr>
          <w:rFonts w:eastAsia="Times New Roman"/>
        </w:rPr>
        <w:t xml:space="preserve">including angioedema, anaphylactic reaction and severe cutaneous reactions including SJS, TEN and DRESS </w:t>
      </w:r>
      <w:r w:rsidRPr="00746107">
        <w:rPr>
          <w:rFonts w:eastAsia="Times New Roman"/>
        </w:rPr>
        <w:t>have been reported</w:t>
      </w:r>
      <w:r w:rsidR="00386D89">
        <w:rPr>
          <w:rFonts w:eastAsia="Times New Roman"/>
        </w:rPr>
        <w:t xml:space="preserve"> with the use of lenalidomide</w:t>
      </w:r>
      <w:r w:rsidRPr="00746107">
        <w:rPr>
          <w:rFonts w:eastAsia="Times New Roman"/>
        </w:rPr>
        <w:t>. A possible cross-reaction between lenalidomide and thalidomide has been reported in the literature. Patients with a history of severe rash associated with thalidomide treatment should not receive lenalidomide</w:t>
      </w:r>
      <w:r w:rsidR="002115F3">
        <w:rPr>
          <w:rFonts w:eastAsia="Times New Roman"/>
        </w:rPr>
        <w:t xml:space="preserve"> (see section 4.4)</w:t>
      </w:r>
      <w:r w:rsidRPr="00746107">
        <w:rPr>
          <w:rFonts w:eastAsia="Times New Roman"/>
        </w:rPr>
        <w:t>.</w:t>
      </w:r>
    </w:p>
    <w:p w:rsidR="001A3B5F" w:rsidRPr="00746107" w:rsidRDefault="001A3B5F" w:rsidP="00AB7A9E">
      <w:pPr>
        <w:ind w:right="880"/>
      </w:pPr>
    </w:p>
    <w:p w:rsidR="00E637C8" w:rsidRPr="004273C8" w:rsidRDefault="00E637C8" w:rsidP="00AB7A9E">
      <w:pPr>
        <w:rPr>
          <w:u w:val="single"/>
        </w:rPr>
      </w:pPr>
      <w:r w:rsidRPr="004273C8">
        <w:rPr>
          <w:rFonts w:eastAsia="Times New Roman"/>
          <w:i/>
          <w:iCs/>
          <w:u w:val="single"/>
        </w:rPr>
        <w:t>Second primary malignancies</w:t>
      </w:r>
    </w:p>
    <w:p w:rsidR="00E637C8" w:rsidRPr="00335062" w:rsidRDefault="00E637C8" w:rsidP="00AB7A9E">
      <w:pPr>
        <w:ind w:right="460"/>
      </w:pPr>
      <w:r w:rsidRPr="00335062">
        <w:rPr>
          <w:rFonts w:eastAsia="Times New Roman"/>
        </w:rPr>
        <w:t>In clinical trials in previously treated myeloma patients with lenalidomide/dexamethasone compared to controls, mainly comprising of basal cell or squamous cell skin cancers.</w:t>
      </w:r>
    </w:p>
    <w:p w:rsidR="001A3B5F" w:rsidRDefault="001A3B5F" w:rsidP="00AB7A9E">
      <w:pPr>
        <w:rPr>
          <w:rFonts w:eastAsia="Times New Roman"/>
          <w:i/>
          <w:iCs/>
        </w:rPr>
      </w:pPr>
    </w:p>
    <w:p w:rsidR="00E637C8" w:rsidRPr="004273C8" w:rsidRDefault="00E637C8" w:rsidP="00AB7A9E">
      <w:pPr>
        <w:rPr>
          <w:rFonts w:eastAsia="Times New Roman"/>
          <w:i/>
          <w:iCs/>
          <w:u w:val="single"/>
        </w:rPr>
      </w:pPr>
      <w:r w:rsidRPr="004273C8">
        <w:rPr>
          <w:rFonts w:eastAsia="Times New Roman"/>
          <w:i/>
          <w:iCs/>
          <w:u w:val="single"/>
        </w:rPr>
        <w:t>Acute myeloid leukaemia</w:t>
      </w:r>
    </w:p>
    <w:p w:rsidR="00E637C8" w:rsidRPr="004273C8" w:rsidRDefault="00E637C8" w:rsidP="00AB7A9E">
      <w:pPr>
        <w:pStyle w:val="ListParagraph"/>
        <w:numPr>
          <w:ilvl w:val="0"/>
          <w:numId w:val="59"/>
        </w:numPr>
        <w:tabs>
          <w:tab w:val="left" w:pos="720"/>
        </w:tabs>
        <w:rPr>
          <w:u w:val="single"/>
        </w:rPr>
      </w:pPr>
      <w:r w:rsidRPr="004273C8">
        <w:rPr>
          <w:rFonts w:eastAsia="Times New Roman"/>
          <w:iCs/>
          <w:u w:val="single"/>
        </w:rPr>
        <w:t>Multiple myeloma</w:t>
      </w:r>
    </w:p>
    <w:p w:rsidR="00E637C8" w:rsidRPr="00335062" w:rsidRDefault="00E637C8" w:rsidP="00AB7A9E">
      <w:pPr>
        <w:ind w:right="120"/>
      </w:pPr>
      <w:r w:rsidRPr="00335062">
        <w:rPr>
          <w:rFonts w:eastAsia="Times New Roman"/>
        </w:rPr>
        <w:t xml:space="preserve">Cases of AML have been observed in clinical trials of newly diagnosed multiple myeloma in patients taking lenalidomide treatment in combination with melphalan or immediately following </w:t>
      </w:r>
      <w:r w:rsidR="00456AD9">
        <w:rPr>
          <w:rFonts w:eastAsia="Times New Roman"/>
        </w:rPr>
        <w:t>HDM/</w:t>
      </w:r>
      <w:r w:rsidRPr="00335062">
        <w:rPr>
          <w:rFonts w:eastAsia="Times New Roman"/>
        </w:rPr>
        <w:t>ASCT (see section 4.4). This increase was not observed in clinical trials of newly diagnosed multiple myeloma in patients taking lenalidomide in combination with dexamethasone compared to thalidomide in combination with melphalan and prednisone.</w:t>
      </w:r>
    </w:p>
    <w:p w:rsidR="00E637C8" w:rsidRDefault="00E637C8" w:rsidP="00AB7A9E"/>
    <w:p w:rsidR="000404D2" w:rsidRPr="004273C8" w:rsidRDefault="00EE3678">
      <w:pPr>
        <w:pStyle w:val="ListParagraph"/>
        <w:numPr>
          <w:ilvl w:val="0"/>
          <w:numId w:val="59"/>
        </w:numPr>
        <w:tabs>
          <w:tab w:val="left" w:pos="720"/>
        </w:tabs>
        <w:rPr>
          <w:u w:val="single"/>
        </w:rPr>
      </w:pPr>
      <w:r w:rsidRPr="004273C8">
        <w:rPr>
          <w:u w:val="single"/>
        </w:rPr>
        <w:t>Myelodysplastic syndromes</w:t>
      </w:r>
    </w:p>
    <w:p w:rsidR="00BE1FDA" w:rsidRDefault="00BE1FDA" w:rsidP="00BE1FDA">
      <w:r>
        <w:t>Baseline variables including complex cytogenetics and TP53 mutation are associated with progression to AML in subjects who are transfusion dependent and have a Del (5q) abnormality (see section 4.4). The estimated 2-year cumulative risk of progression to AML were 13.8% in patients with an isolated Del (5q) abnormality compared to 17.3% for patients with Del (5q) and one additional cytogenetic abnormality and 38.6% in patients with a complex karyotype.</w:t>
      </w:r>
    </w:p>
    <w:p w:rsidR="00BE1FDA" w:rsidRDefault="00BE1FDA" w:rsidP="00BE1FDA">
      <w:r>
        <w:t>In a post-hoc analysis of a clinical trial of lenalidomide in myelodysplastic syndromes, the estimated 2-year rate of progression to AML was 27.5 % in patients with IHC-p53 positivity and 3.6% in patients with IHC- p53 negativity (p=0.0038). In the patients with IHC-p53 positivity, a lower rate of progression to AML was observed amongst patients who achieved a transfusion independence (TI) response (11.1%) compared to a non-responder (34.8%).</w:t>
      </w:r>
    </w:p>
    <w:p w:rsidR="001209E4" w:rsidRDefault="001209E4" w:rsidP="00BE1FDA"/>
    <w:p w:rsidR="001209E4" w:rsidRPr="004273C8" w:rsidRDefault="001209E4" w:rsidP="001209E4">
      <w:pPr>
        <w:rPr>
          <w:u w:val="single"/>
        </w:rPr>
      </w:pPr>
      <w:r w:rsidRPr="004273C8">
        <w:rPr>
          <w:rFonts w:eastAsia="Times New Roman"/>
          <w:i/>
          <w:iCs/>
          <w:u w:val="single"/>
        </w:rPr>
        <w:t>Hepatic disorders</w:t>
      </w:r>
    </w:p>
    <w:p w:rsidR="001209E4" w:rsidRPr="00746107" w:rsidRDefault="001209E4" w:rsidP="001209E4">
      <w:pPr>
        <w:ind w:right="140"/>
      </w:pPr>
      <w:r w:rsidRPr="00746107">
        <w:rPr>
          <w:rFonts w:eastAsia="Times New Roman"/>
        </w:rPr>
        <w:t>The following post-marketing adverse reactions have been reported (frequency unknown): acute hepatic failure and cholestasis (both potentially fatal), toxic hepatitis, cytolytic hepatitis, mixed cytolytic/cholestatic hepatitis.</w:t>
      </w:r>
    </w:p>
    <w:p w:rsidR="00BE1FDA" w:rsidRPr="00746107" w:rsidRDefault="00BE1FDA" w:rsidP="00BE1FDA"/>
    <w:p w:rsidR="00E637C8" w:rsidRPr="004273C8" w:rsidRDefault="00E637C8" w:rsidP="00AB7A9E">
      <w:pPr>
        <w:rPr>
          <w:u w:val="single"/>
        </w:rPr>
      </w:pPr>
      <w:r w:rsidRPr="004273C8">
        <w:rPr>
          <w:rFonts w:eastAsia="Times New Roman"/>
          <w:i/>
          <w:iCs/>
          <w:u w:val="single"/>
        </w:rPr>
        <w:t>Rhabdomyolysis</w:t>
      </w:r>
    </w:p>
    <w:p w:rsidR="00E637C8" w:rsidRPr="00746107" w:rsidRDefault="00E637C8" w:rsidP="00AB7A9E">
      <w:r w:rsidRPr="00746107">
        <w:rPr>
          <w:rFonts w:eastAsia="Times New Roman"/>
        </w:rPr>
        <w:t>Rare cases of rhabdomyolysis have been observed, some of them when lenalidomide is administered with a statin.</w:t>
      </w:r>
    </w:p>
    <w:p w:rsidR="00E637C8" w:rsidRPr="00746107" w:rsidRDefault="00E637C8" w:rsidP="00AB7A9E"/>
    <w:p w:rsidR="00E637C8" w:rsidRPr="004273C8" w:rsidRDefault="00E637C8" w:rsidP="00AB7A9E">
      <w:pPr>
        <w:rPr>
          <w:u w:val="single"/>
        </w:rPr>
      </w:pPr>
      <w:r w:rsidRPr="004273C8">
        <w:rPr>
          <w:rFonts w:eastAsia="Times New Roman"/>
          <w:i/>
          <w:iCs/>
          <w:u w:val="single"/>
        </w:rPr>
        <w:t>Thyroid disorders</w:t>
      </w:r>
    </w:p>
    <w:p w:rsidR="00E637C8" w:rsidRPr="00746107" w:rsidRDefault="00E637C8" w:rsidP="00AB7A9E">
      <w:pPr>
        <w:ind w:right="880"/>
      </w:pPr>
      <w:r w:rsidRPr="00746107">
        <w:rPr>
          <w:rFonts w:eastAsia="Times New Roman"/>
        </w:rPr>
        <w:t>Cases of hypothyroidism and cases of hyperthyroidism have been reported (see section 4.4 Thyroid disorders).</w:t>
      </w:r>
    </w:p>
    <w:p w:rsidR="00E637C8" w:rsidRDefault="00E637C8" w:rsidP="00AB7A9E"/>
    <w:p w:rsidR="00BE1FDA" w:rsidRPr="004273C8" w:rsidRDefault="00EE3678" w:rsidP="00BE1FDA">
      <w:pPr>
        <w:rPr>
          <w:i/>
          <w:u w:val="single"/>
        </w:rPr>
      </w:pPr>
      <w:r w:rsidRPr="004273C8">
        <w:rPr>
          <w:i/>
          <w:u w:val="single"/>
        </w:rPr>
        <w:t>Tumour flare reaction and tumour lysis syndrome</w:t>
      </w:r>
    </w:p>
    <w:p w:rsidR="00BE1FDA" w:rsidRDefault="00BE1FDA" w:rsidP="00BE1FDA">
      <w:r>
        <w:t xml:space="preserve">In study MCL-002, approximately 10% of lenalidomide-treated patients experienced TFR compared to 0% in the control arm. The majority of the events occurred in cycle 1, all were assessed as treatment-related, and the majority of the reports were Grade 1 or 2. Patients with high MIPI at diagnosis or bulky disease (at least one lesion that is ≥ 7 cm in the longest diameter) at baseline may be at risk of TFR. In study MCL-002, TLS was reported for one patient in each of the two treatment arms. In the supportive study MCL-001, approximately 10% of subjects experienced TFR; all report were Grade 1 or </w:t>
      </w:r>
      <w:proofErr w:type="gramStart"/>
      <w:r>
        <w:t>2</w:t>
      </w:r>
      <w:proofErr w:type="gramEnd"/>
      <w:r>
        <w:t xml:space="preserve"> in severity and all were assessed as treatment-related. The majority of the events occurred in cycle 1. There were no reports of TLS in study MCL-001 (see section 4.4).</w:t>
      </w:r>
    </w:p>
    <w:p w:rsidR="0041722E" w:rsidRDefault="0041722E" w:rsidP="00BE1FDA"/>
    <w:p w:rsidR="0041722E" w:rsidRDefault="0041722E" w:rsidP="0041722E">
      <w:r>
        <w:t>In study NHL-007, TFR was reported in 19/146 (13.0%) of patients in the lenalidomide/rituximab arm versus 1/148 (0.7%) patients in the placebo/rituximab arm. Most TFRs (18 out of 19) reported in the lenalidomide/rituximab arm occurred during first two cycles of treatment. One FL patient in the lenalidomide/rituximab arm experienced a Grade 3 TFR event versus no patients in the placebo/rituximab arm. In study NHL-008, 7/177 (4.0%) of FL patients experienced TFR; (3 reports were Grade 1 and 4 reports were Grade 2 severity); while 1 report was considered serious. In study NHL-007, TLS occurred in 2 FL patients (1.4%) in the lenalidomide/rituximab arm and no FL patients in the placebo/rituximab arm; neither patient had a Grade 3 or 4 event. TLS occurred in 1 FL patient (0.6%) in study NHL-008. This single event was identified as a serious, Grade 3 adverse reaction. For study NHL-007 no patients had to discontinue lenalidomide/rituximab therapy due to TFR or TLS</w:t>
      </w:r>
      <w:r w:rsidR="00F73DCF">
        <w:t>.</w:t>
      </w:r>
    </w:p>
    <w:p w:rsidR="00BE1FDA" w:rsidRPr="00335062" w:rsidRDefault="00BE1FDA" w:rsidP="00BE1FDA"/>
    <w:p w:rsidR="00E637C8" w:rsidRPr="004273C8" w:rsidRDefault="00E637C8" w:rsidP="00AB7A9E">
      <w:pPr>
        <w:rPr>
          <w:u w:val="single"/>
        </w:rPr>
      </w:pPr>
      <w:r w:rsidRPr="004273C8">
        <w:rPr>
          <w:rFonts w:eastAsia="Times New Roman"/>
          <w:i/>
          <w:iCs/>
          <w:u w:val="single"/>
        </w:rPr>
        <w:t>Gastrointestinal disorders</w:t>
      </w:r>
    </w:p>
    <w:p w:rsidR="00E637C8" w:rsidRPr="00335062" w:rsidRDefault="00E637C8" w:rsidP="00AB7A9E">
      <w:pPr>
        <w:ind w:right="680"/>
      </w:pPr>
      <w:r w:rsidRPr="00335062">
        <w:rPr>
          <w:rFonts w:eastAsia="Times New Roman"/>
        </w:rPr>
        <w:t>Gastrointestinal perforations have been reported during treatment with lenalidomide. Gastrointestinal perforations may lead to septic complications and may be associated with fatal outcome.</w:t>
      </w:r>
    </w:p>
    <w:p w:rsidR="00506994" w:rsidRPr="00335062" w:rsidRDefault="00506994" w:rsidP="00AB7A9E"/>
    <w:p w:rsidR="00506994" w:rsidRPr="00335062" w:rsidRDefault="00506994" w:rsidP="00AB7A9E">
      <w:r w:rsidRPr="00335062">
        <w:rPr>
          <w:rFonts w:eastAsia="Times New Roman"/>
          <w:u w:val="single"/>
        </w:rPr>
        <w:t>Reporting of suspected adverse reactions</w:t>
      </w:r>
    </w:p>
    <w:p w:rsidR="00506994" w:rsidRPr="00335062" w:rsidRDefault="00506994" w:rsidP="00AB7A9E">
      <w:pPr>
        <w:ind w:right="200"/>
      </w:pPr>
      <w:r w:rsidRPr="00335062">
        <w:rPr>
          <w:rFonts w:eastAsia="Times New Roman"/>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335062">
        <w:rPr>
          <w:rFonts w:eastAsia="Times New Roman"/>
          <w:highlight w:val="lightGray"/>
        </w:rPr>
        <w:t>the national reporting system</w:t>
      </w:r>
      <w:r>
        <w:rPr>
          <w:rFonts w:eastAsia="Times New Roman"/>
          <w:highlight w:val="lightGray"/>
        </w:rPr>
        <w:t xml:space="preserve"> </w:t>
      </w:r>
      <w:r w:rsidRPr="00335062">
        <w:rPr>
          <w:rFonts w:eastAsia="Times New Roman"/>
          <w:highlight w:val="lightGray"/>
        </w:rPr>
        <w:t xml:space="preserve">listed in </w:t>
      </w:r>
      <w:r w:rsidRPr="00335062">
        <w:rPr>
          <w:rFonts w:eastAsia="Times New Roman"/>
          <w:color w:val="0000FF"/>
          <w:highlight w:val="lightGray"/>
          <w:u w:val="single"/>
        </w:rPr>
        <w:t>Appendix V</w:t>
      </w:r>
      <w:r w:rsidRPr="00335062">
        <w:rPr>
          <w:rFonts w:eastAsia="Times New Roman"/>
          <w:highlight w:val="lightGray"/>
        </w:rPr>
        <w:t>.</w:t>
      </w:r>
    </w:p>
    <w:p w:rsidR="00506994" w:rsidRPr="00335062" w:rsidRDefault="00506994" w:rsidP="00AB7A9E"/>
    <w:p w:rsidR="00506994" w:rsidRPr="00335062" w:rsidRDefault="00506994" w:rsidP="00AB7A9E">
      <w:pPr>
        <w:tabs>
          <w:tab w:val="left" w:pos="541"/>
        </w:tabs>
      </w:pPr>
      <w:r w:rsidRPr="00335062">
        <w:rPr>
          <w:rFonts w:eastAsia="Times New Roman"/>
          <w:b/>
          <w:bCs/>
        </w:rPr>
        <w:t>4.9</w:t>
      </w:r>
      <w:r w:rsidRPr="00335062">
        <w:rPr>
          <w:rFonts w:eastAsia="Times New Roman"/>
          <w:b/>
          <w:bCs/>
        </w:rPr>
        <w:tab/>
        <w:t>Overdose</w:t>
      </w:r>
    </w:p>
    <w:p w:rsidR="00506994" w:rsidRPr="00335062" w:rsidRDefault="00506994" w:rsidP="00AB7A9E"/>
    <w:p w:rsidR="00506994" w:rsidRPr="00335062" w:rsidRDefault="00506994" w:rsidP="00AB7A9E">
      <w:pPr>
        <w:ind w:right="100"/>
      </w:pPr>
      <w:r w:rsidRPr="00335062">
        <w:rPr>
          <w:rFonts w:eastAsia="Times New Roman"/>
        </w:rPr>
        <w:t>There is no specific experience in the management of lenalidomide overdose in patients, although in dose-ranging studies some patients were exposed to up to 150 mg, and in single-dose studies, some patients were exposed to up to 400 mg. The dose limiting toxicity in these studies was essentially haematological. In the event of overdose, supportive care is advised.</w:t>
      </w:r>
    </w:p>
    <w:p w:rsidR="00506994" w:rsidRPr="00335062" w:rsidRDefault="00506994" w:rsidP="00AB7A9E"/>
    <w:p w:rsidR="00506994" w:rsidRPr="00335062" w:rsidRDefault="00506994" w:rsidP="00AB7A9E"/>
    <w:p w:rsidR="00506994" w:rsidRDefault="00506994" w:rsidP="00AB7A9E">
      <w:pPr>
        <w:numPr>
          <w:ilvl w:val="0"/>
          <w:numId w:val="32"/>
        </w:numPr>
        <w:tabs>
          <w:tab w:val="left" w:pos="568"/>
        </w:tabs>
        <w:ind w:right="5200"/>
        <w:rPr>
          <w:rFonts w:eastAsia="Times New Roman"/>
          <w:b/>
          <w:bCs/>
        </w:rPr>
      </w:pPr>
      <w:r w:rsidRPr="00335062">
        <w:rPr>
          <w:rFonts w:eastAsia="Times New Roman"/>
          <w:b/>
          <w:bCs/>
        </w:rPr>
        <w:t xml:space="preserve">PHARMACOLOGICAL PROPERTIES </w:t>
      </w:r>
    </w:p>
    <w:p w:rsidR="00506994" w:rsidRDefault="00506994" w:rsidP="00AB7A9E">
      <w:pPr>
        <w:tabs>
          <w:tab w:val="left" w:pos="568"/>
        </w:tabs>
        <w:ind w:right="5200"/>
        <w:rPr>
          <w:rFonts w:eastAsia="Times New Roman"/>
          <w:b/>
          <w:bCs/>
        </w:rPr>
      </w:pPr>
    </w:p>
    <w:p w:rsidR="00506994" w:rsidRDefault="00506994" w:rsidP="00AB7A9E">
      <w:pPr>
        <w:tabs>
          <w:tab w:val="left" w:pos="568"/>
        </w:tabs>
        <w:ind w:right="5200"/>
        <w:rPr>
          <w:rFonts w:eastAsia="Times New Roman"/>
          <w:b/>
          <w:bCs/>
        </w:rPr>
      </w:pPr>
      <w:r w:rsidRPr="00335062">
        <w:rPr>
          <w:rFonts w:eastAsia="Times New Roman"/>
          <w:b/>
          <w:bCs/>
        </w:rPr>
        <w:t xml:space="preserve">5.1 </w:t>
      </w:r>
      <w:r>
        <w:rPr>
          <w:rFonts w:eastAsia="Times New Roman"/>
          <w:b/>
          <w:bCs/>
        </w:rPr>
        <w:tab/>
      </w:r>
      <w:r w:rsidRPr="00335062">
        <w:rPr>
          <w:rFonts w:eastAsia="Times New Roman"/>
          <w:b/>
          <w:bCs/>
        </w:rPr>
        <w:t>Pharmacodynamic properties</w:t>
      </w:r>
    </w:p>
    <w:p w:rsidR="00506994" w:rsidRPr="00335062" w:rsidRDefault="00506994" w:rsidP="00AB7A9E">
      <w:pPr>
        <w:tabs>
          <w:tab w:val="left" w:pos="568"/>
        </w:tabs>
        <w:ind w:right="5200"/>
        <w:rPr>
          <w:rFonts w:eastAsia="Times New Roman"/>
          <w:b/>
          <w:bCs/>
        </w:rPr>
      </w:pPr>
    </w:p>
    <w:p w:rsidR="00506994" w:rsidRPr="00335062" w:rsidRDefault="00506994" w:rsidP="00A84A4F">
      <w:r w:rsidRPr="00335062">
        <w:rPr>
          <w:rFonts w:eastAsia="Times New Roman"/>
        </w:rPr>
        <w:t xml:space="preserve">Pharmacotherapeutic group: </w:t>
      </w:r>
      <w:r w:rsidR="00D92917">
        <w:rPr>
          <w:rFonts w:eastAsia="Times New Roman"/>
        </w:rPr>
        <w:t>O</w:t>
      </w:r>
      <w:r w:rsidR="00814DFD" w:rsidRPr="00335062">
        <w:rPr>
          <w:rFonts w:eastAsia="Times New Roman"/>
        </w:rPr>
        <w:t xml:space="preserve">ther </w:t>
      </w:r>
      <w:r w:rsidRPr="00335062">
        <w:rPr>
          <w:rFonts w:eastAsia="Times New Roman"/>
        </w:rPr>
        <w:t>immunosuppressants. ATC code: L04AX04.</w:t>
      </w:r>
    </w:p>
    <w:p w:rsidR="00506994" w:rsidRPr="00335062" w:rsidRDefault="00506994" w:rsidP="00AB7A9E"/>
    <w:p w:rsidR="00506994" w:rsidRPr="00335062" w:rsidRDefault="00506994" w:rsidP="00AB7A9E">
      <w:r w:rsidRPr="00335062">
        <w:rPr>
          <w:rFonts w:eastAsia="Times New Roman"/>
          <w:u w:val="single"/>
        </w:rPr>
        <w:t>Mechanism of action</w:t>
      </w:r>
    </w:p>
    <w:p w:rsidR="0041722E" w:rsidRDefault="0041722E" w:rsidP="0041722E">
      <w:pPr>
        <w:ind w:right="20"/>
        <w:rPr>
          <w:rFonts w:eastAsia="Times New Roman"/>
        </w:rPr>
      </w:pPr>
      <w:r w:rsidRPr="00335062">
        <w:rPr>
          <w:rFonts w:eastAsia="Times New Roman"/>
        </w:rPr>
        <w:t xml:space="preserve">Lenalidomide binds directly to cereblon, a component of a cullin ring E3 ubiquitin ligase enzyme complex that includes deoxyribonucleic acid (DNA) damage-binding protein 1(DDB1), cullin 4 (CUL4), and regulator of cullins 1 (Roc1). In </w:t>
      </w:r>
      <w:r>
        <w:rPr>
          <w:rFonts w:eastAsia="Times New Roman"/>
        </w:rPr>
        <w:t>h</w:t>
      </w:r>
      <w:r w:rsidR="009D2CF1">
        <w:rPr>
          <w:rFonts w:eastAsia="Times New Roman"/>
        </w:rPr>
        <w:t>a</w:t>
      </w:r>
      <w:r>
        <w:rPr>
          <w:rFonts w:eastAsia="Times New Roman"/>
        </w:rPr>
        <w:t>ematopoietic cells,</w:t>
      </w:r>
      <w:r w:rsidRPr="00335062">
        <w:rPr>
          <w:rFonts w:eastAsia="Times New Roman"/>
        </w:rPr>
        <w:t xml:space="preserve"> lenalidomide</w:t>
      </w:r>
      <w:r>
        <w:rPr>
          <w:rFonts w:eastAsia="Times New Roman"/>
        </w:rPr>
        <w:t xml:space="preserve"> binding to</w:t>
      </w:r>
      <w:r w:rsidRPr="00335062">
        <w:rPr>
          <w:rFonts w:eastAsia="Times New Roman"/>
        </w:rPr>
        <w:t xml:space="preserve"> cereblon </w:t>
      </w:r>
      <w:r>
        <w:rPr>
          <w:rFonts w:eastAsia="Times New Roman"/>
        </w:rPr>
        <w:t>recruits</w:t>
      </w:r>
      <w:r w:rsidRPr="00335062">
        <w:rPr>
          <w:rFonts w:eastAsia="Times New Roman"/>
        </w:rPr>
        <w:t xml:space="preserve"> substrate proteins Aiolos and Ikaros</w:t>
      </w:r>
      <w:r>
        <w:rPr>
          <w:rFonts w:eastAsia="Times New Roman"/>
        </w:rPr>
        <w:t xml:space="preserve">, </w:t>
      </w:r>
      <w:r w:rsidRPr="00335062">
        <w:rPr>
          <w:rFonts w:eastAsia="Times New Roman"/>
        </w:rPr>
        <w:t>lymphoid transcriptional factors, leading to their ubiquitination and subsequent degradation resulting in</w:t>
      </w:r>
      <w:r>
        <w:rPr>
          <w:rFonts w:eastAsia="Times New Roman"/>
        </w:rPr>
        <w:t xml:space="preserve"> direct</w:t>
      </w:r>
      <w:r w:rsidRPr="00335062">
        <w:rPr>
          <w:rFonts w:eastAsia="Times New Roman"/>
        </w:rPr>
        <w:t xml:space="preserve"> cytotoxic and immunomodulatory effects.</w:t>
      </w:r>
    </w:p>
    <w:p w:rsidR="0041722E" w:rsidRPr="00335062" w:rsidRDefault="0041722E" w:rsidP="0041722E">
      <w:pPr>
        <w:ind w:right="20"/>
      </w:pPr>
    </w:p>
    <w:p w:rsidR="0041722E" w:rsidRDefault="00506994" w:rsidP="0041722E">
      <w:r w:rsidRPr="00335062">
        <w:rPr>
          <w:rFonts w:eastAsia="Times New Roman"/>
        </w:rPr>
        <w:t>Specifically, lenalidomide inhibits proliferation</w:t>
      </w:r>
      <w:r w:rsidR="0041722E">
        <w:rPr>
          <w:rFonts w:eastAsia="Times New Roman"/>
        </w:rPr>
        <w:t xml:space="preserve"> and enhances apoptosis</w:t>
      </w:r>
      <w:r w:rsidRPr="00335062">
        <w:rPr>
          <w:rFonts w:eastAsia="Times New Roman"/>
        </w:rPr>
        <w:t xml:space="preserve"> of certain haematopoietic tumour cells (including MM plasma tumour cells</w:t>
      </w:r>
      <w:r w:rsidR="009D2CF1">
        <w:rPr>
          <w:rFonts w:eastAsia="Times New Roman"/>
        </w:rPr>
        <w:t>, follicular lymphoma tumour cells</w:t>
      </w:r>
      <w:r w:rsidRPr="00335062">
        <w:rPr>
          <w:rFonts w:eastAsia="Times New Roman"/>
        </w:rPr>
        <w:t xml:space="preserve"> and those with deletions of chromosome 5), enhances T cell- and Natural Killer (NK) cell-mediated immunity and increases the number of NK</w:t>
      </w:r>
      <w:r w:rsidR="009D2CF1">
        <w:rPr>
          <w:rFonts w:eastAsia="Times New Roman"/>
        </w:rPr>
        <w:t>, T and NK</w:t>
      </w:r>
      <w:r w:rsidRPr="00335062">
        <w:rPr>
          <w:rFonts w:eastAsia="Times New Roman"/>
        </w:rPr>
        <w:t xml:space="preserve"> T cells</w:t>
      </w:r>
      <w:r w:rsidR="0041722E">
        <w:rPr>
          <w:rFonts w:eastAsia="Times New Roman"/>
        </w:rPr>
        <w:t xml:space="preserve">. </w:t>
      </w:r>
      <w:r w:rsidR="0041722E" w:rsidRPr="00C938ED">
        <w:t>In MDS Del (5q), lenalidomide selectively inhibit</w:t>
      </w:r>
      <w:r w:rsidR="0041722E">
        <w:t>s</w:t>
      </w:r>
      <w:r w:rsidR="0041722E" w:rsidRPr="00C938ED">
        <w:t xml:space="preserve"> the abnormal clone by increasing the apoptosis of Del (5q) cells.</w:t>
      </w:r>
      <w:r w:rsidR="0041722E">
        <w:t xml:space="preserve"> </w:t>
      </w:r>
    </w:p>
    <w:p w:rsidR="00AC3004" w:rsidRDefault="00AC3004" w:rsidP="0041722E">
      <w:r>
        <w:t>The</w:t>
      </w:r>
      <w:r w:rsidR="00F73DCF">
        <w:t xml:space="preserve"> </w:t>
      </w:r>
      <w:r>
        <w:t xml:space="preserve">combination of lenalidomide and rituximab increases ADCC and direct tumor apoptosis in follicular lymphoma cells. </w:t>
      </w:r>
    </w:p>
    <w:p w:rsidR="00C938ED" w:rsidRDefault="0041722E" w:rsidP="004273C8">
      <w:pPr>
        <w:rPr>
          <w:rFonts w:eastAsia="Times New Roman"/>
        </w:rPr>
      </w:pPr>
      <w:r w:rsidRPr="00335062">
        <w:rPr>
          <w:rFonts w:eastAsia="Times New Roman"/>
        </w:rPr>
        <w:t xml:space="preserve">The lenalidomide mechanism of action </w:t>
      </w:r>
      <w:r w:rsidR="00AC3004">
        <w:rPr>
          <w:rFonts w:eastAsia="Times New Roman"/>
        </w:rPr>
        <w:t xml:space="preserve">also </w:t>
      </w:r>
      <w:r w:rsidRPr="00335062">
        <w:rPr>
          <w:rFonts w:eastAsia="Times New Roman"/>
        </w:rPr>
        <w:t>includes</w:t>
      </w:r>
      <w:r>
        <w:rPr>
          <w:rFonts w:eastAsia="Times New Roman"/>
        </w:rPr>
        <w:t xml:space="preserve"> additional activities such as</w:t>
      </w:r>
      <w:r w:rsidRPr="00335062">
        <w:rPr>
          <w:rFonts w:eastAsia="Times New Roman"/>
        </w:rPr>
        <w:t xml:space="preserve"> anti-</w:t>
      </w:r>
      <w:r>
        <w:rPr>
          <w:rFonts w:eastAsia="Times New Roman"/>
        </w:rPr>
        <w:t xml:space="preserve">angiogenic, </w:t>
      </w:r>
      <w:r w:rsidR="009D2CF1">
        <w:rPr>
          <w:rFonts w:eastAsia="Times New Roman"/>
        </w:rPr>
        <w:t xml:space="preserve">and </w:t>
      </w:r>
      <w:r>
        <w:rPr>
          <w:rFonts w:eastAsia="Times New Roman"/>
        </w:rPr>
        <w:t xml:space="preserve">pro-erythropoietic </w:t>
      </w:r>
      <w:r w:rsidRPr="00335062">
        <w:rPr>
          <w:rFonts w:eastAsia="Times New Roman"/>
        </w:rPr>
        <w:t>properties.</w:t>
      </w:r>
      <w:r w:rsidR="00AC3004">
        <w:rPr>
          <w:rFonts w:eastAsia="Times New Roman"/>
        </w:rPr>
        <w:t xml:space="preserve"> Lenalidomide </w:t>
      </w:r>
      <w:r w:rsidR="00506994" w:rsidRPr="00335062">
        <w:rPr>
          <w:rFonts w:eastAsia="Times New Roman"/>
        </w:rPr>
        <w:t>inhibits angiogenesis by blocking the migration and adhesion of endothelial cells and the formation of microvessels, augments foetal haemoglobin production by CD34+ haematopoietic stem cells, and inhibits production of pro-inflammatory cytokines (e.g., TNF-α</w:t>
      </w:r>
      <w:r w:rsidR="00506994">
        <w:rPr>
          <w:rFonts w:eastAsia="Symbol"/>
        </w:rPr>
        <w:t xml:space="preserve"> </w:t>
      </w:r>
      <w:r w:rsidR="00506994" w:rsidRPr="00335062">
        <w:rPr>
          <w:rFonts w:eastAsia="Times New Roman"/>
        </w:rPr>
        <w:t>and IL-6) by monocytes.</w:t>
      </w:r>
    </w:p>
    <w:p w:rsidR="00506994" w:rsidRPr="00335062" w:rsidRDefault="00506994" w:rsidP="00AB7A9E"/>
    <w:p w:rsidR="00506994" w:rsidRDefault="00506994" w:rsidP="00AB7A9E">
      <w:pPr>
        <w:rPr>
          <w:rFonts w:eastAsia="Times New Roman"/>
          <w:u w:val="single"/>
        </w:rPr>
      </w:pPr>
      <w:r w:rsidRPr="00335062">
        <w:rPr>
          <w:rFonts w:eastAsia="Times New Roman"/>
          <w:u w:val="single"/>
        </w:rPr>
        <w:t>Clinical efficacy and safety</w:t>
      </w:r>
    </w:p>
    <w:p w:rsidR="00AB7A9E" w:rsidRDefault="00AB7A9E" w:rsidP="00AB7A9E">
      <w:pPr>
        <w:autoSpaceDE w:val="0"/>
        <w:autoSpaceDN w:val="0"/>
        <w:adjustRightInd w:val="0"/>
        <w:rPr>
          <w:rFonts w:eastAsia="Times New Roman"/>
        </w:rPr>
      </w:pPr>
      <w:r>
        <w:rPr>
          <w:rFonts w:eastAsia="Times New Roman"/>
        </w:rPr>
        <w:t>Lenalidomide efficacy and safety have been evaluated in</w:t>
      </w:r>
      <w:r w:rsidR="00AC3004">
        <w:rPr>
          <w:rFonts w:eastAsia="Times New Roman"/>
        </w:rPr>
        <w:t xml:space="preserve"> six</w:t>
      </w:r>
      <w:r>
        <w:rPr>
          <w:rFonts w:eastAsia="Times New Roman"/>
        </w:rPr>
        <w:t xml:space="preserve"> phase </w:t>
      </w:r>
      <w:r w:rsidR="00AC3004">
        <w:rPr>
          <w:rFonts w:eastAsia="Times New Roman"/>
        </w:rPr>
        <w:t>3</w:t>
      </w:r>
      <w:r>
        <w:rPr>
          <w:rFonts w:eastAsia="Times New Roman"/>
        </w:rPr>
        <w:t xml:space="preserve"> studies in newly diagnosed multiple</w:t>
      </w:r>
    </w:p>
    <w:p w:rsidR="000404D2" w:rsidRDefault="00AB7A9E">
      <w:pPr>
        <w:autoSpaceDE w:val="0"/>
        <w:autoSpaceDN w:val="0"/>
        <w:adjustRightInd w:val="0"/>
        <w:rPr>
          <w:rFonts w:eastAsia="Times New Roman"/>
        </w:rPr>
      </w:pPr>
      <w:r>
        <w:rPr>
          <w:rFonts w:eastAsia="Times New Roman"/>
        </w:rPr>
        <w:t xml:space="preserve">myeloma, two phase </w:t>
      </w:r>
      <w:r w:rsidR="00AC3004">
        <w:rPr>
          <w:rFonts w:eastAsia="Times New Roman"/>
        </w:rPr>
        <w:t xml:space="preserve">3 </w:t>
      </w:r>
      <w:r>
        <w:rPr>
          <w:rFonts w:eastAsia="Times New Roman"/>
        </w:rPr>
        <w:t>studies in relapsed refractory multiple myeloma</w:t>
      </w:r>
      <w:r w:rsidR="00AC3004">
        <w:rPr>
          <w:rFonts w:eastAsia="Times New Roman"/>
        </w:rPr>
        <w:t xml:space="preserve">, </w:t>
      </w:r>
      <w:r w:rsidR="00AC3004" w:rsidRPr="00B2301B">
        <w:rPr>
          <w:rFonts w:eastAsia="Times New Roman"/>
          <w:shd w:val="clear" w:color="auto" w:fill="FDE9D9" w:themeFill="accent6" w:themeFillTint="33"/>
        </w:rPr>
        <w:t xml:space="preserve">one phase 3 study and one phase 2 study in </w:t>
      </w:r>
      <w:r w:rsidR="00AC3004" w:rsidRPr="00B2301B">
        <w:rPr>
          <w:spacing w:val="-1"/>
          <w:shd w:val="clear" w:color="auto" w:fill="FDE9D9" w:themeFill="accent6" w:themeFillTint="33"/>
        </w:rPr>
        <w:t>myelodysplastic</w:t>
      </w:r>
      <w:r w:rsidR="00AC3004" w:rsidRPr="00B2301B">
        <w:rPr>
          <w:spacing w:val="-2"/>
          <w:shd w:val="clear" w:color="auto" w:fill="FDE9D9" w:themeFill="accent6" w:themeFillTint="33"/>
        </w:rPr>
        <w:t xml:space="preserve"> </w:t>
      </w:r>
      <w:r w:rsidR="00AC3004" w:rsidRPr="00B2301B">
        <w:rPr>
          <w:spacing w:val="-1"/>
          <w:shd w:val="clear" w:color="auto" w:fill="FDE9D9" w:themeFill="accent6" w:themeFillTint="33"/>
        </w:rPr>
        <w:t>syndromes</w:t>
      </w:r>
      <w:r w:rsidR="00AC3004" w:rsidRPr="00B2301B">
        <w:rPr>
          <w:shd w:val="clear" w:color="auto" w:fill="FDE9D9" w:themeFill="accent6" w:themeFillTint="33"/>
        </w:rPr>
        <w:t xml:space="preserve"> and</w:t>
      </w:r>
      <w:r w:rsidR="00AC3004">
        <w:t xml:space="preserve"> </w:t>
      </w:r>
      <w:r w:rsidR="00AC3004" w:rsidRPr="00B2301B">
        <w:rPr>
          <w:spacing w:val="-1"/>
          <w:shd w:val="clear" w:color="auto" w:fill="DBE5F1" w:themeFill="accent1" w:themeFillTint="33"/>
        </w:rPr>
        <w:t>one</w:t>
      </w:r>
      <w:r w:rsidR="00AC3004" w:rsidRPr="00B2301B">
        <w:rPr>
          <w:shd w:val="clear" w:color="auto" w:fill="DBE5F1" w:themeFill="accent1" w:themeFillTint="33"/>
        </w:rPr>
        <w:t xml:space="preserve"> </w:t>
      </w:r>
      <w:r w:rsidR="00AC3004" w:rsidRPr="00B2301B">
        <w:rPr>
          <w:spacing w:val="-1"/>
          <w:shd w:val="clear" w:color="auto" w:fill="DBE5F1" w:themeFill="accent1" w:themeFillTint="33"/>
        </w:rPr>
        <w:t>phase</w:t>
      </w:r>
      <w:r w:rsidR="00AC3004" w:rsidRPr="00B2301B">
        <w:rPr>
          <w:shd w:val="clear" w:color="auto" w:fill="DBE5F1" w:themeFill="accent1" w:themeFillTint="33"/>
        </w:rPr>
        <w:t xml:space="preserve"> 2</w:t>
      </w:r>
      <w:r w:rsidR="00AC3004" w:rsidRPr="00B2301B">
        <w:rPr>
          <w:spacing w:val="-3"/>
          <w:shd w:val="clear" w:color="auto" w:fill="DBE5F1" w:themeFill="accent1" w:themeFillTint="33"/>
        </w:rPr>
        <w:t xml:space="preserve"> </w:t>
      </w:r>
      <w:r w:rsidR="00AC3004" w:rsidRPr="00B2301B">
        <w:rPr>
          <w:spacing w:val="-1"/>
          <w:shd w:val="clear" w:color="auto" w:fill="DBE5F1" w:themeFill="accent1" w:themeFillTint="33"/>
        </w:rPr>
        <w:t>study</w:t>
      </w:r>
      <w:r w:rsidR="00AC3004" w:rsidRPr="00B2301B">
        <w:rPr>
          <w:spacing w:val="-3"/>
          <w:shd w:val="clear" w:color="auto" w:fill="DBE5F1" w:themeFill="accent1" w:themeFillTint="33"/>
        </w:rPr>
        <w:t xml:space="preserve"> </w:t>
      </w:r>
      <w:r w:rsidR="00AC3004" w:rsidRPr="00B2301B">
        <w:rPr>
          <w:shd w:val="clear" w:color="auto" w:fill="DBE5F1" w:themeFill="accent1" w:themeFillTint="33"/>
        </w:rPr>
        <w:t xml:space="preserve">in </w:t>
      </w:r>
      <w:r w:rsidR="00AC3004" w:rsidRPr="00B2301B">
        <w:rPr>
          <w:spacing w:val="-1"/>
          <w:shd w:val="clear" w:color="auto" w:fill="DBE5F1" w:themeFill="accent1" w:themeFillTint="33"/>
        </w:rPr>
        <w:t>mantle</w:t>
      </w:r>
      <w:r w:rsidR="00AC3004" w:rsidRPr="00B2301B">
        <w:rPr>
          <w:shd w:val="clear" w:color="auto" w:fill="DBE5F1" w:themeFill="accent1" w:themeFillTint="33"/>
        </w:rPr>
        <w:t xml:space="preserve"> </w:t>
      </w:r>
      <w:r w:rsidR="00AC3004" w:rsidRPr="00B2301B">
        <w:rPr>
          <w:spacing w:val="-1"/>
          <w:shd w:val="clear" w:color="auto" w:fill="DBE5F1" w:themeFill="accent1" w:themeFillTint="33"/>
        </w:rPr>
        <w:t>cell</w:t>
      </w:r>
      <w:r w:rsidR="00AC3004" w:rsidRPr="00B2301B">
        <w:rPr>
          <w:spacing w:val="1"/>
          <w:shd w:val="clear" w:color="auto" w:fill="DBE5F1" w:themeFill="accent1" w:themeFillTint="33"/>
        </w:rPr>
        <w:t xml:space="preserve"> </w:t>
      </w:r>
      <w:r w:rsidR="00AC3004" w:rsidRPr="00B2301B">
        <w:rPr>
          <w:spacing w:val="-2"/>
          <w:shd w:val="clear" w:color="auto" w:fill="DBE5F1" w:themeFill="accent1" w:themeFillTint="33"/>
        </w:rPr>
        <w:t>lymphoma</w:t>
      </w:r>
      <w:r w:rsidR="00AC3004">
        <w:t xml:space="preserve"> and one </w:t>
      </w:r>
      <w:r w:rsidR="00AC3004">
        <w:rPr>
          <w:spacing w:val="-1"/>
        </w:rPr>
        <w:t>phase</w:t>
      </w:r>
      <w:r w:rsidR="00AC3004">
        <w:t xml:space="preserve"> 3 </w:t>
      </w:r>
      <w:r w:rsidR="00AC3004">
        <w:rPr>
          <w:spacing w:val="-1"/>
        </w:rPr>
        <w:t>and</w:t>
      </w:r>
      <w:r w:rsidR="00AC3004">
        <w:rPr>
          <w:spacing w:val="57"/>
        </w:rPr>
        <w:t xml:space="preserve"> </w:t>
      </w:r>
      <w:r w:rsidR="00AC3004">
        <w:t xml:space="preserve">one </w:t>
      </w:r>
      <w:r w:rsidR="00AC3004">
        <w:rPr>
          <w:spacing w:val="-1"/>
        </w:rPr>
        <w:t>phase</w:t>
      </w:r>
      <w:r w:rsidR="00AC3004">
        <w:t xml:space="preserve"> 3b</w:t>
      </w:r>
      <w:r w:rsidR="00AC3004">
        <w:rPr>
          <w:spacing w:val="-2"/>
        </w:rPr>
        <w:t xml:space="preserve"> </w:t>
      </w:r>
      <w:r w:rsidR="00AC3004">
        <w:rPr>
          <w:spacing w:val="-1"/>
        </w:rPr>
        <w:t>study</w:t>
      </w:r>
      <w:r w:rsidR="00AC3004">
        <w:rPr>
          <w:spacing w:val="-3"/>
        </w:rPr>
        <w:t xml:space="preserve"> </w:t>
      </w:r>
      <w:r w:rsidR="00AC3004">
        <w:t xml:space="preserve">in </w:t>
      </w:r>
      <w:r w:rsidR="00AC3004">
        <w:rPr>
          <w:spacing w:val="-1"/>
        </w:rPr>
        <w:t>iNHL</w:t>
      </w:r>
      <w:r>
        <w:rPr>
          <w:rFonts w:eastAsia="Times New Roman"/>
        </w:rPr>
        <w:t xml:space="preserve"> as described below.</w:t>
      </w:r>
    </w:p>
    <w:p w:rsidR="00AB7A9E" w:rsidRPr="00335062" w:rsidRDefault="00AB7A9E" w:rsidP="00AB7A9E"/>
    <w:p w:rsidR="00506994" w:rsidRPr="004273C8" w:rsidRDefault="00506994" w:rsidP="00AB7A9E">
      <w:pPr>
        <w:rPr>
          <w:rFonts w:eastAsia="Times New Roman"/>
          <w:bCs/>
          <w:i/>
          <w:iCs/>
          <w:u w:val="single"/>
        </w:rPr>
      </w:pPr>
      <w:r w:rsidRPr="004273C8">
        <w:rPr>
          <w:rFonts w:eastAsia="Times New Roman"/>
          <w:bCs/>
          <w:i/>
          <w:iCs/>
          <w:u w:val="single"/>
        </w:rPr>
        <w:t>Newly diagnosed multiple myeloma</w:t>
      </w:r>
    </w:p>
    <w:p w:rsidR="00506994" w:rsidRPr="004273C8" w:rsidRDefault="00506994" w:rsidP="00AB7A9E">
      <w:pPr>
        <w:pStyle w:val="BodyText"/>
        <w:widowControl w:val="0"/>
        <w:numPr>
          <w:ilvl w:val="0"/>
          <w:numId w:val="59"/>
        </w:numPr>
        <w:tabs>
          <w:tab w:val="left" w:pos="879"/>
        </w:tabs>
        <w:spacing w:after="0"/>
        <w:rPr>
          <w:u w:val="single"/>
        </w:rPr>
      </w:pPr>
      <w:r w:rsidRPr="004273C8">
        <w:rPr>
          <w:spacing w:val="-1"/>
          <w:u w:val="single"/>
        </w:rPr>
        <w:t>Lenalidomide</w:t>
      </w:r>
      <w:r w:rsidRPr="004273C8">
        <w:rPr>
          <w:u w:val="single"/>
        </w:rPr>
        <w:t xml:space="preserve"> </w:t>
      </w:r>
      <w:r w:rsidRPr="004273C8">
        <w:rPr>
          <w:spacing w:val="-1"/>
          <w:u w:val="single"/>
        </w:rPr>
        <w:t>maintenance</w:t>
      </w:r>
      <w:r w:rsidRPr="004273C8">
        <w:rPr>
          <w:spacing w:val="-2"/>
          <w:u w:val="single"/>
        </w:rPr>
        <w:t xml:space="preserve"> </w:t>
      </w:r>
      <w:r w:rsidRPr="004273C8">
        <w:rPr>
          <w:u w:val="single"/>
        </w:rPr>
        <w:t xml:space="preserve">in </w:t>
      </w:r>
      <w:r w:rsidRPr="004273C8">
        <w:rPr>
          <w:spacing w:val="-1"/>
          <w:u w:val="single"/>
        </w:rPr>
        <w:t>patients</w:t>
      </w:r>
      <w:r w:rsidRPr="004273C8">
        <w:rPr>
          <w:u w:val="single"/>
        </w:rPr>
        <w:t xml:space="preserve"> </w:t>
      </w:r>
      <w:r w:rsidRPr="004273C8">
        <w:rPr>
          <w:spacing w:val="-1"/>
          <w:u w:val="single"/>
        </w:rPr>
        <w:t>who</w:t>
      </w:r>
      <w:r w:rsidRPr="004273C8">
        <w:rPr>
          <w:u w:val="single"/>
        </w:rPr>
        <w:t xml:space="preserve"> </w:t>
      </w:r>
      <w:r w:rsidRPr="004273C8">
        <w:rPr>
          <w:spacing w:val="-1"/>
          <w:u w:val="single"/>
        </w:rPr>
        <w:t>have</w:t>
      </w:r>
      <w:r w:rsidRPr="004273C8">
        <w:rPr>
          <w:u w:val="single"/>
        </w:rPr>
        <w:t xml:space="preserve"> </w:t>
      </w:r>
      <w:r w:rsidRPr="004273C8">
        <w:rPr>
          <w:spacing w:val="-1"/>
          <w:u w:val="single"/>
        </w:rPr>
        <w:t>undergone</w:t>
      </w:r>
      <w:r w:rsidRPr="004273C8">
        <w:rPr>
          <w:u w:val="single"/>
        </w:rPr>
        <w:t xml:space="preserve"> </w:t>
      </w:r>
      <w:r w:rsidRPr="004273C8">
        <w:rPr>
          <w:spacing w:val="-1"/>
          <w:u w:val="single"/>
        </w:rPr>
        <w:t>ASCT</w:t>
      </w:r>
    </w:p>
    <w:p w:rsidR="00506994" w:rsidRDefault="00506994" w:rsidP="00AB7A9E">
      <w:pPr>
        <w:pStyle w:val="BodyText"/>
        <w:ind w:right="355"/>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maintenance</w:t>
      </w:r>
      <w:r>
        <w:rPr>
          <w:spacing w:val="-2"/>
        </w:rPr>
        <w:t xml:space="preserve"> </w:t>
      </w:r>
      <w:r>
        <w:rPr>
          <w:spacing w:val="-1"/>
        </w:rPr>
        <w:t>was</w:t>
      </w:r>
      <w:r>
        <w:t xml:space="preserve"> </w:t>
      </w:r>
      <w:r>
        <w:rPr>
          <w:spacing w:val="-1"/>
        </w:rPr>
        <w:t>assessed</w:t>
      </w:r>
      <w:r>
        <w:rPr>
          <w:spacing w:val="-2"/>
        </w:rPr>
        <w:t xml:space="preserve"> </w:t>
      </w:r>
      <w:r>
        <w:t xml:space="preserve">in two </w:t>
      </w:r>
      <w:r>
        <w:rPr>
          <w:spacing w:val="-1"/>
        </w:rPr>
        <w:t>phase</w:t>
      </w:r>
      <w:r>
        <w:rPr>
          <w:spacing w:val="-2"/>
        </w:rPr>
        <w:t xml:space="preserve"> </w:t>
      </w:r>
      <w:r>
        <w:t xml:space="preserve">3 </w:t>
      </w:r>
      <w:r>
        <w:rPr>
          <w:spacing w:val="-1"/>
        </w:rPr>
        <w:t>multicentr</w:t>
      </w:r>
      <w:r w:rsidR="00AC3004">
        <w:rPr>
          <w:spacing w:val="-1"/>
        </w:rPr>
        <w:t>e</w:t>
      </w:r>
      <w:r>
        <w:rPr>
          <w:spacing w:val="-1"/>
        </w:rPr>
        <w:t>,</w:t>
      </w:r>
      <w:r>
        <w:t xml:space="preserve"> </w:t>
      </w:r>
      <w:r>
        <w:rPr>
          <w:spacing w:val="-1"/>
        </w:rPr>
        <w:t>randomised,</w:t>
      </w:r>
      <w:r>
        <w:rPr>
          <w:spacing w:val="75"/>
        </w:rPr>
        <w:t xml:space="preserve"> </w:t>
      </w:r>
      <w:r>
        <w:rPr>
          <w:spacing w:val="-1"/>
        </w:rPr>
        <w:t>double-blind</w:t>
      </w:r>
      <w:r>
        <w:t xml:space="preserve"> </w:t>
      </w:r>
      <w:r>
        <w:rPr>
          <w:spacing w:val="-2"/>
        </w:rPr>
        <w:t>2-arm,</w:t>
      </w:r>
      <w:r>
        <w:t xml:space="preserve"> </w:t>
      </w:r>
      <w:r>
        <w:rPr>
          <w:spacing w:val="-1"/>
        </w:rPr>
        <w:t>parallel</w:t>
      </w:r>
      <w:r>
        <w:rPr>
          <w:spacing w:val="1"/>
        </w:rPr>
        <w:t xml:space="preserve"> </w:t>
      </w:r>
      <w:r>
        <w:rPr>
          <w:spacing w:val="-1"/>
        </w:rPr>
        <w:t>group,</w:t>
      </w:r>
      <w:r>
        <w:t xml:space="preserve"> </w:t>
      </w:r>
      <w:r>
        <w:rPr>
          <w:spacing w:val="-1"/>
        </w:rPr>
        <w:t>placebo-controlled</w:t>
      </w:r>
      <w:r>
        <w:rPr>
          <w:spacing w:val="-3"/>
        </w:rPr>
        <w:t xml:space="preserve"> </w:t>
      </w:r>
      <w:r>
        <w:rPr>
          <w:spacing w:val="-1"/>
        </w:rPr>
        <w:t>studies:</w:t>
      </w:r>
      <w:r>
        <w:rPr>
          <w:spacing w:val="1"/>
        </w:rPr>
        <w:t xml:space="preserve"> </w:t>
      </w:r>
      <w:r>
        <w:rPr>
          <w:spacing w:val="-1"/>
        </w:rPr>
        <w:t xml:space="preserve">CALGB </w:t>
      </w:r>
      <w:r>
        <w:t>100104</w:t>
      </w:r>
      <w:r>
        <w:rPr>
          <w:spacing w:val="-2"/>
        </w:rPr>
        <w:t xml:space="preserve"> </w:t>
      </w:r>
      <w:r>
        <w:rPr>
          <w:spacing w:val="-1"/>
        </w:rPr>
        <w:t>and</w:t>
      </w:r>
      <w:r>
        <w:t xml:space="preserve"> </w:t>
      </w:r>
      <w:r>
        <w:rPr>
          <w:spacing w:val="-2"/>
        </w:rPr>
        <w:t>IFM</w:t>
      </w:r>
      <w:r>
        <w:rPr>
          <w:spacing w:val="1"/>
        </w:rPr>
        <w:t xml:space="preserve"> </w:t>
      </w:r>
      <w:r>
        <w:rPr>
          <w:spacing w:val="-1"/>
        </w:rPr>
        <w:t>2005-02</w:t>
      </w:r>
    </w:p>
    <w:p w:rsidR="00506994" w:rsidRDefault="00506994" w:rsidP="00AB7A9E">
      <w:pPr>
        <w:rPr>
          <w:rFonts w:eastAsia="Times New Roman"/>
        </w:rPr>
      </w:pPr>
    </w:p>
    <w:p w:rsidR="00506994" w:rsidRDefault="00506994" w:rsidP="00AB7A9E">
      <w:pPr>
        <w:rPr>
          <w:rFonts w:eastAsia="Times New Roman"/>
        </w:rPr>
      </w:pPr>
      <w:r>
        <w:rPr>
          <w:i/>
          <w:spacing w:val="-1"/>
        </w:rPr>
        <w:t xml:space="preserve">CALGB </w:t>
      </w:r>
      <w:r>
        <w:rPr>
          <w:i/>
        </w:rPr>
        <w:t>100104</w:t>
      </w:r>
    </w:p>
    <w:p w:rsidR="00506994" w:rsidRDefault="00506994" w:rsidP="00AB7A9E">
      <w:pPr>
        <w:pStyle w:val="BodyText"/>
        <w:ind w:right="303"/>
      </w:pPr>
      <w:r>
        <w:rPr>
          <w:spacing w:val="-1"/>
        </w:rPr>
        <w:t>Patients</w:t>
      </w:r>
      <w:r>
        <w:t xml:space="preserve"> </w:t>
      </w:r>
      <w:r>
        <w:rPr>
          <w:spacing w:val="-1"/>
        </w:rPr>
        <w:t>between</w:t>
      </w:r>
      <w:r>
        <w:rPr>
          <w:spacing w:val="-2"/>
        </w:rPr>
        <w:t xml:space="preserve"> </w:t>
      </w:r>
      <w:r>
        <w:t xml:space="preserve">18 </w:t>
      </w:r>
      <w:r>
        <w:rPr>
          <w:spacing w:val="-1"/>
        </w:rPr>
        <w:t>and</w:t>
      </w:r>
      <w:r>
        <w:t xml:space="preserve"> 70</w:t>
      </w:r>
      <w:r>
        <w:rPr>
          <w:spacing w:val="-3"/>
        </w:rPr>
        <w:t xml:space="preserve"> </w:t>
      </w:r>
      <w:r>
        <w:rPr>
          <w:spacing w:val="-1"/>
        </w:rPr>
        <w:t>years</w:t>
      </w:r>
      <w:r>
        <w:t xml:space="preserve"> of</w:t>
      </w:r>
      <w:r>
        <w:rPr>
          <w:spacing w:val="-2"/>
        </w:rPr>
        <w:t xml:space="preserve"> </w:t>
      </w:r>
      <w:r>
        <w:rPr>
          <w:spacing w:val="-1"/>
        </w:rPr>
        <w:t>age</w:t>
      </w:r>
      <w:r>
        <w:t xml:space="preserve"> with</w:t>
      </w:r>
      <w:r>
        <w:rPr>
          <w:spacing w:val="-2"/>
        </w:rPr>
        <w:t xml:space="preserve"> </w:t>
      </w:r>
      <w:r>
        <w:rPr>
          <w:spacing w:val="-1"/>
        </w:rPr>
        <w:t>active</w:t>
      </w:r>
      <w:r>
        <w:t xml:space="preserve"> </w:t>
      </w:r>
      <w:r>
        <w:rPr>
          <w:spacing w:val="-1"/>
        </w:rPr>
        <w:t>MM</w:t>
      </w:r>
      <w:r>
        <w:rPr>
          <w:spacing w:val="1"/>
        </w:rPr>
        <w:t xml:space="preserve"> </w:t>
      </w:r>
      <w:r>
        <w:rPr>
          <w:spacing w:val="-1"/>
        </w:rPr>
        <w:t>requiring</w:t>
      </w:r>
      <w:r>
        <w:rPr>
          <w:spacing w:val="-2"/>
        </w:rPr>
        <w:t xml:space="preserve"> </w:t>
      </w:r>
      <w:r>
        <w:rPr>
          <w:spacing w:val="-1"/>
        </w:rPr>
        <w:t>treatment</w:t>
      </w:r>
      <w:r>
        <w:rPr>
          <w:spacing w:val="1"/>
        </w:rPr>
        <w:t xml:space="preserve"> </w:t>
      </w:r>
      <w:r>
        <w:t>and</w:t>
      </w:r>
      <w:r>
        <w:rPr>
          <w:spacing w:val="-2"/>
        </w:rPr>
        <w:t xml:space="preserve"> </w:t>
      </w:r>
      <w:r>
        <w:rPr>
          <w:spacing w:val="-1"/>
        </w:rPr>
        <w:t>without</w:t>
      </w:r>
      <w:r>
        <w:rPr>
          <w:spacing w:val="1"/>
        </w:rPr>
        <w:t xml:space="preserve"> </w:t>
      </w:r>
      <w:r>
        <w:rPr>
          <w:spacing w:val="-1"/>
        </w:rPr>
        <w:t>prior</w:t>
      </w:r>
      <w:r>
        <w:rPr>
          <w:spacing w:val="1"/>
        </w:rPr>
        <w:t xml:space="preserve"> </w:t>
      </w:r>
      <w:r>
        <w:rPr>
          <w:spacing w:val="-1"/>
        </w:rPr>
        <w:t>progression</w:t>
      </w:r>
      <w:r>
        <w:rPr>
          <w:spacing w:val="61"/>
        </w:rPr>
        <w:t xml:space="preserve"> </w:t>
      </w:r>
      <w:r>
        <w:rPr>
          <w:spacing w:val="-1"/>
        </w:rPr>
        <w:t>after</w:t>
      </w:r>
      <w:r>
        <w:rPr>
          <w:spacing w:val="-2"/>
        </w:rPr>
        <w:t xml:space="preserve"> </w:t>
      </w:r>
      <w:r>
        <w:rPr>
          <w:spacing w:val="-1"/>
        </w:rPr>
        <w:t xml:space="preserve">initial </w:t>
      </w:r>
      <w:r w:rsidR="00AC3004">
        <w:rPr>
          <w:spacing w:val="-1"/>
        </w:rPr>
        <w:t>treatment</w:t>
      </w:r>
      <w:r w:rsidR="00AC3004">
        <w:rPr>
          <w:spacing w:val="-2"/>
        </w:rPr>
        <w:t xml:space="preserve"> </w:t>
      </w:r>
      <w:r>
        <w:t>were</w:t>
      </w:r>
      <w:r>
        <w:rPr>
          <w:spacing w:val="-2"/>
        </w:rPr>
        <w:t xml:space="preserve"> </w:t>
      </w:r>
      <w:r>
        <w:rPr>
          <w:spacing w:val="-1"/>
        </w:rPr>
        <w:t>eligible.</w:t>
      </w:r>
    </w:p>
    <w:p w:rsidR="00506994" w:rsidRDefault="00506994" w:rsidP="00AB7A9E">
      <w:pPr>
        <w:rPr>
          <w:rFonts w:eastAsia="Times New Roman"/>
        </w:rPr>
      </w:pPr>
    </w:p>
    <w:p w:rsidR="00506994" w:rsidRDefault="00506994" w:rsidP="00AB7A9E">
      <w:pPr>
        <w:pStyle w:val="BodyText"/>
        <w:ind w:right="220"/>
      </w:pPr>
      <w:r>
        <w:rPr>
          <w:spacing w:val="-1"/>
        </w:rPr>
        <w:t>Patients</w:t>
      </w:r>
      <w:r>
        <w:t xml:space="preserve"> </w:t>
      </w:r>
      <w:r>
        <w:rPr>
          <w:spacing w:val="-1"/>
        </w:rPr>
        <w:t>were</w:t>
      </w:r>
      <w:r>
        <w:t xml:space="preserve"> </w:t>
      </w:r>
      <w:r>
        <w:rPr>
          <w:spacing w:val="-1"/>
        </w:rPr>
        <w:t>randomised</w:t>
      </w:r>
      <w:r>
        <w:t xml:space="preserve"> </w:t>
      </w:r>
      <w:r>
        <w:rPr>
          <w:spacing w:val="-1"/>
        </w:rPr>
        <w:t>1:1</w:t>
      </w:r>
      <w:r>
        <w:t xml:space="preserve"> </w:t>
      </w:r>
      <w:r>
        <w:rPr>
          <w:spacing w:val="-1"/>
        </w:rPr>
        <w:t>within</w:t>
      </w:r>
      <w:r>
        <w:rPr>
          <w:spacing w:val="-3"/>
        </w:rPr>
        <w:t xml:space="preserve"> </w:t>
      </w:r>
      <w:r>
        <w:rPr>
          <w:spacing w:val="-1"/>
        </w:rPr>
        <w:t>90-100</w:t>
      </w:r>
      <w:r>
        <w:t xml:space="preserve"> </w:t>
      </w:r>
      <w:r>
        <w:rPr>
          <w:spacing w:val="-1"/>
        </w:rPr>
        <w:t>days</w:t>
      </w:r>
      <w:r>
        <w:t xml:space="preserve"> </w:t>
      </w:r>
      <w:r>
        <w:rPr>
          <w:spacing w:val="-1"/>
        </w:rPr>
        <w:t>after</w:t>
      </w:r>
      <w:r>
        <w:rPr>
          <w:spacing w:val="-2"/>
        </w:rPr>
        <w:t xml:space="preserve"> </w:t>
      </w:r>
      <w:r>
        <w:rPr>
          <w:spacing w:val="-1"/>
        </w:rPr>
        <w:t>ASCT</w:t>
      </w:r>
      <w:r>
        <w:rPr>
          <w:spacing w:val="2"/>
        </w:rPr>
        <w:t xml:space="preserve"> </w:t>
      </w:r>
      <w:r>
        <w:t>to</w:t>
      </w:r>
      <w:r>
        <w:rPr>
          <w:spacing w:val="-2"/>
        </w:rPr>
        <w:t xml:space="preserve"> </w:t>
      </w:r>
      <w:r>
        <w:rPr>
          <w:spacing w:val="-1"/>
        </w:rPr>
        <w:t>receive</w:t>
      </w:r>
      <w:r>
        <w:t xml:space="preserve"> </w:t>
      </w:r>
      <w:r>
        <w:rPr>
          <w:spacing w:val="-1"/>
        </w:rPr>
        <w:t>either</w:t>
      </w:r>
      <w:r>
        <w:rPr>
          <w:spacing w:val="-2"/>
        </w:rPr>
        <w:t xml:space="preserve"> </w:t>
      </w:r>
      <w:r>
        <w:rPr>
          <w:spacing w:val="-1"/>
        </w:rPr>
        <w:t>lenalidomide</w:t>
      </w:r>
      <w:r>
        <w:rPr>
          <w:spacing w:val="1"/>
        </w:rPr>
        <w:t xml:space="preserve"> </w:t>
      </w:r>
      <w:r>
        <w:rPr>
          <w:spacing w:val="-2"/>
        </w:rPr>
        <w:t>or</w:t>
      </w:r>
      <w:r>
        <w:rPr>
          <w:spacing w:val="1"/>
        </w:rPr>
        <w:t xml:space="preserve"> </w:t>
      </w:r>
      <w:r>
        <w:rPr>
          <w:spacing w:val="-1"/>
        </w:rPr>
        <w:t>placebo</w:t>
      </w:r>
      <w:r>
        <w:rPr>
          <w:spacing w:val="65"/>
        </w:rPr>
        <w:t xml:space="preserve"> </w:t>
      </w:r>
      <w:r>
        <w:rPr>
          <w:spacing w:val="-1"/>
        </w:rPr>
        <w:t>maintenance.</w:t>
      </w:r>
      <w:r>
        <w:rPr>
          <w:spacing w:val="-3"/>
        </w:rPr>
        <w:t xml:space="preserve"> </w:t>
      </w:r>
      <w:r>
        <w:t>The</w:t>
      </w:r>
      <w:r>
        <w:rPr>
          <w:spacing w:val="-2"/>
        </w:rPr>
        <w:t xml:space="preserve"> </w:t>
      </w:r>
      <w:r>
        <w:rPr>
          <w:spacing w:val="-1"/>
        </w:rPr>
        <w:t>maintenance</w:t>
      </w:r>
      <w:r>
        <w:t xml:space="preserve"> </w:t>
      </w:r>
      <w:r>
        <w:rPr>
          <w:spacing w:val="-1"/>
        </w:rPr>
        <w:t>dose</w:t>
      </w:r>
      <w:r>
        <w:t xml:space="preserve"> </w:t>
      </w:r>
      <w:r>
        <w:rPr>
          <w:spacing w:val="-1"/>
        </w:rPr>
        <w:t>was</w:t>
      </w:r>
      <w:r>
        <w:rPr>
          <w:spacing w:val="-2"/>
        </w:rPr>
        <w:t xml:space="preserve"> </w:t>
      </w:r>
      <w:r>
        <w:t xml:space="preserve">10 </w:t>
      </w:r>
      <w:r>
        <w:rPr>
          <w:spacing w:val="-2"/>
        </w:rPr>
        <w:t>mg</w:t>
      </w:r>
      <w:r>
        <w:rPr>
          <w:spacing w:val="-3"/>
        </w:rPr>
        <w:t xml:space="preserve"> </w:t>
      </w:r>
      <w:r>
        <w:t>once daily</w:t>
      </w:r>
      <w:r>
        <w:rPr>
          <w:spacing w:val="-3"/>
        </w:rPr>
        <w:t xml:space="preserve"> </w:t>
      </w:r>
      <w:r>
        <w:t xml:space="preserve">on </w:t>
      </w:r>
      <w:r>
        <w:rPr>
          <w:spacing w:val="-1"/>
        </w:rPr>
        <w:t>days</w:t>
      </w:r>
      <w:r>
        <w:t xml:space="preserve"> </w:t>
      </w:r>
      <w:r>
        <w:rPr>
          <w:spacing w:val="-2"/>
        </w:rPr>
        <w:t>1-28</w:t>
      </w:r>
      <w:r>
        <w:t xml:space="preserve"> of</w:t>
      </w:r>
      <w:r>
        <w:rPr>
          <w:spacing w:val="1"/>
        </w:rPr>
        <w:t xml:space="preserve"> </w:t>
      </w:r>
      <w:r>
        <w:rPr>
          <w:spacing w:val="-1"/>
        </w:rPr>
        <w:t>repeated</w:t>
      </w:r>
      <w:r>
        <w:t xml:space="preserve"> </w:t>
      </w:r>
      <w:r>
        <w:rPr>
          <w:spacing w:val="-1"/>
        </w:rPr>
        <w:t>28-day</w:t>
      </w:r>
      <w:r>
        <w:rPr>
          <w:spacing w:val="-2"/>
        </w:rPr>
        <w:t xml:space="preserve"> </w:t>
      </w:r>
      <w:r>
        <w:rPr>
          <w:spacing w:val="-1"/>
        </w:rPr>
        <w:t>cycles</w:t>
      </w:r>
      <w:r>
        <w:t xml:space="preserve"> </w:t>
      </w:r>
      <w:r>
        <w:rPr>
          <w:spacing w:val="-1"/>
        </w:rPr>
        <w:t>(increased</w:t>
      </w:r>
      <w:r>
        <w:rPr>
          <w:spacing w:val="73"/>
        </w:rPr>
        <w:t xml:space="preserve"> </w:t>
      </w:r>
      <w:r>
        <w:t xml:space="preserve">up to </w:t>
      </w:r>
      <w:r>
        <w:rPr>
          <w:spacing w:val="-2"/>
        </w:rPr>
        <w:t>15</w:t>
      </w:r>
      <w:r>
        <w:t xml:space="preserve"> </w:t>
      </w:r>
      <w:r>
        <w:rPr>
          <w:spacing w:val="-1"/>
        </w:rPr>
        <w:t>mg</w:t>
      </w:r>
      <w:r>
        <w:rPr>
          <w:spacing w:val="-3"/>
        </w:rPr>
        <w:t xml:space="preserve"> </w:t>
      </w:r>
      <w:r>
        <w:t xml:space="preserve">once </w:t>
      </w:r>
      <w:r>
        <w:rPr>
          <w:spacing w:val="-1"/>
        </w:rPr>
        <w:t>daily</w:t>
      </w:r>
      <w:r>
        <w:rPr>
          <w:spacing w:val="-3"/>
        </w:rPr>
        <w:t xml:space="preserve"> </w:t>
      </w:r>
      <w:r>
        <w:rPr>
          <w:spacing w:val="-1"/>
        </w:rPr>
        <w:t>after</w:t>
      </w:r>
      <w:r>
        <w:rPr>
          <w:spacing w:val="1"/>
        </w:rPr>
        <w:t xml:space="preserve"> </w:t>
      </w:r>
      <w:r>
        <w:t xml:space="preserve">3 </w:t>
      </w:r>
      <w:r>
        <w:rPr>
          <w:spacing w:val="-1"/>
        </w:rPr>
        <w:t>months</w:t>
      </w:r>
      <w:r>
        <w:t xml:space="preserve"> </w:t>
      </w:r>
      <w:r>
        <w:rPr>
          <w:spacing w:val="-1"/>
        </w:rPr>
        <w:t>in</w:t>
      </w:r>
      <w:r>
        <w:t xml:space="preserve"> </w:t>
      </w:r>
      <w:r>
        <w:rPr>
          <w:spacing w:val="-1"/>
        </w:rPr>
        <w:t>the</w:t>
      </w:r>
      <w:r>
        <w:t xml:space="preserve"> </w:t>
      </w:r>
      <w:r>
        <w:rPr>
          <w:spacing w:val="-1"/>
        </w:rPr>
        <w:t>absence</w:t>
      </w:r>
      <w:r>
        <w:t xml:space="preserve"> </w:t>
      </w:r>
      <w:r>
        <w:rPr>
          <w:spacing w:val="-2"/>
        </w:rPr>
        <w:t>of</w:t>
      </w:r>
      <w:r>
        <w:rPr>
          <w:spacing w:val="1"/>
        </w:rPr>
        <w:t xml:space="preserve"> </w:t>
      </w:r>
      <w:r>
        <w:rPr>
          <w:spacing w:val="-1"/>
        </w:rPr>
        <w:t>dose-limiting</w:t>
      </w:r>
      <w:r>
        <w:rPr>
          <w:spacing w:val="-3"/>
        </w:rPr>
        <w:t xml:space="preserve"> </w:t>
      </w:r>
      <w:r>
        <w:rPr>
          <w:spacing w:val="-1"/>
        </w:rPr>
        <w:t>toxicity),</w:t>
      </w:r>
      <w:r>
        <w:rPr>
          <w:spacing w:val="-2"/>
        </w:rPr>
        <w:t xml:space="preserve"> </w:t>
      </w:r>
      <w:r>
        <w:rPr>
          <w:spacing w:val="-1"/>
        </w:rPr>
        <w:t>and</w:t>
      </w:r>
      <w:r>
        <w:t xml:space="preserve"> </w:t>
      </w:r>
      <w:r>
        <w:rPr>
          <w:spacing w:val="-1"/>
        </w:rPr>
        <w:t>treatment</w:t>
      </w:r>
      <w:r>
        <w:rPr>
          <w:spacing w:val="1"/>
        </w:rPr>
        <w:t xml:space="preserve"> </w:t>
      </w:r>
      <w:r>
        <w:rPr>
          <w:spacing w:val="-2"/>
        </w:rPr>
        <w:t>was</w:t>
      </w:r>
      <w:r>
        <w:t xml:space="preserve"> </w:t>
      </w:r>
      <w:r>
        <w:rPr>
          <w:spacing w:val="-1"/>
        </w:rPr>
        <w:t>continued</w:t>
      </w:r>
      <w:r>
        <w:rPr>
          <w:spacing w:val="81"/>
        </w:rPr>
        <w:t xml:space="preserve"> </w:t>
      </w:r>
      <w:r>
        <w:rPr>
          <w:spacing w:val="-1"/>
        </w:rPr>
        <w:t>until</w:t>
      </w:r>
      <w:r>
        <w:rPr>
          <w:spacing w:val="1"/>
        </w:rPr>
        <w:t xml:space="preserve"> </w:t>
      </w:r>
      <w:r>
        <w:rPr>
          <w:spacing w:val="-1"/>
        </w:rPr>
        <w:t>disease</w:t>
      </w:r>
      <w:r>
        <w:rPr>
          <w:spacing w:val="-2"/>
        </w:rPr>
        <w:t xml:space="preserve"> </w:t>
      </w:r>
      <w:r>
        <w:rPr>
          <w:spacing w:val="-1"/>
        </w:rPr>
        <w:t>progression.</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primary</w:t>
      </w:r>
      <w:r>
        <w:rPr>
          <w:spacing w:val="-3"/>
        </w:rPr>
        <w:t xml:space="preserve"> </w:t>
      </w:r>
      <w:r>
        <w:t>efficacy</w:t>
      </w:r>
      <w:r>
        <w:rPr>
          <w:spacing w:val="-2"/>
        </w:rPr>
        <w:t xml:space="preserve"> </w:t>
      </w:r>
      <w:r>
        <w:rPr>
          <w:spacing w:val="-1"/>
        </w:rPr>
        <w:t xml:space="preserve">endpoint </w:t>
      </w:r>
      <w:r>
        <w:t>in</w:t>
      </w:r>
      <w:r>
        <w:rPr>
          <w:spacing w:val="-2"/>
        </w:rPr>
        <w:t xml:space="preserve"> </w:t>
      </w:r>
      <w:r>
        <w:t xml:space="preserve">the </w:t>
      </w:r>
      <w:r>
        <w:rPr>
          <w:spacing w:val="-1"/>
        </w:rPr>
        <w:t>study</w:t>
      </w:r>
      <w:r>
        <w:rPr>
          <w:spacing w:val="-3"/>
        </w:rPr>
        <w:t xml:space="preserve"> </w:t>
      </w:r>
      <w:r>
        <w:rPr>
          <w:spacing w:val="-1"/>
        </w:rPr>
        <w:t>was</w:t>
      </w:r>
      <w:r>
        <w:t xml:space="preserve"> </w:t>
      </w:r>
      <w:r>
        <w:rPr>
          <w:spacing w:val="-1"/>
        </w:rPr>
        <w:t>progression</w:t>
      </w:r>
      <w:r>
        <w:rPr>
          <w:spacing w:val="-2"/>
        </w:rPr>
        <w:t xml:space="preserve"> </w:t>
      </w:r>
      <w:r>
        <w:rPr>
          <w:spacing w:val="-1"/>
        </w:rPr>
        <w:t>free</w:t>
      </w:r>
      <w:r>
        <w:t xml:space="preserve"> </w:t>
      </w:r>
      <w:r>
        <w:rPr>
          <w:spacing w:val="-1"/>
        </w:rPr>
        <w:t>survival</w:t>
      </w:r>
      <w:r>
        <w:rPr>
          <w:spacing w:val="1"/>
        </w:rPr>
        <w:t xml:space="preserve"> </w:t>
      </w:r>
      <w:r>
        <w:rPr>
          <w:spacing w:val="-1"/>
        </w:rPr>
        <w:t>(PFS)</w:t>
      </w:r>
      <w:r>
        <w:rPr>
          <w:spacing w:val="1"/>
        </w:rPr>
        <w:t xml:space="preserve"> </w:t>
      </w:r>
      <w:r>
        <w:rPr>
          <w:spacing w:val="-2"/>
        </w:rPr>
        <w:t>from</w:t>
      </w:r>
      <w:r>
        <w:rPr>
          <w:spacing w:val="-4"/>
        </w:rPr>
        <w:t xml:space="preserve"> </w:t>
      </w:r>
      <w:r>
        <w:t>randomisation</w:t>
      </w:r>
      <w:r>
        <w:rPr>
          <w:spacing w:val="-2"/>
        </w:rPr>
        <w:t xml:space="preserve"> </w:t>
      </w:r>
      <w:r>
        <w:t>to</w:t>
      </w:r>
      <w:r>
        <w:rPr>
          <w:spacing w:val="-2"/>
        </w:rPr>
        <w:t xml:space="preserve"> </w:t>
      </w:r>
      <w:r>
        <w:t>the</w:t>
      </w:r>
      <w:r>
        <w:rPr>
          <w:spacing w:val="61"/>
        </w:rPr>
        <w:t xml:space="preserve"> </w:t>
      </w:r>
      <w:r>
        <w:t>date</w:t>
      </w:r>
      <w:r>
        <w:rPr>
          <w:spacing w:val="-2"/>
        </w:rPr>
        <w:t xml:space="preserve"> </w:t>
      </w:r>
      <w:r>
        <w:t>of</w:t>
      </w:r>
      <w:r>
        <w:rPr>
          <w:spacing w:val="1"/>
        </w:rPr>
        <w:t xml:space="preserve"> </w:t>
      </w:r>
      <w:r>
        <w:rPr>
          <w:spacing w:val="-1"/>
        </w:rPr>
        <w:t>progression</w:t>
      </w:r>
      <w:r>
        <w:rPr>
          <w:spacing w:val="-2"/>
        </w:rPr>
        <w:t xml:space="preserve"> </w:t>
      </w:r>
      <w:r>
        <w:t>or</w:t>
      </w:r>
      <w:r>
        <w:rPr>
          <w:spacing w:val="1"/>
        </w:rPr>
        <w:t xml:space="preserve"> </w:t>
      </w:r>
      <w:r>
        <w:rPr>
          <w:spacing w:val="-2"/>
        </w:rPr>
        <w:t>death,</w:t>
      </w:r>
      <w:r>
        <w:t xml:space="preserve"> </w:t>
      </w:r>
      <w:r>
        <w:rPr>
          <w:spacing w:val="-1"/>
        </w:rPr>
        <w:t>whichever</w:t>
      </w:r>
      <w:r>
        <w:rPr>
          <w:spacing w:val="-2"/>
        </w:rPr>
        <w:t xml:space="preserve"> </w:t>
      </w:r>
      <w:r>
        <w:rPr>
          <w:spacing w:val="-1"/>
        </w:rPr>
        <w:t>occurred</w:t>
      </w:r>
      <w:r>
        <w:t xml:space="preserve"> </w:t>
      </w:r>
      <w:r>
        <w:rPr>
          <w:spacing w:val="-1"/>
        </w:rPr>
        <w:t>first;</w:t>
      </w:r>
      <w:r>
        <w:rPr>
          <w:spacing w:val="1"/>
        </w:rPr>
        <w:t xml:space="preserve"> </w:t>
      </w:r>
      <w:r>
        <w:rPr>
          <w:spacing w:val="-1"/>
        </w:rPr>
        <w:t>the</w:t>
      </w:r>
      <w:r>
        <w:t xml:space="preserve"> </w:t>
      </w:r>
      <w:r>
        <w:rPr>
          <w:spacing w:val="-1"/>
        </w:rPr>
        <w:t>study</w:t>
      </w:r>
      <w:r>
        <w:rPr>
          <w:spacing w:val="-2"/>
        </w:rPr>
        <w:t xml:space="preserve"> </w:t>
      </w:r>
      <w:r>
        <w:rPr>
          <w:spacing w:val="-1"/>
        </w:rPr>
        <w:t>was</w:t>
      </w:r>
      <w:r>
        <w:t xml:space="preserve"> not</w:t>
      </w:r>
      <w:r>
        <w:rPr>
          <w:spacing w:val="-2"/>
        </w:rPr>
        <w:t xml:space="preserve"> </w:t>
      </w:r>
      <w:r>
        <w:rPr>
          <w:spacing w:val="-1"/>
        </w:rPr>
        <w:t>powered</w:t>
      </w:r>
      <w:r>
        <w:t xml:space="preserve"> </w:t>
      </w:r>
      <w:r>
        <w:rPr>
          <w:spacing w:val="-1"/>
        </w:rPr>
        <w:t>for</w:t>
      </w:r>
      <w:r>
        <w:rPr>
          <w:spacing w:val="1"/>
        </w:rPr>
        <w:t xml:space="preserve"> </w:t>
      </w:r>
      <w:r>
        <w:rPr>
          <w:spacing w:val="-1"/>
        </w:rPr>
        <w:t>the</w:t>
      </w:r>
      <w:r>
        <w:t xml:space="preserve"> </w:t>
      </w:r>
      <w:r>
        <w:rPr>
          <w:spacing w:val="-1"/>
        </w:rPr>
        <w:t>overall</w:t>
      </w:r>
      <w:r>
        <w:rPr>
          <w:spacing w:val="-2"/>
        </w:rPr>
        <w:t xml:space="preserve"> </w:t>
      </w:r>
      <w:r>
        <w:rPr>
          <w:spacing w:val="-1"/>
        </w:rPr>
        <w:t>survival</w:t>
      </w:r>
      <w:r>
        <w:rPr>
          <w:spacing w:val="79"/>
        </w:rPr>
        <w:t xml:space="preserve"> </w:t>
      </w:r>
      <w:r>
        <w:rPr>
          <w:spacing w:val="-1"/>
        </w:rPr>
        <w:t>endpoint.</w:t>
      </w:r>
      <w:r>
        <w:t xml:space="preserve"> </w:t>
      </w:r>
      <w:r>
        <w:rPr>
          <w:spacing w:val="-3"/>
        </w:rPr>
        <w:t>In</w:t>
      </w:r>
      <w:r>
        <w:t xml:space="preserve"> </w:t>
      </w:r>
      <w:r>
        <w:rPr>
          <w:spacing w:val="-1"/>
        </w:rPr>
        <w:t>total</w:t>
      </w:r>
      <w:r>
        <w:rPr>
          <w:spacing w:val="1"/>
        </w:rPr>
        <w:t xml:space="preserve"> </w:t>
      </w:r>
      <w:r>
        <w:rPr>
          <w:spacing w:val="-1"/>
        </w:rPr>
        <w:t>460</w:t>
      </w:r>
      <w:r>
        <w:t xml:space="preserve"> </w:t>
      </w:r>
      <w:r>
        <w:rPr>
          <w:spacing w:val="-1"/>
        </w:rPr>
        <w:t>patients</w:t>
      </w:r>
      <w:r>
        <w:rPr>
          <w:spacing w:val="1"/>
        </w:rPr>
        <w:t xml:space="preserve"> </w:t>
      </w:r>
      <w:r>
        <w:rPr>
          <w:spacing w:val="-1"/>
        </w:rPr>
        <w:t>were</w:t>
      </w:r>
      <w:r>
        <w:rPr>
          <w:spacing w:val="-2"/>
        </w:rPr>
        <w:t xml:space="preserve"> </w:t>
      </w:r>
      <w:r>
        <w:rPr>
          <w:spacing w:val="-1"/>
        </w:rPr>
        <w:t>randomised:</w:t>
      </w:r>
      <w:r>
        <w:rPr>
          <w:spacing w:val="1"/>
        </w:rPr>
        <w:t xml:space="preserve"> </w:t>
      </w:r>
      <w:r>
        <w:t>231</w:t>
      </w:r>
      <w:r>
        <w:rPr>
          <w:spacing w:val="-2"/>
        </w:rPr>
        <w:t xml:space="preserve"> </w:t>
      </w:r>
      <w:r>
        <w:rPr>
          <w:spacing w:val="-1"/>
        </w:rPr>
        <w:t>patients</w:t>
      </w:r>
      <w:r>
        <w:t xml:space="preserve"> to</w:t>
      </w:r>
      <w:r>
        <w:rPr>
          <w:spacing w:val="-3"/>
        </w:rPr>
        <w:t xml:space="preserve"> </w:t>
      </w:r>
      <w:r>
        <w:rPr>
          <w:spacing w:val="-1"/>
        </w:rPr>
        <w:t>Lenalidomide</w:t>
      </w:r>
      <w:r>
        <w:t xml:space="preserve"> and</w:t>
      </w:r>
      <w:r>
        <w:rPr>
          <w:spacing w:val="-2"/>
        </w:rPr>
        <w:t xml:space="preserve"> </w:t>
      </w:r>
      <w:r>
        <w:t xml:space="preserve">229 </w:t>
      </w:r>
      <w:r>
        <w:rPr>
          <w:spacing w:val="-1"/>
        </w:rPr>
        <w:t>patients</w:t>
      </w:r>
      <w:r>
        <w:t xml:space="preserve"> to</w:t>
      </w:r>
      <w:r>
        <w:rPr>
          <w:spacing w:val="-2"/>
        </w:rPr>
        <w:t xml:space="preserve"> </w:t>
      </w:r>
      <w:r>
        <w:rPr>
          <w:spacing w:val="-1"/>
        </w:rPr>
        <w:t>placebo.</w:t>
      </w:r>
      <w:r>
        <w:rPr>
          <w:spacing w:val="81"/>
        </w:rPr>
        <w:t xml:space="preserve"> </w:t>
      </w:r>
      <w:r>
        <w:t>The</w:t>
      </w:r>
      <w:r>
        <w:rPr>
          <w:spacing w:val="-2"/>
        </w:rPr>
        <w:t xml:space="preserve"> </w:t>
      </w:r>
      <w:r>
        <w:rPr>
          <w:spacing w:val="-1"/>
        </w:rPr>
        <w:t>demographic</w:t>
      </w:r>
      <w:r>
        <w:t xml:space="preserve"> </w:t>
      </w:r>
      <w:r>
        <w:rPr>
          <w:spacing w:val="-1"/>
        </w:rPr>
        <w:t>and</w:t>
      </w:r>
      <w:r>
        <w:t xml:space="preserve"> </w:t>
      </w:r>
      <w:r>
        <w:rPr>
          <w:spacing w:val="-1"/>
        </w:rPr>
        <w:t>disease-related</w:t>
      </w:r>
      <w:r>
        <w:t xml:space="preserve"> </w:t>
      </w:r>
      <w:r>
        <w:rPr>
          <w:spacing w:val="-1"/>
        </w:rPr>
        <w:t>characteristics</w:t>
      </w:r>
      <w:r>
        <w:t xml:space="preserve"> </w:t>
      </w:r>
      <w:r>
        <w:rPr>
          <w:spacing w:val="-1"/>
        </w:rPr>
        <w:t>were</w:t>
      </w:r>
      <w:r>
        <w:t xml:space="preserve"> </w:t>
      </w:r>
      <w:r>
        <w:rPr>
          <w:spacing w:val="-1"/>
        </w:rPr>
        <w:t>balanced</w:t>
      </w:r>
      <w:r>
        <w:rPr>
          <w:spacing w:val="-3"/>
        </w:rPr>
        <w:t xml:space="preserve"> </w:t>
      </w:r>
      <w:r>
        <w:rPr>
          <w:spacing w:val="-1"/>
        </w:rPr>
        <w:t>across</w:t>
      </w:r>
      <w:r>
        <w:rPr>
          <w:spacing w:val="-2"/>
        </w:rPr>
        <w:t xml:space="preserve"> </w:t>
      </w:r>
      <w:r>
        <w:rPr>
          <w:spacing w:val="-1"/>
        </w:rPr>
        <w:t>both</w:t>
      </w:r>
      <w:r>
        <w:t xml:space="preserve"> </w:t>
      </w:r>
      <w:r>
        <w:rPr>
          <w:spacing w:val="-2"/>
        </w:rPr>
        <w:t>arms.</w:t>
      </w:r>
    </w:p>
    <w:p w:rsidR="00506994" w:rsidRDefault="00506994" w:rsidP="00AB7A9E">
      <w:pPr>
        <w:rPr>
          <w:rFonts w:eastAsia="Times New Roman"/>
        </w:rPr>
      </w:pPr>
    </w:p>
    <w:p w:rsidR="00506994" w:rsidRDefault="00506994" w:rsidP="00AB7A9E">
      <w:pPr>
        <w:pStyle w:val="BodyText"/>
        <w:ind w:right="303"/>
      </w:pPr>
      <w:r>
        <w:t>The</w:t>
      </w:r>
      <w:r>
        <w:rPr>
          <w:spacing w:val="-2"/>
        </w:rPr>
        <w:t xml:space="preserve"> </w:t>
      </w:r>
      <w:r>
        <w:rPr>
          <w:spacing w:val="-1"/>
        </w:rPr>
        <w:t>study</w:t>
      </w:r>
      <w:r>
        <w:rPr>
          <w:spacing w:val="-3"/>
        </w:rPr>
        <w:t xml:space="preserve"> </w:t>
      </w:r>
      <w:r>
        <w:rPr>
          <w:spacing w:val="-1"/>
        </w:rPr>
        <w:t>was</w:t>
      </w:r>
      <w:r>
        <w:rPr>
          <w:spacing w:val="1"/>
        </w:rPr>
        <w:t xml:space="preserve"> </w:t>
      </w:r>
      <w:r>
        <w:rPr>
          <w:spacing w:val="-1"/>
        </w:rPr>
        <w:t>unblinded</w:t>
      </w:r>
      <w:r>
        <w:t xml:space="preserve"> </w:t>
      </w:r>
      <w:r>
        <w:rPr>
          <w:spacing w:val="-1"/>
        </w:rPr>
        <w:t>upon</w:t>
      </w:r>
      <w:r>
        <w:t xml:space="preserve"> </w:t>
      </w:r>
      <w:r>
        <w:rPr>
          <w:spacing w:val="-1"/>
        </w:rPr>
        <w:t>the</w:t>
      </w:r>
      <w:r>
        <w:t xml:space="preserve"> </w:t>
      </w:r>
      <w:r>
        <w:rPr>
          <w:spacing w:val="-1"/>
        </w:rPr>
        <w:t>recommendations</w:t>
      </w:r>
      <w:r>
        <w:t xml:space="preserve"> </w:t>
      </w:r>
      <w:r>
        <w:rPr>
          <w:spacing w:val="-2"/>
        </w:rPr>
        <w:t>of</w:t>
      </w:r>
      <w:r>
        <w:rPr>
          <w:spacing w:val="1"/>
        </w:rPr>
        <w:t xml:space="preserve"> </w:t>
      </w:r>
      <w:r>
        <w:rPr>
          <w:spacing w:val="-1"/>
        </w:rPr>
        <w:t>the</w:t>
      </w:r>
      <w:r>
        <w:t xml:space="preserve"> </w:t>
      </w:r>
      <w:r>
        <w:rPr>
          <w:spacing w:val="-1"/>
        </w:rPr>
        <w:t>data</w:t>
      </w:r>
      <w:r>
        <w:t xml:space="preserve"> </w:t>
      </w:r>
      <w:r>
        <w:rPr>
          <w:spacing w:val="-1"/>
        </w:rPr>
        <w:t>monitoring</w:t>
      </w:r>
      <w:r>
        <w:rPr>
          <w:spacing w:val="-3"/>
        </w:rPr>
        <w:t xml:space="preserve"> </w:t>
      </w:r>
      <w:r>
        <w:rPr>
          <w:spacing w:val="-1"/>
        </w:rPr>
        <w:t>committee</w:t>
      </w:r>
      <w:r>
        <w:rPr>
          <w:spacing w:val="-2"/>
        </w:rPr>
        <w:t xml:space="preserve"> </w:t>
      </w:r>
      <w:r>
        <w:rPr>
          <w:spacing w:val="-1"/>
        </w:rPr>
        <w:t>after</w:t>
      </w:r>
      <w:r>
        <w:rPr>
          <w:spacing w:val="-2"/>
        </w:rPr>
        <w:t xml:space="preserve"> </w:t>
      </w:r>
      <w:r>
        <w:rPr>
          <w:spacing w:val="-1"/>
        </w:rPr>
        <w:t>surpassing</w:t>
      </w:r>
      <w:r>
        <w:rPr>
          <w:spacing w:val="-3"/>
        </w:rPr>
        <w:t xml:space="preserve"> </w:t>
      </w:r>
      <w:r>
        <w:t>the</w:t>
      </w:r>
      <w:r>
        <w:rPr>
          <w:spacing w:val="89"/>
        </w:rPr>
        <w:t xml:space="preserve"> </w:t>
      </w:r>
      <w:r>
        <w:rPr>
          <w:spacing w:val="-1"/>
        </w:rPr>
        <w:t>threshold</w:t>
      </w:r>
      <w:r>
        <w:t xml:space="preserve"> </w:t>
      </w:r>
      <w:r>
        <w:rPr>
          <w:spacing w:val="-1"/>
        </w:rPr>
        <w:t>for</w:t>
      </w:r>
      <w:r>
        <w:rPr>
          <w:spacing w:val="1"/>
        </w:rPr>
        <w:t xml:space="preserve"> </w:t>
      </w:r>
      <w:r>
        <w:t>a</w:t>
      </w:r>
      <w:r>
        <w:rPr>
          <w:spacing w:val="-2"/>
        </w:rPr>
        <w:t xml:space="preserve"> </w:t>
      </w:r>
      <w:r>
        <w:rPr>
          <w:spacing w:val="-1"/>
        </w:rPr>
        <w:t>preplanned</w:t>
      </w:r>
      <w:r>
        <w:rPr>
          <w:spacing w:val="-3"/>
        </w:rPr>
        <w:t xml:space="preserve"> </w:t>
      </w:r>
      <w:r>
        <w:rPr>
          <w:spacing w:val="-1"/>
        </w:rPr>
        <w:t>interim</w:t>
      </w:r>
      <w:r>
        <w:rPr>
          <w:spacing w:val="-4"/>
        </w:rPr>
        <w:t xml:space="preserve"> </w:t>
      </w:r>
      <w:r>
        <w:rPr>
          <w:spacing w:val="-1"/>
        </w:rPr>
        <w:t>analysis</w:t>
      </w:r>
      <w:r>
        <w:rPr>
          <w:spacing w:val="-2"/>
        </w:rPr>
        <w:t xml:space="preserve"> </w:t>
      </w:r>
      <w:r>
        <w:t>of</w:t>
      </w:r>
      <w:r>
        <w:rPr>
          <w:spacing w:val="1"/>
        </w:rPr>
        <w:t xml:space="preserve"> </w:t>
      </w:r>
      <w:r>
        <w:rPr>
          <w:spacing w:val="-1"/>
        </w:rPr>
        <w:t>PFS.</w:t>
      </w:r>
      <w:r>
        <w:t xml:space="preserve"> </w:t>
      </w:r>
      <w:r>
        <w:rPr>
          <w:spacing w:val="-1"/>
        </w:rPr>
        <w:t>After</w:t>
      </w:r>
      <w:r>
        <w:rPr>
          <w:spacing w:val="1"/>
        </w:rPr>
        <w:t xml:space="preserve"> </w:t>
      </w:r>
      <w:r>
        <w:rPr>
          <w:spacing w:val="-1"/>
        </w:rPr>
        <w:t>unblinding,</w:t>
      </w:r>
      <w:r>
        <w:t xml:space="preserve"> </w:t>
      </w:r>
      <w:r>
        <w:rPr>
          <w:spacing w:val="-1"/>
        </w:rPr>
        <w:t>patients</w:t>
      </w:r>
      <w:r>
        <w:t xml:space="preserve"> in</w:t>
      </w:r>
      <w:r>
        <w:rPr>
          <w:spacing w:val="-3"/>
        </w:rPr>
        <w:t xml:space="preserve"> </w:t>
      </w:r>
      <w:r>
        <w:rPr>
          <w:spacing w:val="-1"/>
        </w:rPr>
        <w:t>the</w:t>
      </w:r>
      <w:r>
        <w:t xml:space="preserve"> </w:t>
      </w:r>
      <w:r>
        <w:rPr>
          <w:spacing w:val="-1"/>
        </w:rPr>
        <w:t>placebo</w:t>
      </w:r>
      <w:r>
        <w:rPr>
          <w:spacing w:val="-2"/>
        </w:rPr>
        <w:t xml:space="preserve"> </w:t>
      </w:r>
      <w:r>
        <w:t>arm</w:t>
      </w:r>
      <w:r>
        <w:rPr>
          <w:spacing w:val="-4"/>
        </w:rPr>
        <w:t xml:space="preserve"> </w:t>
      </w:r>
      <w:r>
        <w:t>were</w:t>
      </w:r>
      <w:r>
        <w:rPr>
          <w:spacing w:val="79"/>
        </w:rPr>
        <w:t xml:space="preserve"> </w:t>
      </w:r>
      <w:r>
        <w:rPr>
          <w:spacing w:val="-1"/>
        </w:rPr>
        <w:t>allowed</w:t>
      </w:r>
      <w:r>
        <w:t xml:space="preserve"> </w:t>
      </w:r>
      <w:r>
        <w:rPr>
          <w:spacing w:val="-1"/>
        </w:rPr>
        <w:t>to</w:t>
      </w:r>
      <w:r>
        <w:t xml:space="preserve"> </w:t>
      </w:r>
      <w:r>
        <w:rPr>
          <w:spacing w:val="-1"/>
        </w:rPr>
        <w:t>cross</w:t>
      </w:r>
      <w:r>
        <w:rPr>
          <w:spacing w:val="1"/>
        </w:rPr>
        <w:t xml:space="preserve"> </w:t>
      </w:r>
      <w:r>
        <w:rPr>
          <w:spacing w:val="-1"/>
        </w:rPr>
        <w:t>over</w:t>
      </w:r>
      <w:r>
        <w:rPr>
          <w:spacing w:val="-2"/>
        </w:rPr>
        <w:t xml:space="preserve"> </w:t>
      </w:r>
      <w:r>
        <w:t>to</w:t>
      </w:r>
      <w:r>
        <w:rPr>
          <w:spacing w:val="-2"/>
        </w:rPr>
        <w:t xml:space="preserve"> </w:t>
      </w:r>
      <w:r>
        <w:rPr>
          <w:spacing w:val="-1"/>
        </w:rPr>
        <w:t>receive</w:t>
      </w:r>
      <w:r>
        <w:t xml:space="preserve"> </w:t>
      </w:r>
      <w:r>
        <w:rPr>
          <w:spacing w:val="-1"/>
        </w:rPr>
        <w:t>lenalidomide</w:t>
      </w:r>
      <w:r>
        <w:t xml:space="preserve"> </w:t>
      </w:r>
      <w:r>
        <w:rPr>
          <w:spacing w:val="-1"/>
        </w:rPr>
        <w:t>before</w:t>
      </w:r>
      <w:r>
        <w:t xml:space="preserve"> </w:t>
      </w:r>
      <w:r>
        <w:rPr>
          <w:spacing w:val="-1"/>
        </w:rPr>
        <w:t>disease</w:t>
      </w:r>
      <w:r>
        <w:t xml:space="preserve"> </w:t>
      </w:r>
      <w:r>
        <w:rPr>
          <w:spacing w:val="-1"/>
        </w:rPr>
        <w:t>progression.</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results</w:t>
      </w:r>
      <w:r>
        <w:t xml:space="preserve"> </w:t>
      </w:r>
      <w:r>
        <w:rPr>
          <w:spacing w:val="-2"/>
        </w:rPr>
        <w:t>of</w:t>
      </w:r>
      <w:r>
        <w:rPr>
          <w:spacing w:val="1"/>
        </w:rPr>
        <w:t xml:space="preserve"> </w:t>
      </w:r>
      <w:r>
        <w:rPr>
          <w:spacing w:val="-1"/>
        </w:rPr>
        <w:t xml:space="preserve">PFS </w:t>
      </w:r>
      <w:r>
        <w:rPr>
          <w:spacing w:val="-2"/>
        </w:rPr>
        <w:t>at</w:t>
      </w:r>
      <w:r>
        <w:rPr>
          <w:spacing w:val="1"/>
        </w:rPr>
        <w:t xml:space="preserve"> </w:t>
      </w:r>
      <w:r>
        <w:rPr>
          <w:spacing w:val="-1"/>
        </w:rPr>
        <w:t>unblinding,</w:t>
      </w:r>
      <w:r>
        <w:t xml:space="preserve"> </w:t>
      </w:r>
      <w:r>
        <w:rPr>
          <w:spacing w:val="-1"/>
        </w:rPr>
        <w:t>following</w:t>
      </w:r>
      <w:r>
        <w:rPr>
          <w:spacing w:val="-3"/>
        </w:rPr>
        <w:t xml:space="preserve"> </w:t>
      </w:r>
      <w:r>
        <w:t>a</w:t>
      </w:r>
      <w:r>
        <w:rPr>
          <w:spacing w:val="1"/>
        </w:rPr>
        <w:t xml:space="preserve"> </w:t>
      </w:r>
      <w:r>
        <w:rPr>
          <w:spacing w:val="-1"/>
        </w:rPr>
        <w:t>preplanned</w:t>
      </w:r>
      <w:r>
        <w:t xml:space="preserve"> </w:t>
      </w:r>
      <w:r>
        <w:rPr>
          <w:spacing w:val="-1"/>
        </w:rPr>
        <w:t>interim</w:t>
      </w:r>
      <w:r>
        <w:rPr>
          <w:spacing w:val="-4"/>
        </w:rPr>
        <w:t xml:space="preserve"> </w:t>
      </w:r>
      <w:r>
        <w:rPr>
          <w:spacing w:val="-1"/>
        </w:rPr>
        <w:t>analysis,</w:t>
      </w:r>
      <w:r>
        <w:t xml:space="preserve"> </w:t>
      </w:r>
      <w:r>
        <w:rPr>
          <w:spacing w:val="-1"/>
        </w:rPr>
        <w:t>using</w:t>
      </w:r>
      <w:r>
        <w:rPr>
          <w:spacing w:val="-2"/>
        </w:rPr>
        <w:t xml:space="preserve"> </w:t>
      </w:r>
      <w:r>
        <w:t>a</w:t>
      </w:r>
      <w:r>
        <w:rPr>
          <w:spacing w:val="-2"/>
        </w:rPr>
        <w:t xml:space="preserve"> </w:t>
      </w:r>
      <w:r>
        <w:rPr>
          <w:spacing w:val="-1"/>
        </w:rPr>
        <w:t>cut-off</w:t>
      </w:r>
      <w:r>
        <w:rPr>
          <w:spacing w:val="1"/>
        </w:rPr>
        <w:t xml:space="preserve"> </w:t>
      </w:r>
      <w:r>
        <w:t>of</w:t>
      </w:r>
      <w:r>
        <w:rPr>
          <w:spacing w:val="-2"/>
        </w:rPr>
        <w:t xml:space="preserve"> </w:t>
      </w:r>
      <w:r>
        <w:t xml:space="preserve">17 </w:t>
      </w:r>
      <w:r>
        <w:rPr>
          <w:spacing w:val="-1"/>
        </w:rPr>
        <w:t>December</w:t>
      </w:r>
      <w:r>
        <w:rPr>
          <w:spacing w:val="79"/>
        </w:rPr>
        <w:t xml:space="preserve"> </w:t>
      </w:r>
      <w:r>
        <w:t xml:space="preserve">2009 </w:t>
      </w:r>
      <w:r>
        <w:rPr>
          <w:spacing w:val="-1"/>
        </w:rPr>
        <w:t>(15.5</w:t>
      </w:r>
      <w:r>
        <w:t xml:space="preserve"> </w:t>
      </w:r>
      <w:r>
        <w:rPr>
          <w:spacing w:val="-1"/>
        </w:rPr>
        <w:t>months</w:t>
      </w:r>
      <w:r>
        <w:t xml:space="preserve"> </w:t>
      </w:r>
      <w:r>
        <w:rPr>
          <w:spacing w:val="-1"/>
        </w:rPr>
        <w:t>follow up)</w:t>
      </w:r>
      <w:r>
        <w:rPr>
          <w:spacing w:val="1"/>
        </w:rPr>
        <w:t xml:space="preserve"> </w:t>
      </w:r>
      <w:r>
        <w:rPr>
          <w:spacing w:val="-1"/>
        </w:rPr>
        <w:t>showed</w:t>
      </w:r>
      <w:r>
        <w:t xml:space="preserve"> a </w:t>
      </w:r>
      <w:r>
        <w:rPr>
          <w:spacing w:val="-1"/>
        </w:rPr>
        <w:t>62% reduction</w:t>
      </w:r>
      <w:r>
        <w:rPr>
          <w:spacing w:val="-2"/>
        </w:rPr>
        <w:t xml:space="preserve"> </w:t>
      </w:r>
      <w:r>
        <w:t xml:space="preserve">in </w:t>
      </w:r>
      <w:r>
        <w:rPr>
          <w:spacing w:val="-1"/>
        </w:rPr>
        <w:t>risk</w:t>
      </w:r>
      <w:r>
        <w:rPr>
          <w:spacing w:val="-3"/>
        </w:rPr>
        <w:t xml:space="preserve"> </w:t>
      </w:r>
      <w:r>
        <w:t>of</w:t>
      </w:r>
      <w:r>
        <w:rPr>
          <w:spacing w:val="1"/>
        </w:rPr>
        <w:t xml:space="preserve"> </w:t>
      </w:r>
      <w:r>
        <w:rPr>
          <w:spacing w:val="-1"/>
        </w:rPr>
        <w:t>disease</w:t>
      </w:r>
      <w:r>
        <w:rPr>
          <w:spacing w:val="-2"/>
        </w:rPr>
        <w:t xml:space="preserve"> </w:t>
      </w:r>
      <w:r>
        <w:rPr>
          <w:spacing w:val="-1"/>
        </w:rPr>
        <w:t>progression</w:t>
      </w:r>
      <w:r>
        <w:t xml:space="preserve"> or</w:t>
      </w:r>
      <w:r>
        <w:rPr>
          <w:spacing w:val="1"/>
        </w:rPr>
        <w:t xml:space="preserve"> </w:t>
      </w:r>
      <w:r>
        <w:rPr>
          <w:spacing w:val="-1"/>
        </w:rPr>
        <w:t>death</w:t>
      </w:r>
      <w:r>
        <w:t xml:space="preserve"> </w:t>
      </w:r>
      <w:r>
        <w:rPr>
          <w:spacing w:val="-1"/>
        </w:rPr>
        <w:t>favo</w:t>
      </w:r>
      <w:r w:rsidR="00AC3004">
        <w:rPr>
          <w:spacing w:val="-1"/>
        </w:rPr>
        <w:t>u</w:t>
      </w:r>
      <w:r>
        <w:rPr>
          <w:spacing w:val="-1"/>
        </w:rPr>
        <w:t>ring</w:t>
      </w:r>
      <w:r>
        <w:rPr>
          <w:spacing w:val="67"/>
        </w:rPr>
        <w:t xml:space="preserve"> </w:t>
      </w:r>
      <w:r>
        <w:rPr>
          <w:spacing w:val="-1"/>
        </w:rPr>
        <w:t>lenalidomide</w:t>
      </w:r>
      <w:r>
        <w:t xml:space="preserve"> </w:t>
      </w:r>
      <w:r>
        <w:rPr>
          <w:spacing w:val="-1"/>
        </w:rPr>
        <w:t xml:space="preserve">(HR </w:t>
      </w:r>
      <w:r>
        <w:t xml:space="preserve">= </w:t>
      </w:r>
      <w:r>
        <w:rPr>
          <w:spacing w:val="-1"/>
        </w:rPr>
        <w:t>0.38;</w:t>
      </w:r>
      <w:r>
        <w:rPr>
          <w:spacing w:val="1"/>
        </w:rPr>
        <w:t xml:space="preserve"> </w:t>
      </w:r>
      <w:r>
        <w:rPr>
          <w:spacing w:val="-1"/>
        </w:rPr>
        <w:t>95%</w:t>
      </w:r>
      <w:r>
        <w:rPr>
          <w:spacing w:val="1"/>
        </w:rPr>
        <w:t xml:space="preserve"> </w:t>
      </w:r>
      <w:r>
        <w:rPr>
          <w:spacing w:val="-1"/>
        </w:rPr>
        <w:t>CI</w:t>
      </w:r>
      <w:r>
        <w:rPr>
          <w:spacing w:val="-4"/>
        </w:rPr>
        <w:t xml:space="preserve"> </w:t>
      </w:r>
      <w:r>
        <w:t>0.27, 0.54;</w:t>
      </w:r>
      <w:r>
        <w:rPr>
          <w:spacing w:val="1"/>
        </w:rPr>
        <w:t xml:space="preserve"> </w:t>
      </w:r>
      <w:r>
        <w:t>p</w:t>
      </w:r>
      <w:r>
        <w:rPr>
          <w:spacing w:val="-2"/>
        </w:rPr>
        <w:t xml:space="preserve"> </w:t>
      </w:r>
      <w:r>
        <w:rPr>
          <w:spacing w:val="-1"/>
        </w:rPr>
        <w:t>&lt;0.001).</w:t>
      </w:r>
      <w:r>
        <w:rPr>
          <w:spacing w:val="-3"/>
        </w:rPr>
        <w:t xml:space="preserve"> </w:t>
      </w:r>
      <w:r>
        <w:t>The</w:t>
      </w:r>
      <w:r>
        <w:rPr>
          <w:spacing w:val="1"/>
        </w:rPr>
        <w:t xml:space="preserve"> </w:t>
      </w:r>
      <w:r>
        <w:rPr>
          <w:spacing w:val="-1"/>
        </w:rPr>
        <w:t>median</w:t>
      </w:r>
      <w:r>
        <w:rPr>
          <w:spacing w:val="-2"/>
        </w:rPr>
        <w:t xml:space="preserve"> </w:t>
      </w:r>
      <w:r>
        <w:rPr>
          <w:spacing w:val="-1"/>
        </w:rPr>
        <w:t>overall</w:t>
      </w:r>
      <w:r>
        <w:rPr>
          <w:spacing w:val="1"/>
        </w:rPr>
        <w:t xml:space="preserve"> </w:t>
      </w:r>
      <w:r>
        <w:rPr>
          <w:spacing w:val="-1"/>
        </w:rPr>
        <w:t>PFS</w:t>
      </w:r>
      <w:r>
        <w:rPr>
          <w:spacing w:val="-3"/>
        </w:rPr>
        <w:t xml:space="preserve"> </w:t>
      </w:r>
      <w:r>
        <w:rPr>
          <w:spacing w:val="-1"/>
        </w:rPr>
        <w:t>was</w:t>
      </w:r>
      <w:r>
        <w:t xml:space="preserve"> 33.9 </w:t>
      </w:r>
      <w:r>
        <w:rPr>
          <w:spacing w:val="-1"/>
        </w:rPr>
        <w:t>months</w:t>
      </w:r>
      <w:r>
        <w:rPr>
          <w:spacing w:val="-2"/>
        </w:rPr>
        <w:t xml:space="preserve"> </w:t>
      </w:r>
      <w:r>
        <w:rPr>
          <w:spacing w:val="-1"/>
        </w:rPr>
        <w:t>(95%</w:t>
      </w:r>
      <w:r>
        <w:rPr>
          <w:spacing w:val="1"/>
        </w:rPr>
        <w:t xml:space="preserve"> </w:t>
      </w:r>
      <w:r>
        <w:rPr>
          <w:spacing w:val="-1"/>
        </w:rPr>
        <w:t>CI</w:t>
      </w:r>
      <w:r>
        <w:rPr>
          <w:spacing w:val="57"/>
        </w:rPr>
        <w:t xml:space="preserve"> </w:t>
      </w:r>
      <w:r>
        <w:rPr>
          <w:spacing w:val="-1"/>
        </w:rPr>
        <w:t>NE,</w:t>
      </w:r>
      <w:r>
        <w:t xml:space="preserve"> </w:t>
      </w:r>
      <w:r>
        <w:rPr>
          <w:spacing w:val="-1"/>
        </w:rPr>
        <w:t>NE)</w:t>
      </w:r>
      <w:r>
        <w:rPr>
          <w:spacing w:val="1"/>
        </w:rPr>
        <w:t xml:space="preserve"> </w:t>
      </w:r>
      <w:r>
        <w:t>in</w:t>
      </w:r>
      <w:r>
        <w:rPr>
          <w:spacing w:val="-3"/>
        </w:rPr>
        <w:t xml:space="preserve"> </w:t>
      </w:r>
      <w:r>
        <w:t>the</w:t>
      </w:r>
      <w:r>
        <w:rPr>
          <w:spacing w:val="-2"/>
        </w:rPr>
        <w:t xml:space="preserve"> </w:t>
      </w:r>
      <w:r>
        <w:rPr>
          <w:spacing w:val="-1"/>
        </w:rPr>
        <w:t>lenalidomide</w:t>
      </w:r>
      <w:r>
        <w:rPr>
          <w:spacing w:val="1"/>
        </w:rPr>
        <w:t xml:space="preserve"> </w:t>
      </w:r>
      <w:r>
        <w:t>arm</w:t>
      </w:r>
      <w:r>
        <w:rPr>
          <w:spacing w:val="-4"/>
        </w:rPr>
        <w:t xml:space="preserve"> </w:t>
      </w:r>
      <w:r>
        <w:rPr>
          <w:spacing w:val="-1"/>
        </w:rPr>
        <w:t>versus</w:t>
      </w:r>
      <w:r>
        <w:t xml:space="preserve"> 19.0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16.2, 25.6)</w:t>
      </w:r>
      <w:r>
        <w:rPr>
          <w:spacing w:val="-2"/>
        </w:rPr>
        <w:t xml:space="preserve"> </w:t>
      </w:r>
      <w:r>
        <w:t>in</w:t>
      </w:r>
      <w:r>
        <w:rPr>
          <w:spacing w:val="-2"/>
        </w:rPr>
        <w:t xml:space="preserve"> </w:t>
      </w:r>
      <w:r>
        <w:t xml:space="preserve">the </w:t>
      </w:r>
      <w:r>
        <w:rPr>
          <w:spacing w:val="-1"/>
        </w:rPr>
        <w:t>placebo</w:t>
      </w:r>
      <w:r>
        <w:t xml:space="preserve"> </w:t>
      </w:r>
      <w:r>
        <w:rPr>
          <w:spacing w:val="-2"/>
        </w:rPr>
        <w:t>arm.</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PFS benefit</w:t>
      </w:r>
      <w:r>
        <w:rPr>
          <w:spacing w:val="1"/>
        </w:rPr>
        <w:t xml:space="preserve"> </w:t>
      </w:r>
      <w:r>
        <w:rPr>
          <w:spacing w:val="-2"/>
        </w:rPr>
        <w:t>was</w:t>
      </w:r>
      <w:r>
        <w:t xml:space="preserve"> </w:t>
      </w:r>
      <w:r>
        <w:rPr>
          <w:spacing w:val="-1"/>
        </w:rPr>
        <w:t>observed</w:t>
      </w:r>
      <w:r>
        <w:t xml:space="preserve"> both </w:t>
      </w:r>
      <w:r>
        <w:rPr>
          <w:spacing w:val="-1"/>
        </w:rPr>
        <w:t>in</w:t>
      </w:r>
      <w:r>
        <w:t xml:space="preserve"> </w:t>
      </w:r>
      <w:r>
        <w:rPr>
          <w:spacing w:val="-1"/>
        </w:rPr>
        <w:t>the</w:t>
      </w:r>
      <w:r>
        <w:t xml:space="preserve"> </w:t>
      </w:r>
      <w:r>
        <w:rPr>
          <w:spacing w:val="-1"/>
        </w:rPr>
        <w:t>subgroup</w:t>
      </w:r>
      <w:r>
        <w:rPr>
          <w:spacing w:val="-3"/>
        </w:rPr>
        <w:t xml:space="preserve"> </w:t>
      </w:r>
      <w:r>
        <w:t>of</w:t>
      </w:r>
      <w:r>
        <w:rPr>
          <w:spacing w:val="-2"/>
        </w:rPr>
        <w:t xml:space="preserve"> </w:t>
      </w:r>
      <w:r>
        <w:rPr>
          <w:spacing w:val="-1"/>
        </w:rPr>
        <w:t>patients</w:t>
      </w:r>
      <w:r>
        <w:t xml:space="preserve"> </w:t>
      </w:r>
      <w:r>
        <w:rPr>
          <w:spacing w:val="-1"/>
        </w:rPr>
        <w:t>with</w:t>
      </w:r>
      <w:r>
        <w:t xml:space="preserve"> </w:t>
      </w:r>
      <w:r>
        <w:rPr>
          <w:spacing w:val="-1"/>
        </w:rPr>
        <w:t>CR and</w:t>
      </w:r>
      <w:r>
        <w:t xml:space="preserve"> in</w:t>
      </w:r>
      <w:r>
        <w:rPr>
          <w:spacing w:val="-2"/>
        </w:rPr>
        <w:t xml:space="preserve"> </w:t>
      </w:r>
      <w:r>
        <w:rPr>
          <w:spacing w:val="-1"/>
        </w:rPr>
        <w:t>the</w:t>
      </w:r>
      <w:r>
        <w:t xml:space="preserve"> </w:t>
      </w:r>
      <w:r>
        <w:rPr>
          <w:spacing w:val="-1"/>
        </w:rPr>
        <w:t>subgroup</w:t>
      </w:r>
      <w:r>
        <w:t xml:space="preserve"> </w:t>
      </w:r>
      <w:r>
        <w:rPr>
          <w:spacing w:val="-2"/>
        </w:rPr>
        <w:t>of</w:t>
      </w:r>
      <w:r>
        <w:rPr>
          <w:spacing w:val="1"/>
        </w:rPr>
        <w:t xml:space="preserve"> </w:t>
      </w:r>
      <w:r>
        <w:rPr>
          <w:spacing w:val="-1"/>
        </w:rPr>
        <w:t>patients</w:t>
      </w:r>
      <w:r>
        <w:rPr>
          <w:spacing w:val="1"/>
        </w:rPr>
        <w:t xml:space="preserve"> </w:t>
      </w:r>
      <w:r>
        <w:rPr>
          <w:spacing w:val="-1"/>
        </w:rPr>
        <w:t>who</w:t>
      </w:r>
      <w:r>
        <w:rPr>
          <w:spacing w:val="71"/>
        </w:rPr>
        <w:t xml:space="preserve"> </w:t>
      </w:r>
      <w:r>
        <w:t xml:space="preserve">had </w:t>
      </w:r>
      <w:r>
        <w:rPr>
          <w:spacing w:val="-1"/>
        </w:rPr>
        <w:t>not</w:t>
      </w:r>
      <w:r>
        <w:rPr>
          <w:spacing w:val="1"/>
        </w:rPr>
        <w:t xml:space="preserve"> </w:t>
      </w:r>
      <w:r>
        <w:rPr>
          <w:spacing w:val="-1"/>
        </w:rPr>
        <w:t>achieved</w:t>
      </w:r>
      <w:r>
        <w:t xml:space="preserve"> a </w:t>
      </w:r>
      <w:r>
        <w:rPr>
          <w:spacing w:val="-1"/>
        </w:rPr>
        <w:t>CR.</w:t>
      </w:r>
    </w:p>
    <w:p w:rsidR="00506994" w:rsidRDefault="00506994" w:rsidP="00AB7A9E">
      <w:pPr>
        <w:rPr>
          <w:rFonts w:eastAsia="Times New Roman"/>
        </w:rPr>
      </w:pPr>
    </w:p>
    <w:p w:rsidR="00506994" w:rsidRDefault="00506994" w:rsidP="00AB7A9E">
      <w:pPr>
        <w:pStyle w:val="BodyText"/>
      </w:pPr>
      <w:r>
        <w:t>The</w:t>
      </w:r>
      <w:r>
        <w:rPr>
          <w:spacing w:val="-2"/>
        </w:rPr>
        <w:t xml:space="preserve"> </w:t>
      </w:r>
      <w:r>
        <w:rPr>
          <w:spacing w:val="-1"/>
        </w:rPr>
        <w:t>results</w:t>
      </w:r>
      <w:r>
        <w:rPr>
          <w:spacing w:val="-2"/>
        </w:rPr>
        <w:t xml:space="preserve"> </w:t>
      </w:r>
      <w:r>
        <w:t>for</w:t>
      </w:r>
      <w:r>
        <w:rPr>
          <w:spacing w:val="-2"/>
        </w:rPr>
        <w:t xml:space="preserve"> </w:t>
      </w:r>
      <w:r>
        <w:t>the</w:t>
      </w:r>
      <w:r>
        <w:rPr>
          <w:spacing w:val="-2"/>
        </w:rPr>
        <w:t xml:space="preserve"> </w:t>
      </w:r>
      <w:r>
        <w:rPr>
          <w:spacing w:val="-1"/>
        </w:rPr>
        <w:t>study,</w:t>
      </w:r>
      <w:r>
        <w:t xml:space="preserve"> </w:t>
      </w:r>
      <w:r>
        <w:rPr>
          <w:spacing w:val="-1"/>
        </w:rPr>
        <w:t>using</w:t>
      </w:r>
      <w:r>
        <w:rPr>
          <w:spacing w:val="-2"/>
        </w:rPr>
        <w:t xml:space="preserve"> </w:t>
      </w:r>
      <w:r>
        <w:t xml:space="preserve">a </w:t>
      </w:r>
      <w:r>
        <w:rPr>
          <w:spacing w:val="-1"/>
        </w:rPr>
        <w:t>cut-off</w:t>
      </w:r>
      <w:r>
        <w:rPr>
          <w:spacing w:val="1"/>
        </w:rPr>
        <w:t xml:space="preserve"> </w:t>
      </w:r>
      <w:r>
        <w:rPr>
          <w:spacing w:val="-2"/>
        </w:rPr>
        <w:t>of</w:t>
      </w:r>
      <w:r>
        <w:rPr>
          <w:spacing w:val="1"/>
        </w:rPr>
        <w:t xml:space="preserve"> </w:t>
      </w:r>
      <w:r>
        <w:t xml:space="preserve">1 </w:t>
      </w:r>
      <w:r>
        <w:rPr>
          <w:spacing w:val="-1"/>
        </w:rPr>
        <w:t>February</w:t>
      </w:r>
      <w:r>
        <w:rPr>
          <w:spacing w:val="-3"/>
        </w:rPr>
        <w:t xml:space="preserve"> </w:t>
      </w:r>
      <w:r>
        <w:t xml:space="preserve">2016, </w:t>
      </w:r>
      <w:r>
        <w:rPr>
          <w:spacing w:val="-1"/>
        </w:rPr>
        <w:t>are</w:t>
      </w:r>
      <w:r>
        <w:t xml:space="preserve"> </w:t>
      </w:r>
      <w:r>
        <w:rPr>
          <w:spacing w:val="-1"/>
        </w:rPr>
        <w:t>presented</w:t>
      </w:r>
      <w:r>
        <w:t xml:space="preserve"> </w:t>
      </w:r>
      <w:r>
        <w:rPr>
          <w:spacing w:val="-1"/>
        </w:rPr>
        <w:t>in</w:t>
      </w:r>
      <w:r>
        <w:rPr>
          <w:spacing w:val="-2"/>
        </w:rPr>
        <w:t xml:space="preserve"> </w:t>
      </w:r>
      <w:r>
        <w:rPr>
          <w:spacing w:val="-1"/>
        </w:rPr>
        <w:t>Table</w:t>
      </w:r>
      <w:r w:rsidR="00AC3004">
        <w:t>7</w:t>
      </w:r>
      <w:r>
        <w:t>.</w:t>
      </w:r>
    </w:p>
    <w:p w:rsidR="00506994" w:rsidRDefault="00506994" w:rsidP="00AB7A9E">
      <w:pPr>
        <w:spacing w:before="5"/>
        <w:rPr>
          <w:rFonts w:eastAsia="Times New Roman"/>
        </w:rPr>
      </w:pPr>
    </w:p>
    <w:p w:rsidR="00506994" w:rsidRDefault="00506994" w:rsidP="00AB7A9E">
      <w:pPr>
        <w:pStyle w:val="Heading1"/>
        <w:numPr>
          <w:ilvl w:val="0"/>
          <w:numId w:val="0"/>
        </w:numPr>
        <w:spacing w:after="0"/>
        <w:rPr>
          <w:b w:val="0"/>
          <w:bCs w:val="0"/>
        </w:rPr>
      </w:pPr>
      <w:r>
        <w:rPr>
          <w:spacing w:val="-1"/>
        </w:rPr>
        <w:t>Table</w:t>
      </w:r>
      <w:r>
        <w:t xml:space="preserve"> </w:t>
      </w:r>
      <w:r w:rsidR="00AC3004">
        <w:rPr>
          <w:spacing w:val="-2"/>
        </w:rPr>
        <w:t>7</w:t>
      </w:r>
      <w:r>
        <w:rPr>
          <w:spacing w:val="-2"/>
        </w:rPr>
        <w:t>:</w:t>
      </w:r>
      <w:r>
        <w:rPr>
          <w:spacing w:val="1"/>
        </w:rPr>
        <w:t xml:space="preserve"> </w:t>
      </w:r>
      <w:r>
        <w:rPr>
          <w:spacing w:val="-1"/>
        </w:rPr>
        <w:t>Summary</w:t>
      </w:r>
      <w:r>
        <w:t xml:space="preserve"> </w:t>
      </w:r>
      <w:r>
        <w:rPr>
          <w:spacing w:val="-1"/>
        </w:rPr>
        <w:t>of</w:t>
      </w:r>
      <w:r>
        <w:rPr>
          <w:spacing w:val="1"/>
        </w:rPr>
        <w:t xml:space="preserve"> </w:t>
      </w:r>
      <w:r>
        <w:rPr>
          <w:spacing w:val="-1"/>
        </w:rPr>
        <w:t>overall</w:t>
      </w:r>
      <w:r>
        <w:rPr>
          <w:spacing w:val="1"/>
        </w:rPr>
        <w:t xml:space="preserve"> </w:t>
      </w:r>
      <w:r>
        <w:rPr>
          <w:spacing w:val="-1"/>
        </w:rPr>
        <w:t>efficacy</w:t>
      </w:r>
      <w:r>
        <w:t xml:space="preserve"> </w:t>
      </w:r>
      <w:r>
        <w:rPr>
          <w:spacing w:val="-1"/>
        </w:rPr>
        <w:t>data</w:t>
      </w:r>
    </w:p>
    <w:tbl>
      <w:tblPr>
        <w:tblW w:w="0" w:type="auto"/>
        <w:tblInd w:w="6" w:type="dxa"/>
        <w:tblLayout w:type="fixed"/>
        <w:tblCellMar>
          <w:left w:w="0" w:type="dxa"/>
          <w:right w:w="0" w:type="dxa"/>
        </w:tblCellMar>
        <w:tblLook w:val="01E0" w:firstRow="1" w:lastRow="1" w:firstColumn="1" w:lastColumn="1" w:noHBand="0" w:noVBand="0"/>
      </w:tblPr>
      <w:tblGrid>
        <w:gridCol w:w="6019"/>
        <w:gridCol w:w="1867"/>
        <w:gridCol w:w="1868"/>
      </w:tblGrid>
      <w:tr w:rsidR="00506994" w:rsidTr="00847F91">
        <w:trPr>
          <w:trHeight w:hRule="exact" w:val="49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tabs>
                <w:tab w:val="left" w:pos="1919"/>
              </w:tabs>
              <w:spacing w:before="30"/>
              <w:jc w:val="center"/>
              <w:rPr>
                <w:rFonts w:ascii="Times New Roman" w:eastAsia="Times New Roman" w:hAnsi="Times New Roman" w:cs="Times New Roman"/>
                <w:sz w:val="18"/>
                <w:szCs w:val="18"/>
              </w:rPr>
            </w:pPr>
            <w:r>
              <w:rPr>
                <w:rFonts w:ascii="Times New Roman"/>
                <w:spacing w:val="-1"/>
                <w:sz w:val="18"/>
              </w:rPr>
              <w:t>Lenalidomide</w:t>
            </w:r>
            <w:r>
              <w:rPr>
                <w:rFonts w:ascii="Times New Roman"/>
                <w:spacing w:val="28"/>
                <w:sz w:val="18"/>
              </w:rPr>
              <w:t xml:space="preserve"> </w:t>
            </w:r>
            <w:r>
              <w:rPr>
                <w:rFonts w:ascii="Times New Roman"/>
                <w:sz w:val="18"/>
              </w:rPr>
              <w:t>(N = 231)</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30"/>
              <w:ind w:right="115"/>
              <w:jc w:val="center"/>
              <w:rPr>
                <w:rFonts w:ascii="Times New Roman" w:eastAsia="Times New Roman" w:hAnsi="Times New Roman" w:cs="Times New Roman"/>
                <w:sz w:val="18"/>
                <w:szCs w:val="18"/>
              </w:rPr>
            </w:pPr>
            <w:r>
              <w:rPr>
                <w:rFonts w:ascii="Times New Roman"/>
                <w:spacing w:val="-1"/>
                <w:sz w:val="18"/>
              </w:rPr>
              <w:t>Placebo</w:t>
            </w:r>
            <w:r>
              <w:rPr>
                <w:rFonts w:ascii="Times New Roman"/>
                <w:spacing w:val="25"/>
                <w:sz w:val="18"/>
              </w:rPr>
              <w:t xml:space="preserve"> </w:t>
            </w:r>
            <w:r>
              <w:rPr>
                <w:rFonts w:ascii="Times New Roman"/>
                <w:sz w:val="18"/>
              </w:rPr>
              <w:t>(N =</w:t>
            </w:r>
            <w:r>
              <w:rPr>
                <w:rFonts w:ascii="Times New Roman"/>
                <w:spacing w:val="-1"/>
                <w:sz w:val="18"/>
              </w:rPr>
              <w:t xml:space="preserve"> </w:t>
            </w:r>
            <w:r>
              <w:rPr>
                <w:rFonts w:ascii="Times New Roman"/>
                <w:sz w:val="18"/>
              </w:rPr>
              <w:t>229)</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pacing w:val="-1"/>
                <w:sz w:val="20"/>
              </w:rPr>
              <w:t>Investigator-assessed</w:t>
            </w:r>
            <w:r>
              <w:rPr>
                <w:rFonts w:ascii="Times New Roman"/>
                <w:b/>
                <w:spacing w:val="-23"/>
                <w:sz w:val="20"/>
              </w:rPr>
              <w:t xml:space="preserve"> </w:t>
            </w:r>
            <w:r>
              <w:rPr>
                <w:rFonts w:ascii="Times New Roman"/>
                <w:b/>
                <w:sz w:val="20"/>
              </w:rPr>
              <w:t>PFS</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pacing w:val="-1"/>
                <w:sz w:val="20"/>
              </w:rPr>
              <w:t>Median</w:t>
            </w:r>
            <w:r>
              <w:rPr>
                <w:rFonts w:ascii="Times New Roman"/>
                <w:spacing w:val="-1"/>
                <w:position w:val="7"/>
                <w:sz w:val="13"/>
              </w:rPr>
              <w:t>a</w:t>
            </w:r>
            <w:r>
              <w:rPr>
                <w:rFonts w:ascii="Times New Roman"/>
                <w:spacing w:val="12"/>
                <w:position w:val="7"/>
                <w:sz w:val="13"/>
              </w:rPr>
              <w:t xml:space="preserve"> </w:t>
            </w:r>
            <w:r>
              <w:rPr>
                <w:rFonts w:ascii="Times New Roman"/>
                <w:sz w:val="20"/>
              </w:rPr>
              <w:t>PFS</w:t>
            </w:r>
            <w:r>
              <w:rPr>
                <w:rFonts w:ascii="Times New Roman"/>
                <w:spacing w:val="-7"/>
                <w:sz w:val="20"/>
              </w:rPr>
              <w:t xml:space="preserve"> </w:t>
            </w:r>
            <w:r>
              <w:rPr>
                <w:rFonts w:ascii="Times New Roman"/>
                <w:spacing w:val="-1"/>
                <w:sz w:val="20"/>
              </w:rPr>
              <w:t>time,</w:t>
            </w:r>
            <w:r>
              <w:rPr>
                <w:rFonts w:ascii="Times New Roman"/>
                <w:spacing w:val="-3"/>
                <w:sz w:val="20"/>
              </w:rPr>
              <w:t xml:space="preserve"> </w:t>
            </w:r>
            <w:r>
              <w:rPr>
                <w:rFonts w:ascii="Times New Roman"/>
                <w:sz w:val="20"/>
              </w:rPr>
              <w:t>months</w:t>
            </w:r>
            <w:r>
              <w:rPr>
                <w:rFonts w:ascii="Times New Roman"/>
                <w:spacing w:val="-6"/>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56.9</w:t>
            </w:r>
            <w:r>
              <w:rPr>
                <w:rFonts w:ascii="Times New Roman"/>
                <w:b/>
                <w:spacing w:val="-8"/>
                <w:sz w:val="20"/>
              </w:rPr>
              <w:t xml:space="preserve"> </w:t>
            </w:r>
            <w:r>
              <w:rPr>
                <w:rFonts w:ascii="Times New Roman"/>
                <w:sz w:val="20"/>
              </w:rPr>
              <w:t>(41.9,</w:t>
            </w:r>
            <w:r>
              <w:rPr>
                <w:rFonts w:ascii="Times New Roman"/>
                <w:spacing w:val="-5"/>
                <w:sz w:val="20"/>
              </w:rPr>
              <w:t xml:space="preserve"> </w:t>
            </w:r>
            <w:r>
              <w:rPr>
                <w:rFonts w:ascii="Times New Roman"/>
                <w:sz w:val="20"/>
              </w:rPr>
              <w:t>71.7)</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29,4</w:t>
            </w:r>
            <w:r>
              <w:rPr>
                <w:rFonts w:ascii="Times New Roman"/>
                <w:b/>
                <w:spacing w:val="-8"/>
                <w:sz w:val="20"/>
              </w:rPr>
              <w:t xml:space="preserve"> </w:t>
            </w:r>
            <w:r>
              <w:rPr>
                <w:rFonts w:ascii="Times New Roman"/>
                <w:sz w:val="20"/>
              </w:rPr>
              <w:t>(20.7,</w:t>
            </w:r>
            <w:r>
              <w:rPr>
                <w:rFonts w:ascii="Times New Roman"/>
                <w:spacing w:val="-5"/>
                <w:sz w:val="20"/>
              </w:rPr>
              <w:t xml:space="preserve"> </w:t>
            </w:r>
            <w:r>
              <w:rPr>
                <w:rFonts w:ascii="Times New Roman"/>
                <w:sz w:val="20"/>
              </w:rPr>
              <w:t>35.5)</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z w:val="20"/>
              </w:rPr>
              <w:t>HR</w:t>
            </w:r>
            <w:r>
              <w:rPr>
                <w:rFonts w:ascii="Times New Roman"/>
                <w:spacing w:val="-7"/>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c</w:t>
            </w:r>
            <w:r>
              <w:rPr>
                <w:rFonts w:ascii="Times New Roman"/>
                <w:spacing w:val="-1"/>
                <w:sz w:val="20"/>
              </w:rPr>
              <w:t>;</w:t>
            </w:r>
            <w:r>
              <w:rPr>
                <w:rFonts w:ascii="Times New Roman"/>
                <w:spacing w:val="-6"/>
                <w:sz w:val="20"/>
              </w:rPr>
              <w:t xml:space="preserve"> </w:t>
            </w:r>
            <w:r>
              <w:rPr>
                <w:rFonts w:ascii="Times New Roman"/>
                <w:spacing w:val="-1"/>
                <w:sz w:val="20"/>
              </w:rPr>
              <w:t>p-valued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(0.48,</w:t>
            </w:r>
            <w:r>
              <w:rPr>
                <w:rFonts w:ascii="Times New Roman"/>
                <w:spacing w:val="-5"/>
                <w:sz w:val="20"/>
              </w:rPr>
              <w:t xml:space="preserve"> </w:t>
            </w:r>
            <w:r>
              <w:rPr>
                <w:rFonts w:ascii="Times New Roman"/>
                <w:sz w:val="20"/>
              </w:rPr>
              <w:t>0.76);</w:t>
            </w:r>
            <w:r>
              <w:rPr>
                <w:rFonts w:ascii="Times New Roman"/>
                <w:spacing w:val="-6"/>
                <w:sz w:val="20"/>
              </w:rPr>
              <w:t xml:space="preserve"> </w:t>
            </w:r>
            <w:r>
              <w:rPr>
                <w:rFonts w:ascii="Times New Roman"/>
                <w:spacing w:val="-1"/>
                <w:sz w:val="20"/>
              </w:rPr>
              <w:t>&lt;0.001</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rPr>
                <w:rFonts w:ascii="Times New Roman" w:eastAsia="Times New Roman" w:hAnsi="Times New Roman" w:cs="Times New Roman"/>
                <w:sz w:val="13"/>
                <w:szCs w:val="13"/>
              </w:rPr>
            </w:pPr>
            <w:r>
              <w:rPr>
                <w:rFonts w:ascii="Times New Roman"/>
                <w:b/>
                <w:sz w:val="20"/>
              </w:rPr>
              <w:t>PFS2</w:t>
            </w:r>
            <w:r>
              <w:rPr>
                <w:rFonts w:ascii="Times New Roman"/>
                <w:b/>
                <w:position w:val="7"/>
                <w:sz w:val="13"/>
              </w:rPr>
              <w:t>e</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pacing w:val="-1"/>
                <w:sz w:val="20"/>
              </w:rPr>
              <w:t>Median</w:t>
            </w:r>
            <w:r>
              <w:rPr>
                <w:rFonts w:ascii="Times New Roman"/>
                <w:spacing w:val="-1"/>
                <w:position w:val="7"/>
                <w:sz w:val="13"/>
              </w:rPr>
              <w:t>a</w:t>
            </w:r>
            <w:r>
              <w:rPr>
                <w:rFonts w:ascii="Times New Roman"/>
                <w:spacing w:val="11"/>
                <w:position w:val="7"/>
                <w:sz w:val="13"/>
              </w:rPr>
              <w:t xml:space="preserve"> </w:t>
            </w:r>
            <w:r>
              <w:rPr>
                <w:rFonts w:ascii="Times New Roman"/>
                <w:sz w:val="20"/>
              </w:rPr>
              <w:t>PFS2</w:t>
            </w:r>
            <w:r>
              <w:rPr>
                <w:rFonts w:ascii="Times New Roman"/>
                <w:spacing w:val="-5"/>
                <w:sz w:val="20"/>
              </w:rPr>
              <w:t xml:space="preserve"> </w:t>
            </w:r>
            <w:r>
              <w:rPr>
                <w:rFonts w:ascii="Times New Roman"/>
                <w:spacing w:val="-1"/>
                <w:sz w:val="20"/>
              </w:rPr>
              <w:t>time,</w:t>
            </w:r>
            <w:r>
              <w:rPr>
                <w:rFonts w:ascii="Times New Roman"/>
                <w:spacing w:val="-3"/>
                <w:sz w:val="20"/>
              </w:rPr>
              <w:t xml:space="preserve"> </w:t>
            </w:r>
            <w:r>
              <w:rPr>
                <w:rFonts w:ascii="Times New Roman"/>
                <w:spacing w:val="-1"/>
                <w:sz w:val="20"/>
              </w:rPr>
              <w:t>months</w:t>
            </w:r>
            <w:r>
              <w:rPr>
                <w:rFonts w:ascii="Times New Roman"/>
                <w:spacing w:val="-6"/>
                <w:sz w:val="20"/>
              </w:rPr>
              <w:t xml:space="preserve"> </w:t>
            </w:r>
            <w:r>
              <w:rPr>
                <w:rFonts w:ascii="Times New Roman"/>
                <w:spacing w:val="1"/>
                <w:sz w:val="20"/>
              </w:rPr>
              <w:t>(95%</w:t>
            </w:r>
            <w:r>
              <w:rPr>
                <w:rFonts w:ascii="Times New Roman"/>
                <w:spacing w:val="-7"/>
                <w:sz w:val="20"/>
              </w:rPr>
              <w:t xml:space="preserve"> </w:t>
            </w:r>
            <w:r>
              <w:rPr>
                <w:rFonts w:ascii="Times New Roman"/>
                <w:spacing w:val="-1"/>
                <w:sz w:val="20"/>
              </w:rPr>
              <w:t>CI)b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80.2</w:t>
            </w:r>
            <w:r>
              <w:rPr>
                <w:rFonts w:ascii="Times New Roman"/>
                <w:b/>
                <w:spacing w:val="-8"/>
                <w:sz w:val="20"/>
              </w:rPr>
              <w:t xml:space="preserve"> </w:t>
            </w:r>
            <w:r>
              <w:rPr>
                <w:rFonts w:ascii="Times New Roman"/>
                <w:sz w:val="20"/>
              </w:rPr>
              <w:t>(63.3,</w:t>
            </w:r>
            <w:r>
              <w:rPr>
                <w:rFonts w:ascii="Times New Roman"/>
                <w:spacing w:val="-6"/>
                <w:sz w:val="20"/>
              </w:rPr>
              <w:t xml:space="preserve"> </w:t>
            </w:r>
            <w:r>
              <w:rPr>
                <w:rFonts w:ascii="Times New Roman"/>
                <w:spacing w:val="-1"/>
                <w:sz w:val="20"/>
              </w:rPr>
              <w:t>101.8)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52.8</w:t>
            </w:r>
            <w:r>
              <w:rPr>
                <w:rFonts w:ascii="Times New Roman"/>
                <w:b/>
                <w:spacing w:val="-8"/>
                <w:sz w:val="20"/>
              </w:rPr>
              <w:t xml:space="preserve"> </w:t>
            </w:r>
            <w:r>
              <w:rPr>
                <w:rFonts w:ascii="Times New Roman"/>
                <w:sz w:val="20"/>
              </w:rPr>
              <w:t>(41.3,</w:t>
            </w:r>
            <w:r>
              <w:rPr>
                <w:rFonts w:ascii="Times New Roman"/>
                <w:spacing w:val="-5"/>
                <w:sz w:val="20"/>
              </w:rPr>
              <w:t xml:space="preserve"> </w:t>
            </w:r>
            <w:r>
              <w:rPr>
                <w:rFonts w:ascii="Times New Roman"/>
                <w:sz w:val="20"/>
              </w:rPr>
              <w:t>64.0)</w:t>
            </w: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6"/>
              <w:rPr>
                <w:rFonts w:ascii="Times New Roman" w:eastAsia="Times New Roman" w:hAnsi="Times New Roman" w:cs="Times New Roman"/>
                <w:sz w:val="20"/>
                <w:szCs w:val="20"/>
              </w:rPr>
            </w:pPr>
            <w:r>
              <w:rPr>
                <w:rFonts w:ascii="Times New Roman"/>
                <w:sz w:val="20"/>
              </w:rPr>
              <w:t>HR</w:t>
            </w:r>
            <w:r>
              <w:rPr>
                <w:rFonts w:ascii="Times New Roman"/>
                <w:spacing w:val="-6"/>
                <w:sz w:val="20"/>
              </w:rPr>
              <w:t xml:space="preserve"> </w:t>
            </w:r>
            <w:r>
              <w:rPr>
                <w:rFonts w:ascii="Times New Roman"/>
                <w:sz w:val="20"/>
              </w:rPr>
              <w:t>[95%</w:t>
            </w:r>
            <w:r>
              <w:rPr>
                <w:rFonts w:ascii="Times New Roman"/>
                <w:spacing w:val="-5"/>
                <w:sz w:val="20"/>
              </w:rPr>
              <w:t xml:space="preserve"> </w:t>
            </w:r>
            <w:r>
              <w:rPr>
                <w:rFonts w:ascii="Times New Roman"/>
                <w:spacing w:val="-1"/>
                <w:sz w:val="20"/>
              </w:rPr>
              <w:t>CI]c</w:t>
            </w:r>
            <w:r>
              <w:rPr>
                <w:rFonts w:ascii="Times New Roman"/>
                <w:spacing w:val="-4"/>
                <w:sz w:val="20"/>
              </w:rPr>
              <w:t xml:space="preserve"> </w:t>
            </w:r>
            <w:r>
              <w:rPr>
                <w:rFonts w:ascii="Times New Roman"/>
                <w:sz w:val="20"/>
              </w:rPr>
              <w:t>;</w:t>
            </w:r>
            <w:r>
              <w:rPr>
                <w:rFonts w:ascii="Times New Roman"/>
                <w:spacing w:val="-5"/>
                <w:sz w:val="20"/>
              </w:rPr>
              <w:t xml:space="preserve"> </w:t>
            </w:r>
            <w:r>
              <w:rPr>
                <w:rFonts w:ascii="Times New Roman"/>
                <w:spacing w:val="-1"/>
                <w:sz w:val="20"/>
              </w:rPr>
              <w:t>p-valued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6"/>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(0.48,</w:t>
            </w:r>
            <w:r>
              <w:rPr>
                <w:rFonts w:ascii="Times New Roman"/>
                <w:spacing w:val="-5"/>
                <w:sz w:val="20"/>
              </w:rPr>
              <w:t xml:space="preserve"> </w:t>
            </w:r>
            <w:r>
              <w:rPr>
                <w:rFonts w:ascii="Times New Roman"/>
                <w:sz w:val="20"/>
              </w:rPr>
              <w:t>0.78);</w:t>
            </w:r>
            <w:r>
              <w:rPr>
                <w:rFonts w:ascii="Times New Roman"/>
                <w:spacing w:val="-6"/>
                <w:sz w:val="20"/>
              </w:rPr>
              <w:t xml:space="preserve"> </w:t>
            </w:r>
            <w:r>
              <w:rPr>
                <w:rFonts w:ascii="Times New Roman"/>
                <w:spacing w:val="-1"/>
                <w:sz w:val="20"/>
              </w:rPr>
              <w:t>&lt;0.001</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z w:val="20"/>
              </w:rPr>
              <w:t>Overall</w:t>
            </w:r>
            <w:r>
              <w:rPr>
                <w:rFonts w:ascii="Times New Roman"/>
                <w:b/>
                <w:spacing w:val="-14"/>
                <w:sz w:val="20"/>
              </w:rPr>
              <w:t xml:space="preserve"> </w:t>
            </w:r>
            <w:r>
              <w:rPr>
                <w:rFonts w:ascii="Times New Roman"/>
                <w:b/>
                <w:sz w:val="20"/>
              </w:rPr>
              <w:t>survival</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pacing w:val="-1"/>
                <w:sz w:val="20"/>
              </w:rPr>
              <w:t>Median</w:t>
            </w:r>
            <w:r>
              <w:rPr>
                <w:rFonts w:ascii="Times New Roman"/>
                <w:spacing w:val="-1"/>
                <w:position w:val="7"/>
                <w:sz w:val="13"/>
              </w:rPr>
              <w:t>a</w:t>
            </w:r>
            <w:r>
              <w:rPr>
                <w:rFonts w:ascii="Times New Roman"/>
                <w:spacing w:val="12"/>
                <w:position w:val="7"/>
                <w:sz w:val="13"/>
              </w:rPr>
              <w:t xml:space="preserve"> </w:t>
            </w:r>
            <w:r>
              <w:rPr>
                <w:rFonts w:ascii="Times New Roman"/>
                <w:sz w:val="20"/>
              </w:rPr>
              <w:t>OS</w:t>
            </w:r>
            <w:r>
              <w:rPr>
                <w:rFonts w:ascii="Times New Roman"/>
                <w:spacing w:val="-6"/>
                <w:sz w:val="20"/>
              </w:rPr>
              <w:t xml:space="preserve"> </w:t>
            </w:r>
            <w:r>
              <w:rPr>
                <w:rFonts w:ascii="Times New Roman"/>
                <w:sz w:val="20"/>
              </w:rPr>
              <w:t>time,</w:t>
            </w:r>
            <w:r>
              <w:rPr>
                <w:rFonts w:ascii="Times New Roman"/>
                <w:spacing w:val="-2"/>
                <w:sz w:val="20"/>
              </w:rPr>
              <w:t xml:space="preserve"> </w:t>
            </w:r>
            <w:r>
              <w:rPr>
                <w:rFonts w:ascii="Times New Roman"/>
                <w:spacing w:val="-1"/>
                <w:sz w:val="20"/>
              </w:rPr>
              <w:t>months</w:t>
            </w:r>
            <w:r>
              <w:rPr>
                <w:rFonts w:ascii="Times New Roman"/>
                <w:spacing w:val="-7"/>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111.0</w:t>
            </w:r>
            <w:r>
              <w:rPr>
                <w:rFonts w:ascii="Times New Roman"/>
                <w:b/>
                <w:spacing w:val="-8"/>
                <w:sz w:val="20"/>
              </w:rPr>
              <w:t xml:space="preserve"> </w:t>
            </w:r>
            <w:r>
              <w:rPr>
                <w:rFonts w:ascii="Times New Roman"/>
                <w:spacing w:val="-1"/>
                <w:sz w:val="20"/>
              </w:rPr>
              <w:t>(101.8,</w:t>
            </w:r>
            <w:r>
              <w:rPr>
                <w:rFonts w:ascii="Times New Roman"/>
                <w:spacing w:val="-7"/>
                <w:sz w:val="20"/>
              </w:rPr>
              <w:t xml:space="preserve"> </w:t>
            </w:r>
            <w:r>
              <w:rPr>
                <w:rFonts w:ascii="Times New Roman"/>
                <w:sz w:val="20"/>
              </w:rPr>
              <w:t>NE)</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84.2</w:t>
            </w:r>
            <w:r>
              <w:rPr>
                <w:rFonts w:ascii="Times New Roman"/>
                <w:b/>
                <w:spacing w:val="-8"/>
                <w:sz w:val="20"/>
              </w:rPr>
              <w:t xml:space="preserve"> </w:t>
            </w:r>
            <w:r>
              <w:rPr>
                <w:rFonts w:ascii="Times New Roman"/>
                <w:sz w:val="20"/>
              </w:rPr>
              <w:t>(71.0,</w:t>
            </w:r>
            <w:r>
              <w:rPr>
                <w:rFonts w:ascii="Times New Roman"/>
                <w:spacing w:val="-6"/>
                <w:sz w:val="20"/>
              </w:rPr>
              <w:t xml:space="preserve"> </w:t>
            </w:r>
            <w:r>
              <w:rPr>
                <w:rFonts w:ascii="Times New Roman"/>
                <w:spacing w:val="-1"/>
                <w:sz w:val="20"/>
              </w:rPr>
              <w:t>102.7)</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rPr>
                <w:rFonts w:ascii="Times New Roman" w:eastAsia="Times New Roman" w:hAnsi="Times New Roman" w:cs="Times New Roman"/>
                <w:sz w:val="20"/>
                <w:szCs w:val="20"/>
              </w:rPr>
            </w:pPr>
            <w:r>
              <w:rPr>
                <w:rFonts w:ascii="Times New Roman"/>
                <w:spacing w:val="-1"/>
                <w:sz w:val="20"/>
              </w:rPr>
              <w:t>8-year</w:t>
            </w:r>
            <w:r>
              <w:rPr>
                <w:rFonts w:ascii="Times New Roman"/>
                <w:spacing w:val="-5"/>
                <w:sz w:val="20"/>
              </w:rPr>
              <w:t xml:space="preserve"> </w:t>
            </w:r>
            <w:r>
              <w:rPr>
                <w:rFonts w:ascii="Times New Roman"/>
                <w:spacing w:val="-1"/>
                <w:sz w:val="20"/>
              </w:rPr>
              <w:t>survival</w:t>
            </w:r>
            <w:r>
              <w:rPr>
                <w:rFonts w:ascii="Times New Roman"/>
                <w:spacing w:val="-5"/>
                <w:sz w:val="20"/>
              </w:rPr>
              <w:t xml:space="preserve"> </w:t>
            </w:r>
            <w:r>
              <w:rPr>
                <w:rFonts w:ascii="Times New Roman"/>
                <w:sz w:val="20"/>
              </w:rPr>
              <w:t>rate,</w:t>
            </w:r>
            <w:r>
              <w:rPr>
                <w:rFonts w:ascii="Times New Roman"/>
                <w:spacing w:val="-4"/>
                <w:sz w:val="20"/>
              </w:rPr>
              <w:t xml:space="preserve"> </w:t>
            </w:r>
            <w:r>
              <w:rPr>
                <w:rFonts w:ascii="Times New Roman"/>
                <w:sz w:val="20"/>
              </w:rPr>
              <w:t>%</w:t>
            </w:r>
            <w:r>
              <w:rPr>
                <w:rFonts w:ascii="Times New Roman"/>
                <w:spacing w:val="-5"/>
                <w:sz w:val="20"/>
              </w:rPr>
              <w:t xml:space="preserve"> </w:t>
            </w:r>
            <w:r>
              <w:rPr>
                <w:rFonts w:ascii="Times New Roman"/>
                <w:spacing w:val="-1"/>
                <w:sz w:val="20"/>
              </w:rPr>
              <w:t>(SE)</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sz w:val="20"/>
              </w:rPr>
              <w:t>60.9</w:t>
            </w:r>
            <w:r>
              <w:rPr>
                <w:rFonts w:ascii="Times New Roman"/>
                <w:spacing w:val="-10"/>
                <w:sz w:val="20"/>
              </w:rPr>
              <w:t xml:space="preserve"> </w:t>
            </w:r>
            <w:r>
              <w:rPr>
                <w:rFonts w:ascii="Times New Roman"/>
                <w:sz w:val="20"/>
              </w:rPr>
              <w:t>(3.78)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sz w:val="20"/>
              </w:rPr>
              <w:t>44.6</w:t>
            </w:r>
            <w:r>
              <w:rPr>
                <w:rFonts w:ascii="Times New Roman"/>
                <w:spacing w:val="-10"/>
                <w:sz w:val="20"/>
              </w:rPr>
              <w:t xml:space="preserve"> </w:t>
            </w:r>
            <w:r>
              <w:rPr>
                <w:rFonts w:ascii="Times New Roman"/>
                <w:sz w:val="20"/>
              </w:rPr>
              <w:t>(3.98)</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z w:val="20"/>
              </w:rPr>
              <w:t>HR</w:t>
            </w:r>
            <w:r>
              <w:rPr>
                <w:rFonts w:ascii="Times New Roman"/>
                <w:spacing w:val="-6"/>
                <w:sz w:val="20"/>
              </w:rPr>
              <w:t xml:space="preserve"> </w:t>
            </w:r>
            <w:r>
              <w:rPr>
                <w:rFonts w:ascii="Times New Roman"/>
                <w:sz w:val="20"/>
              </w:rPr>
              <w:t>[95%</w:t>
            </w:r>
            <w:r>
              <w:rPr>
                <w:rFonts w:ascii="Times New Roman"/>
                <w:spacing w:val="-5"/>
                <w:sz w:val="20"/>
              </w:rPr>
              <w:t xml:space="preserve"> </w:t>
            </w:r>
            <w:r>
              <w:rPr>
                <w:rFonts w:ascii="Times New Roman"/>
                <w:spacing w:val="-1"/>
                <w:sz w:val="20"/>
              </w:rPr>
              <w:t>CI]</w:t>
            </w:r>
            <w:r>
              <w:rPr>
                <w:rFonts w:ascii="Times New Roman"/>
                <w:spacing w:val="-1"/>
                <w:position w:val="7"/>
                <w:sz w:val="13"/>
              </w:rPr>
              <w:t>c</w:t>
            </w:r>
            <w:r>
              <w:rPr>
                <w:rFonts w:ascii="Times New Roman"/>
                <w:spacing w:val="-3"/>
                <w:position w:val="7"/>
                <w:sz w:val="13"/>
              </w:rPr>
              <w:t xml:space="preserve"> </w:t>
            </w:r>
            <w:r>
              <w:rPr>
                <w:rFonts w:ascii="Times New Roman"/>
                <w:sz w:val="20"/>
              </w:rPr>
              <w:t>;</w:t>
            </w:r>
            <w:r>
              <w:rPr>
                <w:rFonts w:ascii="Times New Roman"/>
                <w:spacing w:val="-5"/>
                <w:sz w:val="20"/>
              </w:rPr>
              <w:t xml:space="preserve"> </w:t>
            </w:r>
            <w:r>
              <w:rPr>
                <w:rFonts w:ascii="Times New Roman"/>
                <w:spacing w:val="-1"/>
                <w:sz w:val="20"/>
              </w:rPr>
              <w:t>p-value</w:t>
            </w:r>
            <w:r>
              <w:rPr>
                <w:rFonts w:ascii="Times New Roman"/>
                <w:spacing w:val="-1"/>
                <w:position w:val="7"/>
                <w:sz w:val="13"/>
              </w:rPr>
              <w:t>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(0.46,</w:t>
            </w:r>
            <w:r>
              <w:rPr>
                <w:rFonts w:ascii="Times New Roman"/>
                <w:spacing w:val="-5"/>
                <w:sz w:val="20"/>
              </w:rPr>
              <w:t xml:space="preserve"> </w:t>
            </w:r>
            <w:r>
              <w:rPr>
                <w:rFonts w:ascii="Times New Roman"/>
                <w:sz w:val="20"/>
              </w:rPr>
              <w:t>0.81);</w:t>
            </w:r>
            <w:r>
              <w:rPr>
                <w:rFonts w:ascii="Times New Roman"/>
                <w:spacing w:val="-6"/>
                <w:sz w:val="20"/>
              </w:rPr>
              <w:t xml:space="preserve"> </w:t>
            </w:r>
            <w:r>
              <w:rPr>
                <w:rFonts w:ascii="Times New Roman"/>
                <w:spacing w:val="-1"/>
                <w:sz w:val="20"/>
              </w:rPr>
              <w:t>&lt;0.001</w:t>
            </w: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z w:val="20"/>
              </w:rPr>
              <w:t>Follow-up</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pacing w:val="-1"/>
                <w:sz w:val="20"/>
              </w:rPr>
              <w:t>Median</w:t>
            </w:r>
            <w:r>
              <w:rPr>
                <w:rFonts w:ascii="Times New Roman"/>
                <w:spacing w:val="-1"/>
                <w:position w:val="7"/>
                <w:sz w:val="13"/>
              </w:rPr>
              <w:t>f</w:t>
            </w:r>
            <w:r>
              <w:rPr>
                <w:rFonts w:ascii="Times New Roman"/>
                <w:spacing w:val="11"/>
                <w:position w:val="7"/>
                <w:sz w:val="13"/>
              </w:rPr>
              <w:t xml:space="preserve"> </w:t>
            </w:r>
            <w:r>
              <w:rPr>
                <w:rFonts w:ascii="Times New Roman"/>
                <w:sz w:val="20"/>
              </w:rPr>
              <w:t>(min,</w:t>
            </w:r>
            <w:r>
              <w:rPr>
                <w:rFonts w:ascii="Times New Roman"/>
                <w:spacing w:val="-4"/>
                <w:sz w:val="20"/>
              </w:rPr>
              <w:t xml:space="preserve"> </w:t>
            </w:r>
            <w:r>
              <w:rPr>
                <w:rFonts w:ascii="Times New Roman"/>
                <w:spacing w:val="-1"/>
                <w:sz w:val="20"/>
              </w:rPr>
              <w:t>max),</w:t>
            </w:r>
            <w:r>
              <w:rPr>
                <w:rFonts w:ascii="Times New Roman"/>
                <w:spacing w:val="-3"/>
                <w:sz w:val="20"/>
              </w:rPr>
              <w:t xml:space="preserve"> </w:t>
            </w:r>
            <w:r>
              <w:rPr>
                <w:rFonts w:ascii="Times New Roman"/>
                <w:spacing w:val="-1"/>
                <w:sz w:val="20"/>
              </w:rPr>
              <w:t>months:</w:t>
            </w:r>
            <w:r>
              <w:rPr>
                <w:rFonts w:ascii="Times New Roman"/>
                <w:spacing w:val="-4"/>
                <w:sz w:val="20"/>
              </w:rPr>
              <w:t xml:space="preserve"> </w:t>
            </w:r>
            <w:r>
              <w:rPr>
                <w:rFonts w:ascii="Times New Roman"/>
                <w:spacing w:val="-1"/>
                <w:sz w:val="20"/>
              </w:rPr>
              <w:t>all</w:t>
            </w:r>
            <w:r>
              <w:rPr>
                <w:rFonts w:ascii="Times New Roman"/>
                <w:spacing w:val="-7"/>
                <w:sz w:val="20"/>
              </w:rPr>
              <w:t xml:space="preserve"> </w:t>
            </w:r>
            <w:r>
              <w:rPr>
                <w:rFonts w:ascii="Times New Roman"/>
                <w:spacing w:val="-1"/>
                <w:sz w:val="20"/>
              </w:rPr>
              <w:t>surviving</w:t>
            </w:r>
            <w:r>
              <w:rPr>
                <w:rFonts w:ascii="Times New Roman"/>
                <w:spacing w:val="-7"/>
                <w:sz w:val="20"/>
              </w:rPr>
              <w:t xml:space="preserve"> </w:t>
            </w:r>
            <w:r>
              <w:rPr>
                <w:rFonts w:ascii="Times New Roman"/>
                <w:sz w:val="20"/>
              </w:rPr>
              <w:t>patients</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81.9</w:t>
            </w:r>
            <w:r>
              <w:rPr>
                <w:rFonts w:ascii="Times New Roman"/>
                <w:b/>
                <w:spacing w:val="-8"/>
                <w:sz w:val="20"/>
              </w:rPr>
              <w:t xml:space="preserve"> </w:t>
            </w:r>
            <w:r>
              <w:rPr>
                <w:rFonts w:ascii="Times New Roman"/>
                <w:spacing w:val="-1"/>
                <w:sz w:val="20"/>
              </w:rPr>
              <w:t>(0.0,</w:t>
            </w:r>
            <w:r>
              <w:rPr>
                <w:rFonts w:ascii="Times New Roman"/>
                <w:spacing w:val="-6"/>
                <w:sz w:val="20"/>
              </w:rPr>
              <w:t xml:space="preserve"> </w:t>
            </w:r>
            <w:r>
              <w:rPr>
                <w:rFonts w:ascii="Times New Roman"/>
                <w:sz w:val="20"/>
              </w:rPr>
              <w:t>119.8)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81.0</w:t>
            </w:r>
            <w:r>
              <w:rPr>
                <w:rFonts w:ascii="Times New Roman"/>
                <w:b/>
                <w:spacing w:val="-8"/>
                <w:sz w:val="20"/>
              </w:rPr>
              <w:t xml:space="preserve"> </w:t>
            </w:r>
            <w:r>
              <w:rPr>
                <w:rFonts w:ascii="Times New Roman"/>
                <w:spacing w:val="-1"/>
                <w:sz w:val="20"/>
              </w:rPr>
              <w:t>(4.1,</w:t>
            </w:r>
            <w:r>
              <w:rPr>
                <w:rFonts w:ascii="Times New Roman"/>
                <w:spacing w:val="-5"/>
                <w:sz w:val="20"/>
              </w:rPr>
              <w:t xml:space="preserve"> </w:t>
            </w:r>
            <w:r>
              <w:rPr>
                <w:rFonts w:ascii="Times New Roman"/>
                <w:sz w:val="20"/>
              </w:rPr>
              <w:t>119.5)</w:t>
            </w:r>
          </w:p>
        </w:tc>
      </w:tr>
    </w:tbl>
    <w:p w:rsidR="00506994" w:rsidRDefault="00506994" w:rsidP="00AB7A9E">
      <w:pPr>
        <w:spacing w:before="3"/>
        <w:rPr>
          <w:rFonts w:eastAsia="Times New Roman"/>
          <w:b/>
          <w:bCs/>
          <w:sz w:val="6"/>
          <w:szCs w:val="6"/>
        </w:rPr>
      </w:pPr>
    </w:p>
    <w:p w:rsidR="00506994" w:rsidRDefault="00506994" w:rsidP="00AB7A9E">
      <w:pPr>
        <w:ind w:right="303"/>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HR </w:t>
      </w:r>
      <w:r>
        <w:rPr>
          <w:sz w:val="16"/>
        </w:rPr>
        <w:t>=</w:t>
      </w:r>
      <w:r>
        <w:rPr>
          <w:spacing w:val="-1"/>
          <w:sz w:val="16"/>
        </w:rPr>
        <w:t xml:space="preserve"> hazard</w:t>
      </w:r>
      <w:r>
        <w:rPr>
          <w:spacing w:val="2"/>
          <w:sz w:val="16"/>
        </w:rPr>
        <w:t xml:space="preserve"> </w:t>
      </w:r>
      <w:r>
        <w:rPr>
          <w:spacing w:val="-1"/>
          <w:sz w:val="16"/>
        </w:rPr>
        <w:t xml:space="preserve">ratio; </w:t>
      </w:r>
      <w:r>
        <w:rPr>
          <w:sz w:val="16"/>
        </w:rPr>
        <w:t>max</w:t>
      </w:r>
      <w:r>
        <w:rPr>
          <w:spacing w:val="-3"/>
          <w:sz w:val="16"/>
        </w:rPr>
        <w:t xml:space="preserve"> </w:t>
      </w:r>
      <w:r>
        <w:rPr>
          <w:sz w:val="16"/>
        </w:rPr>
        <w:t>=</w:t>
      </w:r>
      <w:r>
        <w:rPr>
          <w:spacing w:val="1"/>
          <w:sz w:val="16"/>
        </w:rPr>
        <w:t xml:space="preserve"> </w:t>
      </w:r>
      <w:r>
        <w:rPr>
          <w:spacing w:val="-1"/>
          <w:sz w:val="16"/>
        </w:rPr>
        <w:t>maximum;</w:t>
      </w:r>
      <w:r>
        <w:rPr>
          <w:spacing w:val="1"/>
          <w:sz w:val="16"/>
        </w:rPr>
        <w:t xml:space="preserve"> </w:t>
      </w:r>
      <w:r>
        <w:rPr>
          <w:spacing w:val="-2"/>
          <w:sz w:val="16"/>
        </w:rPr>
        <w:t>min</w:t>
      </w:r>
      <w:r>
        <w:rPr>
          <w:spacing w:val="2"/>
          <w:sz w:val="16"/>
        </w:rPr>
        <w:t xml:space="preserve"> </w:t>
      </w:r>
      <w:r>
        <w:rPr>
          <w:sz w:val="16"/>
        </w:rPr>
        <w:t>=</w:t>
      </w:r>
      <w:r>
        <w:rPr>
          <w:spacing w:val="-1"/>
          <w:sz w:val="16"/>
        </w:rPr>
        <w:t xml:space="preserve"> minimum;</w:t>
      </w:r>
      <w:r>
        <w:rPr>
          <w:spacing w:val="-2"/>
          <w:sz w:val="16"/>
        </w:rPr>
        <w:t xml:space="preserve"> </w:t>
      </w:r>
      <w:r>
        <w:rPr>
          <w:spacing w:val="-1"/>
          <w:sz w:val="16"/>
        </w:rPr>
        <w:t>NE</w:t>
      </w:r>
      <w:r>
        <w:rPr>
          <w:spacing w:val="-2"/>
          <w:sz w:val="16"/>
        </w:rPr>
        <w:t xml:space="preserve"> </w:t>
      </w:r>
      <w:r>
        <w:rPr>
          <w:sz w:val="16"/>
        </w:rPr>
        <w:t>=</w:t>
      </w:r>
      <w:r>
        <w:rPr>
          <w:spacing w:val="-1"/>
          <w:sz w:val="16"/>
        </w:rPr>
        <w:t xml:space="preserve"> </w:t>
      </w:r>
      <w:r>
        <w:rPr>
          <w:sz w:val="16"/>
        </w:rPr>
        <w:t>not</w:t>
      </w:r>
      <w:r>
        <w:rPr>
          <w:spacing w:val="1"/>
          <w:sz w:val="16"/>
        </w:rPr>
        <w:t xml:space="preserve"> </w:t>
      </w:r>
      <w:r>
        <w:rPr>
          <w:spacing w:val="-1"/>
          <w:sz w:val="16"/>
        </w:rPr>
        <w:t>estimable;</w:t>
      </w:r>
      <w:r>
        <w:rPr>
          <w:spacing w:val="1"/>
          <w:sz w:val="16"/>
        </w:rPr>
        <w:t xml:space="preserve"> </w:t>
      </w:r>
      <w:r>
        <w:rPr>
          <w:spacing w:val="-1"/>
          <w:sz w:val="16"/>
        </w:rPr>
        <w:t>OS</w:t>
      </w:r>
      <w:r>
        <w:rPr>
          <w:sz w:val="16"/>
        </w:rPr>
        <w:t xml:space="preserve"> =</w:t>
      </w:r>
      <w:r>
        <w:rPr>
          <w:spacing w:val="1"/>
          <w:sz w:val="16"/>
        </w:rPr>
        <w:t xml:space="preserve"> </w:t>
      </w:r>
      <w:r>
        <w:rPr>
          <w:spacing w:val="-2"/>
          <w:sz w:val="16"/>
        </w:rPr>
        <w:t>overall</w:t>
      </w:r>
      <w:r>
        <w:rPr>
          <w:spacing w:val="-1"/>
          <w:sz w:val="16"/>
        </w:rPr>
        <w:t xml:space="preserve"> survival;</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63"/>
          <w:sz w:val="16"/>
        </w:rPr>
        <w:t xml:space="preserve"> </w:t>
      </w:r>
      <w:r>
        <w:rPr>
          <w:spacing w:val="-1"/>
          <w:sz w:val="16"/>
        </w:rPr>
        <w:t>survival;</w:t>
      </w:r>
    </w:p>
    <w:p w:rsidR="00506994" w:rsidRDefault="00506994" w:rsidP="00AB7A9E">
      <w:pPr>
        <w:rPr>
          <w:rFonts w:eastAsia="Times New Roman"/>
          <w:sz w:val="16"/>
          <w:szCs w:val="16"/>
        </w:rPr>
      </w:pPr>
      <w:r>
        <w:rPr>
          <w:position w:val="6"/>
          <w:sz w:val="10"/>
        </w:rPr>
        <w:t>a</w:t>
      </w:r>
      <w:r>
        <w:rPr>
          <w:spacing w:val="2"/>
          <w:position w:val="6"/>
          <w:sz w:val="10"/>
        </w:rPr>
        <w:t xml:space="preserve"> </w:t>
      </w:r>
      <w:r>
        <w:rPr>
          <w:spacing w:val="-1"/>
          <w:sz w:val="16"/>
        </w:rPr>
        <w:t>The median</w:t>
      </w:r>
      <w:r>
        <w:rPr>
          <w:spacing w:val="2"/>
          <w:sz w:val="16"/>
        </w:rPr>
        <w:t xml:space="preserve"> </w:t>
      </w:r>
      <w:r>
        <w:rPr>
          <w:sz w:val="16"/>
        </w:rPr>
        <w:t>is</w:t>
      </w:r>
      <w:r>
        <w:rPr>
          <w:spacing w:val="-2"/>
          <w:sz w:val="16"/>
        </w:rPr>
        <w:t xml:space="preserve"> </w:t>
      </w:r>
      <w:r>
        <w:rPr>
          <w:spacing w:val="-1"/>
          <w:sz w:val="16"/>
        </w:rPr>
        <w:t>based</w:t>
      </w:r>
      <w:r>
        <w:rPr>
          <w:spacing w:val="1"/>
          <w:sz w:val="16"/>
        </w:rPr>
        <w:t xml:space="preserve"> </w:t>
      </w:r>
      <w:r>
        <w:rPr>
          <w:spacing w:val="-2"/>
          <w:sz w:val="16"/>
        </w:rPr>
        <w:t>on</w:t>
      </w:r>
      <w:r>
        <w:rPr>
          <w:spacing w:val="1"/>
          <w:sz w:val="16"/>
        </w:rPr>
        <w:t xml:space="preserve"> </w:t>
      </w:r>
      <w:r>
        <w:rPr>
          <w:spacing w:val="-1"/>
          <w:sz w:val="16"/>
        </w:rPr>
        <w:t>the Kaplan-Meier</w:t>
      </w:r>
      <w:r>
        <w:rPr>
          <w:sz w:val="16"/>
        </w:rPr>
        <w:t xml:space="preserve"> </w:t>
      </w:r>
      <w:r>
        <w:rPr>
          <w:spacing w:val="-1"/>
          <w:sz w:val="16"/>
        </w:rPr>
        <w:t>estimate.</w:t>
      </w:r>
    </w:p>
    <w:p w:rsidR="00506994" w:rsidRDefault="00506994" w:rsidP="00AB7A9E">
      <w:pPr>
        <w:rPr>
          <w:rFonts w:eastAsia="Times New Roman"/>
          <w:sz w:val="16"/>
          <w:szCs w:val="16"/>
        </w:rPr>
      </w:pPr>
      <w:r>
        <w:rPr>
          <w:position w:val="6"/>
          <w:sz w:val="10"/>
        </w:rPr>
        <w:t>b</w:t>
      </w:r>
      <w:r>
        <w:rPr>
          <w:spacing w:val="-1"/>
          <w:position w:val="6"/>
          <w:sz w:val="10"/>
        </w:rPr>
        <w:t xml:space="preserve"> </w:t>
      </w:r>
      <w:r>
        <w:rPr>
          <w:spacing w:val="-1"/>
          <w:sz w:val="16"/>
        </w:rPr>
        <w:t xml:space="preserve">The </w:t>
      </w:r>
      <w:r>
        <w:rPr>
          <w:sz w:val="16"/>
        </w:rPr>
        <w:t>95%</w:t>
      </w:r>
      <w:r>
        <w:rPr>
          <w:spacing w:val="-1"/>
          <w:sz w:val="16"/>
        </w:rPr>
        <w:t xml:space="preserve"> </w:t>
      </w:r>
      <w:r>
        <w:rPr>
          <w:sz w:val="16"/>
        </w:rPr>
        <w:t>CI</w:t>
      </w:r>
      <w:r>
        <w:rPr>
          <w:spacing w:val="-5"/>
          <w:sz w:val="16"/>
        </w:rPr>
        <w:t xml:space="preserve"> </w:t>
      </w:r>
      <w:r>
        <w:rPr>
          <w:sz w:val="16"/>
        </w:rPr>
        <w:t>about</w:t>
      </w:r>
      <w:r>
        <w:rPr>
          <w:spacing w:val="-1"/>
          <w:sz w:val="16"/>
        </w:rPr>
        <w:t xml:space="preserve"> the median.</w:t>
      </w:r>
    </w:p>
    <w:p w:rsidR="00506994" w:rsidRDefault="00506994" w:rsidP="00AB7A9E">
      <w:pPr>
        <w:rPr>
          <w:rFonts w:eastAsia="Times New Roman"/>
          <w:sz w:val="16"/>
          <w:szCs w:val="16"/>
        </w:rPr>
      </w:pPr>
      <w:r>
        <w:rPr>
          <w:position w:val="6"/>
          <w:sz w:val="10"/>
        </w:rPr>
        <w:t>c</w:t>
      </w:r>
      <w:r>
        <w:rPr>
          <w:spacing w:val="-1"/>
          <w:position w:val="6"/>
          <w:sz w:val="10"/>
        </w:rPr>
        <w:t xml:space="preserve"> </w:t>
      </w:r>
      <w:r>
        <w:rPr>
          <w:spacing w:val="-1"/>
          <w:sz w:val="16"/>
        </w:rPr>
        <w:t>Based</w:t>
      </w:r>
      <w:r>
        <w:rPr>
          <w:spacing w:val="2"/>
          <w:sz w:val="16"/>
        </w:rPr>
        <w:t xml:space="preserve"> </w:t>
      </w:r>
      <w:r>
        <w:rPr>
          <w:spacing w:val="-2"/>
          <w:sz w:val="16"/>
        </w:rPr>
        <w:t>on</w:t>
      </w:r>
      <w:r>
        <w:rPr>
          <w:spacing w:val="-1"/>
          <w:sz w:val="16"/>
        </w:rPr>
        <w:t xml:space="preserve"> Cox proportional</w:t>
      </w:r>
      <w:r>
        <w:rPr>
          <w:spacing w:val="-4"/>
          <w:sz w:val="16"/>
        </w:rPr>
        <w:t xml:space="preserve"> </w:t>
      </w:r>
      <w:r>
        <w:rPr>
          <w:spacing w:val="-1"/>
          <w:sz w:val="16"/>
        </w:rPr>
        <w:t>hazards</w:t>
      </w:r>
      <w:r>
        <w:rPr>
          <w:spacing w:val="-5"/>
          <w:sz w:val="16"/>
        </w:rPr>
        <w:t xml:space="preserve"> </w:t>
      </w:r>
      <w:r>
        <w:rPr>
          <w:spacing w:val="-1"/>
          <w:sz w:val="16"/>
        </w:rPr>
        <w:t>model comparing the hazard</w:t>
      </w:r>
      <w:r>
        <w:rPr>
          <w:spacing w:val="1"/>
          <w:sz w:val="16"/>
        </w:rPr>
        <w:t xml:space="preserve"> </w:t>
      </w:r>
      <w:r>
        <w:rPr>
          <w:spacing w:val="-2"/>
          <w:sz w:val="16"/>
        </w:rPr>
        <w:t>functions</w:t>
      </w:r>
      <w:r>
        <w:rPr>
          <w:sz w:val="16"/>
        </w:rPr>
        <w:t xml:space="preserve"> </w:t>
      </w:r>
      <w:r>
        <w:rPr>
          <w:spacing w:val="-1"/>
          <w:sz w:val="16"/>
        </w:rPr>
        <w:t>associated with the indicated treatment</w:t>
      </w:r>
      <w:r>
        <w:rPr>
          <w:spacing w:val="1"/>
          <w:sz w:val="16"/>
        </w:rPr>
        <w:t xml:space="preserve"> </w:t>
      </w:r>
      <w:r>
        <w:rPr>
          <w:spacing w:val="-1"/>
          <w:sz w:val="16"/>
        </w:rPr>
        <w:t>arms.</w:t>
      </w:r>
    </w:p>
    <w:p w:rsidR="00506994" w:rsidRDefault="00506994" w:rsidP="00AB7A9E">
      <w:pPr>
        <w:rPr>
          <w:rFonts w:eastAsia="Times New Roman"/>
          <w:sz w:val="16"/>
          <w:szCs w:val="16"/>
        </w:rPr>
      </w:pPr>
      <w:r>
        <w:rPr>
          <w:position w:val="6"/>
          <w:sz w:val="10"/>
        </w:rPr>
        <w:t>d</w:t>
      </w:r>
      <w:r>
        <w:rPr>
          <w:spacing w:val="15"/>
          <w:position w:val="6"/>
          <w:sz w:val="10"/>
        </w:rPr>
        <w:t xml:space="preserve"> </w:t>
      </w:r>
      <w:r>
        <w:rPr>
          <w:spacing w:val="-1"/>
          <w:sz w:val="16"/>
        </w:rPr>
        <w:t xml:space="preserve">The p-value </w:t>
      </w:r>
      <w:r>
        <w:rPr>
          <w:sz w:val="16"/>
        </w:rPr>
        <w:t>is</w:t>
      </w:r>
      <w:r>
        <w:rPr>
          <w:spacing w:val="-2"/>
          <w:sz w:val="16"/>
        </w:rPr>
        <w:t xml:space="preserve"> </w:t>
      </w:r>
      <w:r>
        <w:rPr>
          <w:spacing w:val="-1"/>
          <w:sz w:val="16"/>
        </w:rPr>
        <w:t>based</w:t>
      </w:r>
      <w:r>
        <w:rPr>
          <w:spacing w:val="2"/>
          <w:sz w:val="16"/>
        </w:rPr>
        <w:t xml:space="preserve"> </w:t>
      </w:r>
      <w:r>
        <w:rPr>
          <w:spacing w:val="-1"/>
          <w:sz w:val="16"/>
        </w:rPr>
        <w:t>on the unstratified</w:t>
      </w:r>
      <w:r>
        <w:rPr>
          <w:spacing w:val="2"/>
          <w:sz w:val="16"/>
        </w:rPr>
        <w:t xml:space="preserve"> </w:t>
      </w:r>
      <w:r>
        <w:rPr>
          <w:spacing w:val="-1"/>
          <w:sz w:val="16"/>
        </w:rPr>
        <w:t>log-rank test</w:t>
      </w:r>
      <w:r>
        <w:rPr>
          <w:spacing w:val="1"/>
          <w:sz w:val="16"/>
        </w:rPr>
        <w:t xml:space="preserve"> </w:t>
      </w:r>
      <w:r>
        <w:rPr>
          <w:spacing w:val="-1"/>
          <w:sz w:val="16"/>
        </w:rPr>
        <w:t>of</w:t>
      </w:r>
      <w:r>
        <w:rPr>
          <w:sz w:val="16"/>
        </w:rPr>
        <w:t xml:space="preserve"> </w:t>
      </w:r>
      <w:r>
        <w:rPr>
          <w:spacing w:val="-1"/>
          <w:sz w:val="16"/>
        </w:rPr>
        <w:t>Kaplan-Meier</w:t>
      </w:r>
      <w:r>
        <w:rPr>
          <w:sz w:val="16"/>
        </w:rPr>
        <w:t xml:space="preserve"> </w:t>
      </w:r>
      <w:r>
        <w:rPr>
          <w:spacing w:val="-1"/>
          <w:sz w:val="16"/>
        </w:rPr>
        <w:t>curve differences</w:t>
      </w:r>
      <w:r>
        <w:rPr>
          <w:sz w:val="16"/>
        </w:rPr>
        <w:t xml:space="preserve"> </w:t>
      </w:r>
      <w:r>
        <w:rPr>
          <w:spacing w:val="-1"/>
          <w:sz w:val="16"/>
        </w:rPr>
        <w:t>between</w:t>
      </w:r>
      <w:r>
        <w:rPr>
          <w:spacing w:val="2"/>
          <w:sz w:val="16"/>
        </w:rPr>
        <w:t xml:space="preserve"> </w:t>
      </w:r>
      <w:r>
        <w:rPr>
          <w:sz w:val="16"/>
        </w:rPr>
        <w:t>the</w:t>
      </w:r>
      <w:r>
        <w:rPr>
          <w:spacing w:val="-1"/>
          <w:sz w:val="16"/>
        </w:rPr>
        <w:t xml:space="preserve"> indicated treatment arms.</w:t>
      </w:r>
    </w:p>
    <w:p w:rsidR="00506994" w:rsidRDefault="00506994" w:rsidP="00AB7A9E">
      <w:pPr>
        <w:ind w:right="303"/>
        <w:rPr>
          <w:rFonts w:eastAsia="Times New Roman"/>
          <w:sz w:val="16"/>
          <w:szCs w:val="16"/>
        </w:rPr>
      </w:pPr>
      <w:r>
        <w:rPr>
          <w:position w:val="6"/>
          <w:sz w:val="10"/>
        </w:rPr>
        <w:t>e</w:t>
      </w:r>
      <w:r>
        <w:rPr>
          <w:spacing w:val="-1"/>
          <w:position w:val="6"/>
          <w:sz w:val="10"/>
        </w:rPr>
        <w:t xml:space="preserve"> </w:t>
      </w:r>
      <w:r>
        <w:rPr>
          <w:spacing w:val="-1"/>
          <w:sz w:val="16"/>
        </w:rPr>
        <w:t>Exploratory endpoint</w:t>
      </w:r>
      <w:r>
        <w:rPr>
          <w:spacing w:val="1"/>
          <w:sz w:val="16"/>
        </w:rPr>
        <w:t xml:space="preserve"> </w:t>
      </w:r>
      <w:r>
        <w:rPr>
          <w:spacing w:val="-1"/>
          <w:sz w:val="16"/>
        </w:rPr>
        <w:t>(PFS2).</w:t>
      </w:r>
      <w:r>
        <w:rPr>
          <w:spacing w:val="1"/>
          <w:sz w:val="16"/>
        </w:rPr>
        <w:t xml:space="preserve"> </w:t>
      </w:r>
      <w:r>
        <w:rPr>
          <w:spacing w:val="-1"/>
          <w:sz w:val="16"/>
        </w:rPr>
        <w:t xml:space="preserve">Lenalidomide </w:t>
      </w:r>
      <w:r>
        <w:rPr>
          <w:spacing w:val="-2"/>
          <w:sz w:val="16"/>
        </w:rPr>
        <w:t>received</w:t>
      </w:r>
      <w:r>
        <w:rPr>
          <w:spacing w:val="2"/>
          <w:sz w:val="16"/>
        </w:rPr>
        <w:t xml:space="preserve"> </w:t>
      </w:r>
      <w:r>
        <w:rPr>
          <w:sz w:val="16"/>
        </w:rPr>
        <w:t>by</w:t>
      </w:r>
      <w:r>
        <w:rPr>
          <w:spacing w:val="-3"/>
          <w:sz w:val="16"/>
        </w:rPr>
        <w:t xml:space="preserve"> </w:t>
      </w:r>
      <w:r>
        <w:rPr>
          <w:spacing w:val="-1"/>
          <w:sz w:val="16"/>
        </w:rPr>
        <w:t>subjects</w:t>
      </w:r>
      <w:r>
        <w:rPr>
          <w:spacing w:val="-2"/>
          <w:sz w:val="16"/>
        </w:rPr>
        <w:t xml:space="preserve"> </w:t>
      </w:r>
      <w:r>
        <w:rPr>
          <w:sz w:val="16"/>
        </w:rPr>
        <w:t>in</w:t>
      </w:r>
      <w:r>
        <w:rPr>
          <w:spacing w:val="-1"/>
          <w:sz w:val="16"/>
        </w:rPr>
        <w:t xml:space="preserve"> the</w:t>
      </w:r>
      <w:r>
        <w:rPr>
          <w:spacing w:val="-2"/>
          <w:sz w:val="16"/>
        </w:rPr>
        <w:t xml:space="preserve"> </w:t>
      </w:r>
      <w:r>
        <w:rPr>
          <w:spacing w:val="-1"/>
          <w:sz w:val="16"/>
        </w:rPr>
        <w:t>placebo arm</w:t>
      </w:r>
      <w:r>
        <w:rPr>
          <w:sz w:val="16"/>
        </w:rPr>
        <w:t xml:space="preserve"> </w:t>
      </w:r>
      <w:r>
        <w:rPr>
          <w:spacing w:val="-1"/>
          <w:sz w:val="16"/>
        </w:rPr>
        <w:t>who crossed</w:t>
      </w:r>
      <w:r>
        <w:rPr>
          <w:spacing w:val="2"/>
          <w:sz w:val="16"/>
        </w:rPr>
        <w:t xml:space="preserve"> </w:t>
      </w:r>
      <w:r>
        <w:rPr>
          <w:spacing w:val="-2"/>
          <w:sz w:val="16"/>
        </w:rPr>
        <w:t>over</w:t>
      </w:r>
      <w:r>
        <w:rPr>
          <w:sz w:val="16"/>
        </w:rPr>
        <w:t xml:space="preserve"> </w:t>
      </w:r>
      <w:r>
        <w:rPr>
          <w:spacing w:val="-1"/>
          <w:sz w:val="16"/>
        </w:rPr>
        <w:t>prior</w:t>
      </w:r>
      <w:r>
        <w:rPr>
          <w:sz w:val="16"/>
        </w:rPr>
        <w:t xml:space="preserve"> to</w:t>
      </w:r>
      <w:r>
        <w:rPr>
          <w:spacing w:val="-1"/>
          <w:sz w:val="16"/>
        </w:rPr>
        <w:t xml:space="preserve"> </w:t>
      </w:r>
      <w:r>
        <w:rPr>
          <w:spacing w:val="-2"/>
          <w:sz w:val="16"/>
        </w:rPr>
        <w:t>PD</w:t>
      </w:r>
      <w:r>
        <w:rPr>
          <w:sz w:val="16"/>
        </w:rPr>
        <w:t xml:space="preserve"> </w:t>
      </w:r>
      <w:r>
        <w:rPr>
          <w:spacing w:val="-1"/>
          <w:sz w:val="16"/>
        </w:rPr>
        <w:t>upon</w:t>
      </w:r>
      <w:r>
        <w:rPr>
          <w:spacing w:val="1"/>
          <w:sz w:val="16"/>
        </w:rPr>
        <w:t xml:space="preserve"> </w:t>
      </w:r>
      <w:r>
        <w:rPr>
          <w:spacing w:val="-1"/>
          <w:sz w:val="16"/>
        </w:rPr>
        <w:t>study</w:t>
      </w:r>
      <w:r>
        <w:rPr>
          <w:spacing w:val="-3"/>
          <w:sz w:val="16"/>
        </w:rPr>
        <w:t xml:space="preserve"> </w:t>
      </w:r>
      <w:r>
        <w:rPr>
          <w:spacing w:val="-1"/>
          <w:sz w:val="16"/>
        </w:rPr>
        <w:t xml:space="preserve">unblinding </w:t>
      </w:r>
      <w:r>
        <w:rPr>
          <w:spacing w:val="-2"/>
          <w:sz w:val="16"/>
        </w:rPr>
        <w:t xml:space="preserve">was </w:t>
      </w:r>
      <w:r>
        <w:rPr>
          <w:spacing w:val="-1"/>
          <w:sz w:val="16"/>
        </w:rPr>
        <w:t>not</w:t>
      </w:r>
      <w:r>
        <w:rPr>
          <w:spacing w:val="115"/>
          <w:sz w:val="16"/>
        </w:rPr>
        <w:t xml:space="preserve"> </w:t>
      </w:r>
      <w:r>
        <w:rPr>
          <w:spacing w:val="-1"/>
          <w:sz w:val="16"/>
        </w:rPr>
        <w:t>considered</w:t>
      </w:r>
      <w:r>
        <w:rPr>
          <w:spacing w:val="2"/>
          <w:sz w:val="16"/>
        </w:rPr>
        <w:t xml:space="preserve"> </w:t>
      </w:r>
      <w:r>
        <w:rPr>
          <w:sz w:val="16"/>
        </w:rPr>
        <w:t>as</w:t>
      </w:r>
      <w:r>
        <w:rPr>
          <w:spacing w:val="-2"/>
          <w:sz w:val="16"/>
        </w:rPr>
        <w:t xml:space="preserve"> </w:t>
      </w:r>
      <w:r>
        <w:rPr>
          <w:sz w:val="16"/>
        </w:rPr>
        <w:t>a</w:t>
      </w:r>
      <w:r>
        <w:rPr>
          <w:spacing w:val="1"/>
          <w:sz w:val="16"/>
        </w:rPr>
        <w:t xml:space="preserve"> </w:t>
      </w:r>
      <w:r>
        <w:rPr>
          <w:spacing w:val="-1"/>
          <w:sz w:val="16"/>
        </w:rPr>
        <w:t>second-line</w:t>
      </w:r>
      <w:r>
        <w:rPr>
          <w:spacing w:val="-4"/>
          <w:sz w:val="16"/>
        </w:rPr>
        <w:t xml:space="preserve"> </w:t>
      </w:r>
      <w:r>
        <w:rPr>
          <w:spacing w:val="-1"/>
          <w:sz w:val="16"/>
        </w:rPr>
        <w:t>therapy.</w:t>
      </w:r>
    </w:p>
    <w:p w:rsidR="00506994" w:rsidRDefault="00506994" w:rsidP="00AB7A9E">
      <w:pPr>
        <w:rPr>
          <w:rFonts w:eastAsia="Times New Roman"/>
          <w:sz w:val="16"/>
          <w:szCs w:val="16"/>
        </w:rPr>
      </w:pPr>
      <w:r>
        <w:rPr>
          <w:position w:val="6"/>
          <w:sz w:val="10"/>
        </w:rPr>
        <w:t>f</w:t>
      </w:r>
      <w:r>
        <w:rPr>
          <w:spacing w:val="-1"/>
          <w:position w:val="6"/>
          <w:sz w:val="10"/>
        </w:rPr>
        <w:t xml:space="preserve"> </w:t>
      </w:r>
      <w:r>
        <w:rPr>
          <w:spacing w:val="-1"/>
          <w:sz w:val="16"/>
        </w:rPr>
        <w:t>Median</w:t>
      </w:r>
      <w:r>
        <w:rPr>
          <w:spacing w:val="2"/>
          <w:sz w:val="16"/>
        </w:rPr>
        <w:t xml:space="preserve"> </w:t>
      </w:r>
      <w:r>
        <w:rPr>
          <w:spacing w:val="-2"/>
          <w:sz w:val="16"/>
        </w:rPr>
        <w:t>follow-up</w:t>
      </w:r>
      <w:r>
        <w:rPr>
          <w:spacing w:val="2"/>
          <w:sz w:val="16"/>
        </w:rPr>
        <w:t xml:space="preserve"> </w:t>
      </w:r>
      <w:r>
        <w:rPr>
          <w:spacing w:val="-2"/>
          <w:sz w:val="16"/>
        </w:rPr>
        <w:t xml:space="preserve">post-ASCT </w:t>
      </w:r>
      <w:r>
        <w:rPr>
          <w:spacing w:val="-1"/>
          <w:sz w:val="16"/>
        </w:rPr>
        <w:t>for</w:t>
      </w:r>
      <w:r>
        <w:rPr>
          <w:sz w:val="16"/>
        </w:rPr>
        <w:t xml:space="preserve"> all</w:t>
      </w:r>
      <w:r>
        <w:rPr>
          <w:spacing w:val="-1"/>
          <w:sz w:val="16"/>
        </w:rPr>
        <w:t xml:space="preserve"> surviving</w:t>
      </w:r>
      <w:r>
        <w:rPr>
          <w:spacing w:val="-3"/>
          <w:sz w:val="16"/>
        </w:rPr>
        <w:t xml:space="preserve"> </w:t>
      </w:r>
      <w:r>
        <w:rPr>
          <w:spacing w:val="-1"/>
          <w:sz w:val="16"/>
        </w:rPr>
        <w:t>subjects.</w:t>
      </w:r>
    </w:p>
    <w:p w:rsidR="00506994" w:rsidRDefault="00506994" w:rsidP="00AB7A9E">
      <w:pPr>
        <w:rPr>
          <w:rFonts w:eastAsia="Times New Roman"/>
          <w:sz w:val="16"/>
          <w:szCs w:val="16"/>
        </w:rPr>
      </w:pPr>
      <w:r>
        <w:rPr>
          <w:b/>
          <w:spacing w:val="-1"/>
          <w:sz w:val="16"/>
        </w:rPr>
        <w:t>Data cuts:</w:t>
      </w:r>
      <w:r>
        <w:rPr>
          <w:b/>
          <w:sz w:val="16"/>
        </w:rPr>
        <w:t xml:space="preserve"> </w:t>
      </w:r>
      <w:r>
        <w:rPr>
          <w:spacing w:val="-1"/>
          <w:sz w:val="16"/>
        </w:rPr>
        <w:t>17</w:t>
      </w:r>
      <w:r>
        <w:rPr>
          <w:spacing w:val="2"/>
          <w:sz w:val="16"/>
        </w:rPr>
        <w:t xml:space="preserve"> </w:t>
      </w:r>
      <w:r>
        <w:rPr>
          <w:spacing w:val="-1"/>
          <w:sz w:val="16"/>
        </w:rPr>
        <w:t>Dec 2009 and 01</w:t>
      </w:r>
      <w:r>
        <w:rPr>
          <w:spacing w:val="2"/>
          <w:sz w:val="16"/>
        </w:rPr>
        <w:t xml:space="preserve"> </w:t>
      </w:r>
      <w:r>
        <w:rPr>
          <w:spacing w:val="-2"/>
          <w:sz w:val="16"/>
        </w:rPr>
        <w:t>Feb</w:t>
      </w:r>
      <w:r>
        <w:rPr>
          <w:spacing w:val="2"/>
          <w:sz w:val="16"/>
        </w:rPr>
        <w:t xml:space="preserve"> </w:t>
      </w:r>
      <w:r>
        <w:rPr>
          <w:spacing w:val="-1"/>
          <w:sz w:val="16"/>
        </w:rPr>
        <w:t>2016</w:t>
      </w:r>
    </w:p>
    <w:p w:rsidR="00506994" w:rsidRDefault="00506994" w:rsidP="00AB7A9E">
      <w:pPr>
        <w:spacing w:before="11"/>
        <w:rPr>
          <w:rFonts w:eastAsia="Times New Roman"/>
          <w:sz w:val="21"/>
          <w:szCs w:val="21"/>
        </w:rPr>
      </w:pPr>
    </w:p>
    <w:p w:rsidR="00506994" w:rsidRDefault="00506994" w:rsidP="00AB7A9E">
      <w:pPr>
        <w:rPr>
          <w:rFonts w:eastAsia="Times New Roman"/>
        </w:rPr>
      </w:pPr>
      <w:r>
        <w:rPr>
          <w:i/>
          <w:spacing w:val="-1"/>
        </w:rPr>
        <w:t>IFM</w:t>
      </w:r>
      <w:r>
        <w:rPr>
          <w:i/>
          <w:spacing w:val="1"/>
        </w:rPr>
        <w:t xml:space="preserve"> </w:t>
      </w:r>
      <w:r>
        <w:rPr>
          <w:i/>
          <w:spacing w:val="-1"/>
        </w:rPr>
        <w:t>2005-02</w:t>
      </w:r>
    </w:p>
    <w:p w:rsidR="00506994" w:rsidRDefault="00506994" w:rsidP="004560FA">
      <w:pPr>
        <w:pStyle w:val="BodyText"/>
        <w:ind w:right="2"/>
      </w:pPr>
      <w:r>
        <w:rPr>
          <w:spacing w:val="-1"/>
        </w:rPr>
        <w:t>Patients</w:t>
      </w:r>
      <w:r>
        <w:t xml:space="preserve"> </w:t>
      </w:r>
      <w:r>
        <w:rPr>
          <w:spacing w:val="-1"/>
        </w:rPr>
        <w:t>aged</w:t>
      </w:r>
      <w:r>
        <w:t xml:space="preserve"> &lt; </w:t>
      </w:r>
      <w:r>
        <w:rPr>
          <w:spacing w:val="-2"/>
        </w:rPr>
        <w:t>65</w:t>
      </w:r>
      <w:r>
        <w:t xml:space="preserve"> </w:t>
      </w:r>
      <w:r>
        <w:rPr>
          <w:spacing w:val="-1"/>
        </w:rPr>
        <w:t>years</w:t>
      </w:r>
      <w:r>
        <w:rPr>
          <w:spacing w:val="-2"/>
        </w:rPr>
        <w:t xml:space="preserve"> </w:t>
      </w:r>
      <w:r>
        <w:t>at</w:t>
      </w:r>
      <w:r>
        <w:rPr>
          <w:spacing w:val="-2"/>
        </w:rPr>
        <w:t xml:space="preserve"> </w:t>
      </w:r>
      <w:r>
        <w:rPr>
          <w:spacing w:val="-1"/>
        </w:rPr>
        <w:t>diagnosis</w:t>
      </w:r>
      <w:r>
        <w:t xml:space="preserve"> </w:t>
      </w:r>
      <w:r>
        <w:rPr>
          <w:spacing w:val="-1"/>
        </w:rPr>
        <w:t>who</w:t>
      </w:r>
      <w:r>
        <w:t xml:space="preserve"> </w:t>
      </w:r>
      <w:r>
        <w:rPr>
          <w:spacing w:val="-1"/>
        </w:rPr>
        <w:t>had</w:t>
      </w:r>
      <w:r>
        <w:t xml:space="preserve"> </w:t>
      </w:r>
      <w:r>
        <w:rPr>
          <w:spacing w:val="-1"/>
        </w:rPr>
        <w:t>undergone</w:t>
      </w:r>
      <w:r>
        <w:t xml:space="preserve"> </w:t>
      </w:r>
      <w:r>
        <w:rPr>
          <w:spacing w:val="-1"/>
        </w:rPr>
        <w:t>ASCT</w:t>
      </w:r>
      <w:r>
        <w:t xml:space="preserve"> and </w:t>
      </w:r>
      <w:r>
        <w:rPr>
          <w:spacing w:val="-1"/>
        </w:rPr>
        <w:t>had</w:t>
      </w:r>
      <w:r>
        <w:t xml:space="preserve"> </w:t>
      </w:r>
      <w:r>
        <w:rPr>
          <w:spacing w:val="-1"/>
        </w:rPr>
        <w:t>achieved</w:t>
      </w:r>
      <w:r>
        <w:rPr>
          <w:spacing w:val="-2"/>
        </w:rPr>
        <w:t xml:space="preserve"> </w:t>
      </w:r>
      <w:r>
        <w:t>at</w:t>
      </w:r>
      <w:r>
        <w:rPr>
          <w:spacing w:val="-2"/>
        </w:rPr>
        <w:t xml:space="preserve"> </w:t>
      </w:r>
      <w:r>
        <w:rPr>
          <w:spacing w:val="-1"/>
        </w:rPr>
        <w:t>least</w:t>
      </w:r>
      <w:r>
        <w:rPr>
          <w:spacing w:val="1"/>
        </w:rPr>
        <w:t xml:space="preserve"> </w:t>
      </w:r>
      <w:r>
        <w:t>a</w:t>
      </w:r>
      <w:r>
        <w:rPr>
          <w:spacing w:val="-2"/>
        </w:rPr>
        <w:t xml:space="preserve"> </w:t>
      </w:r>
      <w:r>
        <w:rPr>
          <w:spacing w:val="-1"/>
        </w:rPr>
        <w:t>stable</w:t>
      </w:r>
      <w:r>
        <w:t xml:space="preserve"> </w:t>
      </w:r>
      <w:r>
        <w:rPr>
          <w:spacing w:val="-1"/>
        </w:rPr>
        <w:t>disease</w:t>
      </w:r>
      <w:r>
        <w:rPr>
          <w:spacing w:val="61"/>
        </w:rPr>
        <w:t xml:space="preserve"> </w:t>
      </w:r>
      <w:r>
        <w:rPr>
          <w:spacing w:val="-1"/>
        </w:rPr>
        <w:t>response</w:t>
      </w:r>
      <w:r>
        <w:rPr>
          <w:spacing w:val="-2"/>
        </w:rPr>
        <w:t xml:space="preserve"> </w:t>
      </w:r>
      <w:r>
        <w:t>at</w:t>
      </w:r>
      <w:r>
        <w:rPr>
          <w:spacing w:val="-2"/>
        </w:rPr>
        <w:t xml:space="preserve"> </w:t>
      </w:r>
      <w:r>
        <w:t>the</w:t>
      </w:r>
      <w:r>
        <w:rPr>
          <w:spacing w:val="-2"/>
        </w:rPr>
        <w:t xml:space="preserve"> </w:t>
      </w:r>
      <w:r>
        <w:rPr>
          <w:spacing w:val="-1"/>
        </w:rPr>
        <w:t>time</w:t>
      </w:r>
      <w:r>
        <w:t xml:space="preserve"> of</w:t>
      </w:r>
      <w:r>
        <w:rPr>
          <w:spacing w:val="1"/>
        </w:rPr>
        <w:t xml:space="preserve"> </w:t>
      </w:r>
      <w:r>
        <w:rPr>
          <w:spacing w:val="-1"/>
        </w:rPr>
        <w:t>hematologic</w:t>
      </w:r>
      <w:r>
        <w:t xml:space="preserve"> </w:t>
      </w:r>
      <w:r>
        <w:rPr>
          <w:spacing w:val="-1"/>
        </w:rPr>
        <w:t>recovery</w:t>
      </w:r>
      <w:r>
        <w:rPr>
          <w:spacing w:val="-2"/>
        </w:rPr>
        <w:t xml:space="preserve"> </w:t>
      </w:r>
      <w:r>
        <w:t>were</w:t>
      </w:r>
      <w:r>
        <w:rPr>
          <w:spacing w:val="-2"/>
        </w:rPr>
        <w:t xml:space="preserve"> </w:t>
      </w:r>
      <w:r>
        <w:rPr>
          <w:spacing w:val="-1"/>
        </w:rPr>
        <w:t>eligible.</w:t>
      </w:r>
      <w:r>
        <w:t xml:space="preserve"> </w:t>
      </w:r>
      <w:r>
        <w:rPr>
          <w:spacing w:val="-1"/>
        </w:rPr>
        <w:t>Patients</w:t>
      </w:r>
      <w:r>
        <w:t xml:space="preserve"> </w:t>
      </w:r>
      <w:r>
        <w:rPr>
          <w:spacing w:val="-1"/>
        </w:rPr>
        <w:t>were</w:t>
      </w:r>
      <w:r>
        <w:rPr>
          <w:spacing w:val="-2"/>
        </w:rPr>
        <w:t xml:space="preserve"> </w:t>
      </w:r>
      <w:r>
        <w:rPr>
          <w:spacing w:val="-1"/>
        </w:rPr>
        <w:t>randomised</w:t>
      </w:r>
      <w:r>
        <w:t xml:space="preserve"> </w:t>
      </w:r>
      <w:r>
        <w:rPr>
          <w:spacing w:val="-1"/>
        </w:rPr>
        <w:t>1:1</w:t>
      </w:r>
      <w:r>
        <w:t xml:space="preserve"> </w:t>
      </w:r>
      <w:r>
        <w:rPr>
          <w:spacing w:val="-1"/>
        </w:rPr>
        <w:t>to</w:t>
      </w:r>
      <w:r>
        <w:t xml:space="preserve"> </w:t>
      </w:r>
      <w:r>
        <w:rPr>
          <w:spacing w:val="-1"/>
        </w:rPr>
        <w:t>receive</w:t>
      </w:r>
      <w:r>
        <w:t xml:space="preserve"> </w:t>
      </w:r>
      <w:r>
        <w:rPr>
          <w:spacing w:val="-1"/>
        </w:rPr>
        <w:t>either</w:t>
      </w:r>
      <w:r>
        <w:rPr>
          <w:spacing w:val="79"/>
        </w:rPr>
        <w:t xml:space="preserve"> </w:t>
      </w:r>
      <w:r>
        <w:rPr>
          <w:spacing w:val="-1"/>
        </w:rPr>
        <w:t>lenalidomide</w:t>
      </w:r>
      <w:r>
        <w:t xml:space="preserve"> or</w:t>
      </w:r>
      <w:r>
        <w:rPr>
          <w:spacing w:val="1"/>
        </w:rPr>
        <w:t xml:space="preserve"> </w:t>
      </w:r>
      <w:r>
        <w:rPr>
          <w:spacing w:val="-1"/>
        </w:rPr>
        <w:t>placebo</w:t>
      </w:r>
      <w:r>
        <w:t xml:space="preserve"> </w:t>
      </w:r>
      <w:r>
        <w:rPr>
          <w:spacing w:val="-1"/>
        </w:rPr>
        <w:t>maintenance</w:t>
      </w:r>
      <w:r>
        <w:t xml:space="preserve"> </w:t>
      </w:r>
      <w:r>
        <w:rPr>
          <w:spacing w:val="-1"/>
        </w:rPr>
        <w:t>(10</w:t>
      </w:r>
      <w:r>
        <w:t xml:space="preserve"> </w:t>
      </w:r>
      <w:r>
        <w:rPr>
          <w:spacing w:val="-2"/>
        </w:rPr>
        <w:t xml:space="preserve">mg </w:t>
      </w:r>
      <w:r>
        <w:t xml:space="preserve">once </w:t>
      </w:r>
      <w:r>
        <w:rPr>
          <w:spacing w:val="-1"/>
        </w:rPr>
        <w:t>daily</w:t>
      </w:r>
      <w:r>
        <w:rPr>
          <w:spacing w:val="-3"/>
        </w:rPr>
        <w:t xml:space="preserve"> </w:t>
      </w:r>
      <w:r>
        <w:t xml:space="preserve">on </w:t>
      </w:r>
      <w:r>
        <w:rPr>
          <w:spacing w:val="-1"/>
        </w:rPr>
        <w:t>days</w:t>
      </w:r>
      <w:r>
        <w:t xml:space="preserve"> </w:t>
      </w:r>
      <w:r>
        <w:rPr>
          <w:spacing w:val="-1"/>
        </w:rPr>
        <w:t>1-28</w:t>
      </w:r>
      <w:r>
        <w:t xml:space="preserve"> of</w:t>
      </w:r>
      <w:r>
        <w:rPr>
          <w:spacing w:val="1"/>
        </w:rPr>
        <w:t xml:space="preserve"> </w:t>
      </w:r>
      <w:r>
        <w:rPr>
          <w:spacing w:val="-1"/>
        </w:rPr>
        <w:t>repeated</w:t>
      </w:r>
      <w:r>
        <w:rPr>
          <w:spacing w:val="-2"/>
        </w:rPr>
        <w:t xml:space="preserve"> </w:t>
      </w:r>
      <w:r>
        <w:rPr>
          <w:spacing w:val="-1"/>
        </w:rPr>
        <w:t>28-day</w:t>
      </w:r>
      <w:r>
        <w:rPr>
          <w:spacing w:val="-3"/>
        </w:rPr>
        <w:t xml:space="preserve"> </w:t>
      </w:r>
      <w:r>
        <w:rPr>
          <w:spacing w:val="-1"/>
        </w:rPr>
        <w:t>cycles</w:t>
      </w:r>
      <w:r>
        <w:t xml:space="preserve"> </w:t>
      </w:r>
      <w:r>
        <w:rPr>
          <w:spacing w:val="-1"/>
        </w:rPr>
        <w:t>increased</w:t>
      </w:r>
      <w:r>
        <w:rPr>
          <w:spacing w:val="-2"/>
        </w:rPr>
        <w:t xml:space="preserve"> </w:t>
      </w:r>
      <w:r>
        <w:t>up</w:t>
      </w:r>
      <w:r>
        <w:rPr>
          <w:spacing w:val="79"/>
        </w:rPr>
        <w:t xml:space="preserve"> </w:t>
      </w:r>
      <w:r>
        <w:t xml:space="preserve">to 15 </w:t>
      </w:r>
      <w:r>
        <w:rPr>
          <w:spacing w:val="-2"/>
        </w:rPr>
        <w:t xml:space="preserve">mg </w:t>
      </w:r>
      <w:r>
        <w:t xml:space="preserve">once </w:t>
      </w:r>
      <w:r>
        <w:rPr>
          <w:spacing w:val="-1"/>
        </w:rPr>
        <w:t>daily</w:t>
      </w:r>
      <w:r>
        <w:rPr>
          <w:spacing w:val="-2"/>
        </w:rPr>
        <w:t xml:space="preserve"> </w:t>
      </w:r>
      <w:r>
        <w:rPr>
          <w:spacing w:val="-1"/>
        </w:rPr>
        <w:t>after</w:t>
      </w:r>
      <w:r>
        <w:rPr>
          <w:spacing w:val="1"/>
        </w:rPr>
        <w:t xml:space="preserve"> </w:t>
      </w:r>
      <w:r>
        <w:t>3</w:t>
      </w:r>
      <w:r>
        <w:rPr>
          <w:spacing w:val="-3"/>
        </w:rPr>
        <w:t xml:space="preserve"> </w:t>
      </w:r>
      <w:r>
        <w:rPr>
          <w:spacing w:val="-1"/>
        </w:rPr>
        <w:t>months</w:t>
      </w:r>
      <w:r>
        <w:t xml:space="preserve"> in </w:t>
      </w:r>
      <w:r>
        <w:rPr>
          <w:spacing w:val="-1"/>
        </w:rPr>
        <w:t>the</w:t>
      </w:r>
      <w:r>
        <w:t xml:space="preserve"> </w:t>
      </w:r>
      <w:r>
        <w:rPr>
          <w:spacing w:val="-1"/>
        </w:rPr>
        <w:t>absence</w:t>
      </w:r>
      <w:r>
        <w:t xml:space="preserve"> </w:t>
      </w:r>
      <w:r>
        <w:rPr>
          <w:spacing w:val="-2"/>
        </w:rPr>
        <w:t>of</w:t>
      </w:r>
      <w:r>
        <w:rPr>
          <w:spacing w:val="1"/>
        </w:rPr>
        <w:t xml:space="preserve"> </w:t>
      </w:r>
      <w:r>
        <w:rPr>
          <w:spacing w:val="-1"/>
        </w:rPr>
        <w:t>dose-limiting</w:t>
      </w:r>
      <w:r>
        <w:rPr>
          <w:spacing w:val="-3"/>
        </w:rPr>
        <w:t xml:space="preserve"> </w:t>
      </w:r>
      <w:r>
        <w:rPr>
          <w:spacing w:val="-1"/>
        </w:rPr>
        <w:t>toxicity)</w:t>
      </w:r>
      <w:r>
        <w:rPr>
          <w:spacing w:val="1"/>
        </w:rPr>
        <w:t xml:space="preserve"> </w:t>
      </w:r>
      <w:r>
        <w:rPr>
          <w:spacing w:val="-1"/>
        </w:rPr>
        <w:t>following</w:t>
      </w:r>
      <w:r>
        <w:rPr>
          <w:spacing w:val="-3"/>
        </w:rPr>
        <w:t xml:space="preserve"> </w:t>
      </w:r>
      <w:r>
        <w:t xml:space="preserve">2 </w:t>
      </w:r>
      <w:r>
        <w:rPr>
          <w:spacing w:val="-1"/>
        </w:rPr>
        <w:t>courses</w:t>
      </w:r>
      <w:r>
        <w:rPr>
          <w:spacing w:val="1"/>
        </w:rPr>
        <w:t xml:space="preserve"> </w:t>
      </w:r>
      <w:r>
        <w:rPr>
          <w:spacing w:val="-2"/>
        </w:rPr>
        <w:t>of</w:t>
      </w:r>
      <w:r>
        <w:rPr>
          <w:spacing w:val="63"/>
        </w:rPr>
        <w:t xml:space="preserve"> </w:t>
      </w:r>
      <w:r>
        <w:rPr>
          <w:spacing w:val="-1"/>
        </w:rPr>
        <w:t>lenalidomide</w:t>
      </w:r>
      <w:r>
        <w:t xml:space="preserve"> </w:t>
      </w:r>
      <w:r>
        <w:rPr>
          <w:spacing w:val="-1"/>
        </w:rPr>
        <w:t>consolidation</w:t>
      </w:r>
      <w:r>
        <w:rPr>
          <w:spacing w:val="-3"/>
        </w:rPr>
        <w:t xml:space="preserve"> </w:t>
      </w:r>
      <w:r>
        <w:t xml:space="preserve">(25 </w:t>
      </w:r>
      <w:r>
        <w:rPr>
          <w:spacing w:val="-2"/>
        </w:rPr>
        <w:t>mg/day,</w:t>
      </w:r>
      <w:r>
        <w:t xml:space="preserve"> </w:t>
      </w:r>
      <w:r>
        <w:rPr>
          <w:spacing w:val="-1"/>
        </w:rPr>
        <w:t>days</w:t>
      </w:r>
      <w:r>
        <w:t xml:space="preserve"> </w:t>
      </w:r>
      <w:r>
        <w:rPr>
          <w:spacing w:val="-1"/>
        </w:rPr>
        <w:t>1-21</w:t>
      </w:r>
      <w:r>
        <w:t xml:space="preserve"> of</w:t>
      </w:r>
      <w:r>
        <w:rPr>
          <w:spacing w:val="1"/>
        </w:rPr>
        <w:t xml:space="preserve"> </w:t>
      </w:r>
      <w:r>
        <w:t xml:space="preserve">a </w:t>
      </w:r>
      <w:r>
        <w:rPr>
          <w:spacing w:val="-1"/>
        </w:rPr>
        <w:t>28-day</w:t>
      </w:r>
      <w:r>
        <w:rPr>
          <w:spacing w:val="-3"/>
        </w:rPr>
        <w:t xml:space="preserve"> </w:t>
      </w:r>
      <w:r>
        <w:rPr>
          <w:spacing w:val="-1"/>
        </w:rPr>
        <w:t>cycle).</w:t>
      </w:r>
      <w:r>
        <w:rPr>
          <w:spacing w:val="-3"/>
        </w:rPr>
        <w:t xml:space="preserve"> </w:t>
      </w:r>
      <w:r>
        <w:rPr>
          <w:spacing w:val="-1"/>
        </w:rPr>
        <w:t>Treatment</w:t>
      </w:r>
      <w:r>
        <w:rPr>
          <w:spacing w:val="1"/>
        </w:rPr>
        <w:t xml:space="preserve"> </w:t>
      </w:r>
      <w:r>
        <w:rPr>
          <w:spacing w:val="-2"/>
        </w:rPr>
        <w:t>was</w:t>
      </w:r>
      <w:r>
        <w:rPr>
          <w:spacing w:val="1"/>
        </w:rPr>
        <w:t xml:space="preserve"> </w:t>
      </w:r>
      <w:r>
        <w:t>to</w:t>
      </w:r>
      <w:r>
        <w:rPr>
          <w:spacing w:val="-3"/>
        </w:rPr>
        <w:t xml:space="preserve"> </w:t>
      </w:r>
      <w:r>
        <w:t xml:space="preserve">be </w:t>
      </w:r>
      <w:r>
        <w:rPr>
          <w:spacing w:val="-1"/>
        </w:rPr>
        <w:t>continued</w:t>
      </w:r>
      <w:r>
        <w:t xml:space="preserve"> </w:t>
      </w:r>
      <w:r>
        <w:rPr>
          <w:spacing w:val="-1"/>
        </w:rPr>
        <w:t>until</w:t>
      </w:r>
      <w:r>
        <w:rPr>
          <w:spacing w:val="85"/>
        </w:rPr>
        <w:t xml:space="preserve"> </w:t>
      </w:r>
      <w:r>
        <w:rPr>
          <w:spacing w:val="-1"/>
        </w:rPr>
        <w:t>disease</w:t>
      </w:r>
      <w:r>
        <w:rPr>
          <w:spacing w:val="-2"/>
        </w:rPr>
        <w:t xml:space="preserve"> </w:t>
      </w:r>
      <w:r>
        <w:rPr>
          <w:spacing w:val="-1"/>
        </w:rPr>
        <w:t>progression.</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primary</w:t>
      </w:r>
      <w:r>
        <w:rPr>
          <w:spacing w:val="-3"/>
        </w:rPr>
        <w:t xml:space="preserve"> </w:t>
      </w:r>
      <w:r>
        <w:rPr>
          <w:spacing w:val="-1"/>
        </w:rPr>
        <w:t>endpoint</w:t>
      </w:r>
      <w:r>
        <w:rPr>
          <w:spacing w:val="1"/>
        </w:rPr>
        <w:t xml:space="preserve"> </w:t>
      </w:r>
      <w:r>
        <w:rPr>
          <w:spacing w:val="-1"/>
        </w:rPr>
        <w:t>was PFS defined</w:t>
      </w:r>
      <w:r>
        <w:rPr>
          <w:spacing w:val="-2"/>
        </w:rPr>
        <w:t xml:space="preserve"> </w:t>
      </w:r>
      <w:r>
        <w:t>from</w:t>
      </w:r>
      <w:r>
        <w:rPr>
          <w:spacing w:val="-4"/>
        </w:rPr>
        <w:t xml:space="preserve"> </w:t>
      </w:r>
      <w:r>
        <w:rPr>
          <w:spacing w:val="-1"/>
        </w:rPr>
        <w:t>randomisation</w:t>
      </w:r>
      <w:r>
        <w:t xml:space="preserve"> to</w:t>
      </w:r>
      <w:r>
        <w:rPr>
          <w:spacing w:val="-2"/>
        </w:rPr>
        <w:t xml:space="preserve"> </w:t>
      </w:r>
      <w:r>
        <w:rPr>
          <w:spacing w:val="-1"/>
        </w:rPr>
        <w:t>the</w:t>
      </w:r>
      <w:r>
        <w:t xml:space="preserve"> </w:t>
      </w:r>
      <w:r>
        <w:rPr>
          <w:spacing w:val="-1"/>
        </w:rPr>
        <w:t>date</w:t>
      </w:r>
      <w:r>
        <w:t xml:space="preserve"> </w:t>
      </w:r>
      <w:r>
        <w:rPr>
          <w:spacing w:val="-2"/>
        </w:rPr>
        <w:t>of</w:t>
      </w:r>
      <w:r>
        <w:rPr>
          <w:spacing w:val="1"/>
        </w:rPr>
        <w:t xml:space="preserve"> </w:t>
      </w:r>
      <w:r>
        <w:rPr>
          <w:spacing w:val="-1"/>
        </w:rPr>
        <w:t>progression</w:t>
      </w:r>
      <w:r>
        <w:t xml:space="preserve"> </w:t>
      </w:r>
      <w:r>
        <w:rPr>
          <w:spacing w:val="-2"/>
        </w:rPr>
        <w:t>or</w:t>
      </w:r>
      <w:r>
        <w:rPr>
          <w:spacing w:val="1"/>
        </w:rPr>
        <w:t xml:space="preserve"> </w:t>
      </w:r>
      <w:r>
        <w:rPr>
          <w:spacing w:val="-1"/>
        </w:rPr>
        <w:t>death,</w:t>
      </w:r>
      <w:r>
        <w:t xml:space="preserve"> </w:t>
      </w:r>
      <w:r>
        <w:rPr>
          <w:spacing w:val="-2"/>
        </w:rPr>
        <w:t>whichever</w:t>
      </w:r>
      <w:r>
        <w:rPr>
          <w:spacing w:val="103"/>
        </w:rPr>
        <w:t xml:space="preserve"> </w:t>
      </w:r>
      <w:r>
        <w:rPr>
          <w:spacing w:val="-1"/>
        </w:rPr>
        <w:t>occurred</w:t>
      </w:r>
      <w:r>
        <w:rPr>
          <w:spacing w:val="-2"/>
        </w:rPr>
        <w:t xml:space="preserve"> </w:t>
      </w:r>
      <w:r>
        <w:rPr>
          <w:spacing w:val="-1"/>
        </w:rPr>
        <w:t>first;</w:t>
      </w:r>
      <w:r>
        <w:rPr>
          <w:spacing w:val="-2"/>
        </w:rPr>
        <w:t xml:space="preserve"> </w:t>
      </w:r>
      <w:r>
        <w:t>the</w:t>
      </w:r>
      <w:r>
        <w:rPr>
          <w:spacing w:val="-2"/>
        </w:rPr>
        <w:t xml:space="preserve"> </w:t>
      </w:r>
      <w:r>
        <w:rPr>
          <w:spacing w:val="-1"/>
        </w:rPr>
        <w:t>study</w:t>
      </w:r>
      <w:r>
        <w:rPr>
          <w:spacing w:val="-3"/>
        </w:rPr>
        <w:t xml:space="preserve"> </w:t>
      </w:r>
      <w:r>
        <w:rPr>
          <w:spacing w:val="-1"/>
        </w:rPr>
        <w:t>was</w:t>
      </w:r>
      <w:r>
        <w:t xml:space="preserve"> not</w:t>
      </w:r>
      <w:r>
        <w:rPr>
          <w:spacing w:val="-1"/>
        </w:rPr>
        <w:t xml:space="preserve"> powered</w:t>
      </w:r>
      <w:r>
        <w:t xml:space="preserve"> </w:t>
      </w:r>
      <w:r>
        <w:rPr>
          <w:spacing w:val="-1"/>
        </w:rPr>
        <w:t>for</w:t>
      </w:r>
      <w:r>
        <w:rPr>
          <w:spacing w:val="-2"/>
        </w:rPr>
        <w:t xml:space="preserve"> </w:t>
      </w:r>
      <w:r>
        <w:t xml:space="preserve">the </w:t>
      </w:r>
      <w:r>
        <w:rPr>
          <w:spacing w:val="-1"/>
        </w:rPr>
        <w:t>overall</w:t>
      </w:r>
      <w:r>
        <w:rPr>
          <w:spacing w:val="1"/>
        </w:rPr>
        <w:t xml:space="preserve"> </w:t>
      </w:r>
      <w:r>
        <w:rPr>
          <w:spacing w:val="-1"/>
        </w:rPr>
        <w:t>survival</w:t>
      </w:r>
      <w:r>
        <w:rPr>
          <w:spacing w:val="1"/>
        </w:rPr>
        <w:t xml:space="preserve"> </w:t>
      </w:r>
      <w:r>
        <w:rPr>
          <w:spacing w:val="-1"/>
        </w:rPr>
        <w:t>endpoint.</w:t>
      </w:r>
      <w:r>
        <w:t xml:space="preserve"> </w:t>
      </w:r>
      <w:r>
        <w:rPr>
          <w:spacing w:val="-3"/>
        </w:rPr>
        <w:t>In</w:t>
      </w:r>
      <w:r>
        <w:t xml:space="preserve"> </w:t>
      </w:r>
      <w:r>
        <w:rPr>
          <w:spacing w:val="-1"/>
        </w:rPr>
        <w:t>total</w:t>
      </w:r>
      <w:r>
        <w:rPr>
          <w:spacing w:val="-2"/>
        </w:rPr>
        <w:t xml:space="preserve"> </w:t>
      </w:r>
      <w:r>
        <w:t xml:space="preserve">614 </w:t>
      </w:r>
      <w:r>
        <w:rPr>
          <w:spacing w:val="-1"/>
        </w:rPr>
        <w:t>patients</w:t>
      </w:r>
      <w:r>
        <w:t xml:space="preserve"> were</w:t>
      </w:r>
      <w:r>
        <w:rPr>
          <w:spacing w:val="83"/>
        </w:rPr>
        <w:t xml:space="preserve"> </w:t>
      </w:r>
      <w:r>
        <w:rPr>
          <w:spacing w:val="-1"/>
        </w:rPr>
        <w:t>randomised:</w:t>
      </w:r>
      <w:r>
        <w:rPr>
          <w:spacing w:val="1"/>
        </w:rPr>
        <w:t xml:space="preserve"> </w:t>
      </w:r>
      <w:r>
        <w:t>307</w:t>
      </w:r>
      <w:r>
        <w:rPr>
          <w:spacing w:val="-3"/>
        </w:rPr>
        <w:t xml:space="preserve"> </w:t>
      </w:r>
      <w:r>
        <w:rPr>
          <w:spacing w:val="-1"/>
        </w:rPr>
        <w:t>patients</w:t>
      </w:r>
      <w:r>
        <w:rPr>
          <w:spacing w:val="-2"/>
        </w:rPr>
        <w:t xml:space="preserve"> </w:t>
      </w:r>
      <w:r>
        <w:t>to</w:t>
      </w:r>
      <w:r>
        <w:rPr>
          <w:spacing w:val="-3"/>
        </w:rPr>
        <w:t xml:space="preserve"> </w:t>
      </w:r>
      <w:r>
        <w:rPr>
          <w:spacing w:val="-1"/>
        </w:rPr>
        <w:t>lenalidomide</w:t>
      </w:r>
      <w:r>
        <w:t xml:space="preserve"> and </w:t>
      </w:r>
      <w:r>
        <w:rPr>
          <w:spacing w:val="-1"/>
        </w:rPr>
        <w:t>307</w:t>
      </w:r>
      <w:r>
        <w:t xml:space="preserve"> </w:t>
      </w:r>
      <w:r>
        <w:rPr>
          <w:spacing w:val="-1"/>
        </w:rPr>
        <w:t>patients</w:t>
      </w:r>
      <w:r>
        <w:rPr>
          <w:spacing w:val="-2"/>
        </w:rPr>
        <w:t xml:space="preserve"> </w:t>
      </w:r>
      <w:r>
        <w:t xml:space="preserve">to </w:t>
      </w:r>
      <w:r>
        <w:rPr>
          <w:spacing w:val="-1"/>
        </w:rPr>
        <w:t>placebo.</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study</w:t>
      </w:r>
      <w:r>
        <w:rPr>
          <w:spacing w:val="-3"/>
        </w:rPr>
        <w:t xml:space="preserve"> </w:t>
      </w:r>
      <w:r>
        <w:rPr>
          <w:spacing w:val="-1"/>
        </w:rPr>
        <w:t>was</w:t>
      </w:r>
      <w:r>
        <w:rPr>
          <w:spacing w:val="1"/>
        </w:rPr>
        <w:t xml:space="preserve"> </w:t>
      </w:r>
      <w:r>
        <w:rPr>
          <w:spacing w:val="-1"/>
        </w:rPr>
        <w:t>unblinded</w:t>
      </w:r>
      <w:r>
        <w:t xml:space="preserve"> </w:t>
      </w:r>
      <w:r>
        <w:rPr>
          <w:spacing w:val="-1"/>
        </w:rPr>
        <w:t>upon</w:t>
      </w:r>
      <w:r>
        <w:t xml:space="preserve"> </w:t>
      </w:r>
      <w:r>
        <w:rPr>
          <w:spacing w:val="-1"/>
        </w:rPr>
        <w:t>the</w:t>
      </w:r>
      <w:r>
        <w:t xml:space="preserve"> </w:t>
      </w:r>
      <w:r>
        <w:rPr>
          <w:spacing w:val="-1"/>
        </w:rPr>
        <w:t>recommendations</w:t>
      </w:r>
      <w:r>
        <w:t xml:space="preserve"> </w:t>
      </w:r>
      <w:r>
        <w:rPr>
          <w:spacing w:val="-2"/>
        </w:rPr>
        <w:t>of</w:t>
      </w:r>
      <w:r>
        <w:rPr>
          <w:spacing w:val="1"/>
        </w:rPr>
        <w:t xml:space="preserve"> </w:t>
      </w:r>
      <w:r>
        <w:rPr>
          <w:spacing w:val="-1"/>
        </w:rPr>
        <w:t>the</w:t>
      </w:r>
      <w:r>
        <w:t xml:space="preserve"> </w:t>
      </w:r>
      <w:r>
        <w:rPr>
          <w:spacing w:val="-1"/>
        </w:rPr>
        <w:t>data</w:t>
      </w:r>
      <w:r>
        <w:t xml:space="preserve"> </w:t>
      </w:r>
      <w:r>
        <w:rPr>
          <w:spacing w:val="-1"/>
        </w:rPr>
        <w:t>monitoring</w:t>
      </w:r>
      <w:r>
        <w:rPr>
          <w:spacing w:val="-3"/>
        </w:rPr>
        <w:t xml:space="preserve"> </w:t>
      </w:r>
      <w:r>
        <w:rPr>
          <w:spacing w:val="-1"/>
        </w:rPr>
        <w:t>committee</w:t>
      </w:r>
      <w:r>
        <w:rPr>
          <w:spacing w:val="-2"/>
        </w:rPr>
        <w:t xml:space="preserve"> </w:t>
      </w:r>
      <w:r>
        <w:rPr>
          <w:spacing w:val="-1"/>
        </w:rPr>
        <w:t>after</w:t>
      </w:r>
      <w:r>
        <w:rPr>
          <w:spacing w:val="-2"/>
        </w:rPr>
        <w:t xml:space="preserve"> </w:t>
      </w:r>
      <w:r>
        <w:rPr>
          <w:spacing w:val="-1"/>
        </w:rPr>
        <w:t>surpassing</w:t>
      </w:r>
      <w:r>
        <w:rPr>
          <w:spacing w:val="-3"/>
        </w:rPr>
        <w:t xml:space="preserve"> </w:t>
      </w:r>
      <w:r>
        <w:t>the</w:t>
      </w:r>
      <w:r>
        <w:rPr>
          <w:spacing w:val="89"/>
        </w:rPr>
        <w:t xml:space="preserve"> </w:t>
      </w:r>
      <w:r>
        <w:rPr>
          <w:spacing w:val="-1"/>
        </w:rPr>
        <w:t>threshold</w:t>
      </w:r>
      <w:r>
        <w:t xml:space="preserve"> </w:t>
      </w:r>
      <w:r>
        <w:rPr>
          <w:spacing w:val="-1"/>
        </w:rPr>
        <w:t>for</w:t>
      </w:r>
      <w:r>
        <w:rPr>
          <w:spacing w:val="1"/>
        </w:rPr>
        <w:t xml:space="preserve"> </w:t>
      </w:r>
      <w:r>
        <w:t>a</w:t>
      </w:r>
      <w:r>
        <w:rPr>
          <w:spacing w:val="-2"/>
        </w:rPr>
        <w:t xml:space="preserve"> </w:t>
      </w:r>
      <w:r>
        <w:rPr>
          <w:spacing w:val="-1"/>
        </w:rPr>
        <w:t>preplanned</w:t>
      </w:r>
      <w:r>
        <w:rPr>
          <w:spacing w:val="-3"/>
        </w:rPr>
        <w:t xml:space="preserve"> </w:t>
      </w:r>
      <w:r>
        <w:rPr>
          <w:spacing w:val="-1"/>
        </w:rPr>
        <w:t>interim</w:t>
      </w:r>
      <w:r>
        <w:rPr>
          <w:spacing w:val="-4"/>
        </w:rPr>
        <w:t xml:space="preserve"> </w:t>
      </w:r>
      <w:r>
        <w:rPr>
          <w:spacing w:val="-1"/>
        </w:rPr>
        <w:t>analysis</w:t>
      </w:r>
      <w:r>
        <w:rPr>
          <w:spacing w:val="-2"/>
        </w:rPr>
        <w:t xml:space="preserve"> </w:t>
      </w:r>
      <w:r>
        <w:t>of</w:t>
      </w:r>
      <w:r>
        <w:rPr>
          <w:spacing w:val="1"/>
        </w:rPr>
        <w:t xml:space="preserve"> </w:t>
      </w:r>
      <w:r>
        <w:rPr>
          <w:spacing w:val="-1"/>
        </w:rPr>
        <w:t>PFS.</w:t>
      </w:r>
      <w:r>
        <w:t xml:space="preserve"> </w:t>
      </w:r>
      <w:r>
        <w:rPr>
          <w:spacing w:val="-1"/>
        </w:rPr>
        <w:t>After</w:t>
      </w:r>
      <w:r>
        <w:rPr>
          <w:spacing w:val="1"/>
        </w:rPr>
        <w:t xml:space="preserve"> </w:t>
      </w:r>
      <w:r>
        <w:rPr>
          <w:spacing w:val="-1"/>
        </w:rPr>
        <w:t>unblinding,</w:t>
      </w:r>
      <w:r>
        <w:t xml:space="preserve"> </w:t>
      </w:r>
      <w:r>
        <w:rPr>
          <w:spacing w:val="-1"/>
        </w:rPr>
        <w:t>patients</w:t>
      </w:r>
      <w:r>
        <w:t xml:space="preserve"> </w:t>
      </w:r>
      <w:r>
        <w:rPr>
          <w:spacing w:val="-1"/>
        </w:rPr>
        <w:t>receiving</w:t>
      </w:r>
      <w:r>
        <w:rPr>
          <w:spacing w:val="-2"/>
        </w:rPr>
        <w:t xml:space="preserve"> </w:t>
      </w:r>
      <w:r>
        <w:t xml:space="preserve">placebo </w:t>
      </w:r>
      <w:r>
        <w:rPr>
          <w:spacing w:val="-1"/>
        </w:rPr>
        <w:t>were</w:t>
      </w:r>
      <w:r>
        <w:t xml:space="preserve"> </w:t>
      </w:r>
      <w:r>
        <w:rPr>
          <w:spacing w:val="-1"/>
        </w:rPr>
        <w:t>not</w:t>
      </w:r>
      <w:r>
        <w:rPr>
          <w:spacing w:val="65"/>
        </w:rPr>
        <w:t xml:space="preserve"> </w:t>
      </w:r>
      <w:r>
        <w:rPr>
          <w:spacing w:val="-1"/>
        </w:rPr>
        <w:t>crossed</w:t>
      </w:r>
      <w:r>
        <w:t xml:space="preserve"> </w:t>
      </w:r>
      <w:r>
        <w:rPr>
          <w:spacing w:val="-1"/>
        </w:rPr>
        <w:t>over</w:t>
      </w:r>
      <w:r>
        <w:rPr>
          <w:spacing w:val="-2"/>
        </w:rPr>
        <w:t xml:space="preserve"> </w:t>
      </w:r>
      <w:r>
        <w:t>to</w:t>
      </w:r>
      <w:r>
        <w:rPr>
          <w:spacing w:val="-2"/>
        </w:rPr>
        <w:t xml:space="preserve"> </w:t>
      </w:r>
      <w:r>
        <w:rPr>
          <w:spacing w:val="-1"/>
        </w:rPr>
        <w:t>lenalidomide</w:t>
      </w:r>
      <w:r>
        <w:t xml:space="preserve"> </w:t>
      </w:r>
      <w:r>
        <w:rPr>
          <w:spacing w:val="-1"/>
        </w:rPr>
        <w:t>therapy</w:t>
      </w:r>
      <w:r>
        <w:rPr>
          <w:spacing w:val="-3"/>
        </w:rPr>
        <w:t xml:space="preserve"> </w:t>
      </w:r>
      <w:r>
        <w:rPr>
          <w:spacing w:val="-1"/>
        </w:rPr>
        <w:t>prior</w:t>
      </w:r>
      <w:r>
        <w:rPr>
          <w:spacing w:val="-2"/>
        </w:rPr>
        <w:t xml:space="preserve"> </w:t>
      </w:r>
      <w:r>
        <w:t xml:space="preserve">to </w:t>
      </w:r>
      <w:r>
        <w:rPr>
          <w:spacing w:val="-2"/>
        </w:rPr>
        <w:t>progressive</w:t>
      </w:r>
      <w:r>
        <w:t xml:space="preserve"> </w:t>
      </w:r>
      <w:r>
        <w:rPr>
          <w:spacing w:val="-1"/>
        </w:rPr>
        <w:t>disease.</w:t>
      </w:r>
      <w:r>
        <w:rPr>
          <w:spacing w:val="-3"/>
        </w:rPr>
        <w:t xml:space="preserve"> </w:t>
      </w:r>
      <w:r>
        <w:t>The</w:t>
      </w:r>
      <w:r>
        <w:rPr>
          <w:spacing w:val="-2"/>
        </w:rPr>
        <w:t xml:space="preserve"> </w:t>
      </w:r>
      <w:r>
        <w:rPr>
          <w:spacing w:val="-1"/>
        </w:rPr>
        <w:t>lenalidomide</w:t>
      </w:r>
      <w:r>
        <w:t xml:space="preserve"> arm</w:t>
      </w:r>
      <w:r>
        <w:rPr>
          <w:spacing w:val="-4"/>
        </w:rPr>
        <w:t xml:space="preserve"> </w:t>
      </w:r>
      <w:r>
        <w:rPr>
          <w:spacing w:val="-1"/>
        </w:rPr>
        <w:t>was</w:t>
      </w:r>
      <w:r>
        <w:rPr>
          <w:spacing w:val="1"/>
        </w:rPr>
        <w:t xml:space="preserve"> </w:t>
      </w:r>
      <w:r>
        <w:rPr>
          <w:spacing w:val="-1"/>
        </w:rPr>
        <w:t>discontinued,</w:t>
      </w:r>
      <w:r>
        <w:rPr>
          <w:spacing w:val="111"/>
        </w:rPr>
        <w:t xml:space="preserve"> </w:t>
      </w:r>
      <w:r>
        <w:t xml:space="preserve">as a </w:t>
      </w:r>
      <w:r>
        <w:rPr>
          <w:spacing w:val="-2"/>
        </w:rPr>
        <w:t>proactive</w:t>
      </w:r>
      <w:r>
        <w:t xml:space="preserve"> </w:t>
      </w:r>
      <w:r>
        <w:rPr>
          <w:spacing w:val="-1"/>
        </w:rPr>
        <w:t>safety</w:t>
      </w:r>
      <w:r>
        <w:rPr>
          <w:spacing w:val="-2"/>
        </w:rPr>
        <w:t xml:space="preserve"> </w:t>
      </w:r>
      <w:r>
        <w:rPr>
          <w:spacing w:val="-1"/>
        </w:rPr>
        <w:t>measure,</w:t>
      </w:r>
      <w:r>
        <w:t xml:space="preserve"> </w:t>
      </w:r>
      <w:r>
        <w:rPr>
          <w:spacing w:val="-1"/>
        </w:rPr>
        <w:t>after</w:t>
      </w:r>
      <w:r>
        <w:rPr>
          <w:spacing w:val="1"/>
        </w:rPr>
        <w:t xml:space="preserve"> </w:t>
      </w:r>
      <w:r>
        <w:rPr>
          <w:spacing w:val="-1"/>
        </w:rPr>
        <w:t>observing</w:t>
      </w:r>
      <w:r>
        <w:rPr>
          <w:spacing w:val="-2"/>
        </w:rPr>
        <w:t xml:space="preserve"> </w:t>
      </w:r>
      <w:r>
        <w:t xml:space="preserve">an </w:t>
      </w:r>
      <w:r>
        <w:rPr>
          <w:spacing w:val="-1"/>
        </w:rPr>
        <w:t>imbalance</w:t>
      </w:r>
      <w:r>
        <w:t xml:space="preserve"> </w:t>
      </w:r>
      <w:r>
        <w:rPr>
          <w:spacing w:val="-2"/>
        </w:rPr>
        <w:t>of</w:t>
      </w:r>
      <w:r>
        <w:rPr>
          <w:spacing w:val="1"/>
        </w:rPr>
        <w:t xml:space="preserve"> </w:t>
      </w:r>
      <w:r>
        <w:rPr>
          <w:spacing w:val="-1"/>
        </w:rPr>
        <w:t>SPMs</w:t>
      </w:r>
      <w:r>
        <w:t xml:space="preserve"> </w:t>
      </w:r>
      <w:r>
        <w:rPr>
          <w:spacing w:val="-1"/>
        </w:rPr>
        <w:t>(see</w:t>
      </w:r>
      <w:r>
        <w:t xml:space="preserve"> </w:t>
      </w:r>
      <w:r>
        <w:rPr>
          <w:spacing w:val="-1"/>
        </w:rPr>
        <w:t>Section</w:t>
      </w:r>
      <w:r>
        <w:rPr>
          <w:spacing w:val="-2"/>
        </w:rPr>
        <w:t xml:space="preserve"> </w:t>
      </w:r>
      <w:r>
        <w:t>4.4).</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results</w:t>
      </w:r>
      <w:r>
        <w:t xml:space="preserve"> </w:t>
      </w:r>
      <w:r>
        <w:rPr>
          <w:spacing w:val="-2"/>
        </w:rPr>
        <w:t>of</w:t>
      </w:r>
      <w:r>
        <w:rPr>
          <w:spacing w:val="1"/>
        </w:rPr>
        <w:t xml:space="preserve"> </w:t>
      </w:r>
      <w:r>
        <w:rPr>
          <w:spacing w:val="-1"/>
        </w:rPr>
        <w:t xml:space="preserve">PFS </w:t>
      </w:r>
      <w:r>
        <w:rPr>
          <w:spacing w:val="-2"/>
        </w:rPr>
        <w:t>at</w:t>
      </w:r>
      <w:r>
        <w:rPr>
          <w:spacing w:val="1"/>
        </w:rPr>
        <w:t xml:space="preserve"> </w:t>
      </w:r>
      <w:r>
        <w:rPr>
          <w:spacing w:val="-1"/>
        </w:rPr>
        <w:t>unblinding,</w:t>
      </w:r>
      <w:r>
        <w:t xml:space="preserve"> </w:t>
      </w:r>
      <w:r>
        <w:rPr>
          <w:spacing w:val="-1"/>
        </w:rPr>
        <w:t>following</w:t>
      </w:r>
      <w:r>
        <w:rPr>
          <w:spacing w:val="-3"/>
        </w:rPr>
        <w:t xml:space="preserve"> </w:t>
      </w:r>
      <w:r>
        <w:t>a</w:t>
      </w:r>
      <w:r>
        <w:rPr>
          <w:spacing w:val="1"/>
        </w:rPr>
        <w:t xml:space="preserve"> </w:t>
      </w:r>
      <w:r>
        <w:rPr>
          <w:spacing w:val="-1"/>
        </w:rPr>
        <w:t>preplanned</w:t>
      </w:r>
      <w:r>
        <w:t xml:space="preserve"> </w:t>
      </w:r>
      <w:r>
        <w:rPr>
          <w:spacing w:val="-1"/>
        </w:rPr>
        <w:t>interim</w:t>
      </w:r>
      <w:r>
        <w:rPr>
          <w:spacing w:val="-4"/>
        </w:rPr>
        <w:t xml:space="preserve"> </w:t>
      </w:r>
      <w:r>
        <w:rPr>
          <w:spacing w:val="-1"/>
        </w:rPr>
        <w:t>analysis,</w:t>
      </w:r>
      <w:r>
        <w:t xml:space="preserve"> </w:t>
      </w:r>
      <w:r>
        <w:rPr>
          <w:spacing w:val="-1"/>
        </w:rPr>
        <w:t>using</w:t>
      </w:r>
      <w:r>
        <w:rPr>
          <w:spacing w:val="-2"/>
        </w:rPr>
        <w:t xml:space="preserve"> </w:t>
      </w:r>
      <w:r>
        <w:t>a</w:t>
      </w:r>
      <w:r>
        <w:rPr>
          <w:spacing w:val="-2"/>
        </w:rPr>
        <w:t xml:space="preserve"> </w:t>
      </w:r>
      <w:r>
        <w:rPr>
          <w:spacing w:val="-1"/>
        </w:rPr>
        <w:t>cut-off</w:t>
      </w:r>
      <w:r>
        <w:rPr>
          <w:spacing w:val="1"/>
        </w:rPr>
        <w:t xml:space="preserve"> </w:t>
      </w:r>
      <w:r>
        <w:t>of</w:t>
      </w:r>
      <w:r>
        <w:rPr>
          <w:spacing w:val="-2"/>
        </w:rPr>
        <w:t xml:space="preserve"> </w:t>
      </w:r>
      <w:r>
        <w:t>7</w:t>
      </w:r>
      <w:r>
        <w:rPr>
          <w:spacing w:val="-3"/>
        </w:rPr>
        <w:t xml:space="preserve"> </w:t>
      </w:r>
      <w:r>
        <w:t>July</w:t>
      </w:r>
      <w:r>
        <w:rPr>
          <w:spacing w:val="-2"/>
        </w:rPr>
        <w:t xml:space="preserve"> </w:t>
      </w:r>
      <w:r>
        <w:t>2010</w:t>
      </w:r>
      <w:r>
        <w:rPr>
          <w:spacing w:val="77"/>
        </w:rPr>
        <w:t xml:space="preserve"> </w:t>
      </w:r>
      <w:r>
        <w:t xml:space="preserve">(31.4 </w:t>
      </w:r>
      <w:r>
        <w:rPr>
          <w:spacing w:val="-1"/>
        </w:rPr>
        <w:t>months</w:t>
      </w:r>
      <w:r>
        <w:rPr>
          <w:spacing w:val="-2"/>
        </w:rPr>
        <w:t xml:space="preserve"> </w:t>
      </w:r>
      <w:r>
        <w:rPr>
          <w:spacing w:val="-1"/>
        </w:rPr>
        <w:t>follow up)</w:t>
      </w:r>
      <w:r>
        <w:rPr>
          <w:spacing w:val="1"/>
        </w:rPr>
        <w:t xml:space="preserve"> </w:t>
      </w:r>
      <w:r>
        <w:rPr>
          <w:spacing w:val="-1"/>
        </w:rPr>
        <w:t>showed</w:t>
      </w:r>
      <w:r>
        <w:t xml:space="preserve"> a </w:t>
      </w:r>
      <w:r>
        <w:rPr>
          <w:spacing w:val="-1"/>
        </w:rPr>
        <w:t>48%</w:t>
      </w:r>
      <w:r>
        <w:rPr>
          <w:spacing w:val="1"/>
        </w:rPr>
        <w:t xml:space="preserve"> </w:t>
      </w:r>
      <w:r>
        <w:rPr>
          <w:spacing w:val="-1"/>
        </w:rPr>
        <w:t>reduction</w:t>
      </w:r>
      <w:r>
        <w:t xml:space="preserve"> </w:t>
      </w:r>
      <w:r>
        <w:rPr>
          <w:spacing w:val="-1"/>
        </w:rPr>
        <w:t>in</w:t>
      </w:r>
      <w:r>
        <w:t xml:space="preserve"> </w:t>
      </w:r>
      <w:r>
        <w:rPr>
          <w:spacing w:val="-1"/>
        </w:rPr>
        <w:t>risk</w:t>
      </w:r>
      <w:r>
        <w:rPr>
          <w:spacing w:val="-3"/>
        </w:rPr>
        <w:t xml:space="preserve"> </w:t>
      </w:r>
      <w:r>
        <w:t>of</w:t>
      </w:r>
      <w:r>
        <w:rPr>
          <w:spacing w:val="1"/>
        </w:rPr>
        <w:t xml:space="preserve"> </w:t>
      </w:r>
      <w:r>
        <w:rPr>
          <w:spacing w:val="-1"/>
        </w:rPr>
        <w:t>disease</w:t>
      </w:r>
      <w:r>
        <w:t xml:space="preserve"> </w:t>
      </w:r>
      <w:r>
        <w:rPr>
          <w:spacing w:val="-1"/>
        </w:rPr>
        <w:t>progression</w:t>
      </w:r>
      <w:r>
        <w:t xml:space="preserve"> </w:t>
      </w:r>
      <w:r>
        <w:rPr>
          <w:spacing w:val="-2"/>
        </w:rPr>
        <w:t xml:space="preserve">or </w:t>
      </w:r>
      <w:r>
        <w:rPr>
          <w:spacing w:val="-1"/>
        </w:rPr>
        <w:t>death</w:t>
      </w:r>
      <w:r>
        <w:t xml:space="preserve"> </w:t>
      </w:r>
      <w:r>
        <w:rPr>
          <w:spacing w:val="-1"/>
        </w:rPr>
        <w:t>favo</w:t>
      </w:r>
      <w:r w:rsidR="00AC3004">
        <w:rPr>
          <w:spacing w:val="-1"/>
        </w:rPr>
        <w:t>u</w:t>
      </w:r>
      <w:r>
        <w:rPr>
          <w:spacing w:val="-1"/>
        </w:rPr>
        <w:t>ring</w:t>
      </w:r>
      <w:r>
        <w:rPr>
          <w:spacing w:val="69"/>
        </w:rPr>
        <w:t xml:space="preserve"> </w:t>
      </w:r>
      <w:r>
        <w:rPr>
          <w:spacing w:val="-1"/>
        </w:rPr>
        <w:t>lenalidomide</w:t>
      </w:r>
      <w:r>
        <w:t xml:space="preserve"> </w:t>
      </w:r>
      <w:r>
        <w:rPr>
          <w:spacing w:val="-1"/>
        </w:rPr>
        <w:t xml:space="preserve">(HR </w:t>
      </w:r>
      <w:r>
        <w:t xml:space="preserve">= </w:t>
      </w:r>
      <w:r>
        <w:rPr>
          <w:spacing w:val="-1"/>
        </w:rPr>
        <w:t>0.52;</w:t>
      </w:r>
      <w:r>
        <w:rPr>
          <w:spacing w:val="1"/>
        </w:rPr>
        <w:t xml:space="preserve"> </w:t>
      </w:r>
      <w:r>
        <w:rPr>
          <w:spacing w:val="-1"/>
        </w:rPr>
        <w:t>95%</w:t>
      </w:r>
      <w:r>
        <w:rPr>
          <w:spacing w:val="1"/>
        </w:rPr>
        <w:t xml:space="preserve"> </w:t>
      </w:r>
      <w:r>
        <w:rPr>
          <w:spacing w:val="-1"/>
        </w:rPr>
        <w:t>CI</w:t>
      </w:r>
      <w:r>
        <w:rPr>
          <w:spacing w:val="-4"/>
        </w:rPr>
        <w:t xml:space="preserve"> </w:t>
      </w:r>
      <w:r>
        <w:t>0.41, 0.66;</w:t>
      </w:r>
      <w:r>
        <w:rPr>
          <w:spacing w:val="1"/>
        </w:rPr>
        <w:t xml:space="preserve"> </w:t>
      </w:r>
      <w:r>
        <w:t>p</w:t>
      </w:r>
      <w:r>
        <w:rPr>
          <w:spacing w:val="-2"/>
        </w:rPr>
        <w:t xml:space="preserve"> </w:t>
      </w:r>
      <w:r>
        <w:rPr>
          <w:spacing w:val="-1"/>
        </w:rPr>
        <w:t>&lt;0.001).</w:t>
      </w:r>
      <w:r>
        <w:rPr>
          <w:spacing w:val="-3"/>
        </w:rPr>
        <w:t xml:space="preserve"> </w:t>
      </w:r>
      <w:r>
        <w:t>The</w:t>
      </w:r>
      <w:r>
        <w:rPr>
          <w:spacing w:val="1"/>
        </w:rPr>
        <w:t xml:space="preserve"> </w:t>
      </w:r>
      <w:r>
        <w:rPr>
          <w:spacing w:val="-1"/>
        </w:rPr>
        <w:t>median</w:t>
      </w:r>
      <w:r>
        <w:rPr>
          <w:spacing w:val="-2"/>
        </w:rPr>
        <w:t xml:space="preserve"> </w:t>
      </w:r>
      <w:r>
        <w:rPr>
          <w:spacing w:val="-1"/>
        </w:rPr>
        <w:t>overall</w:t>
      </w:r>
      <w:r>
        <w:rPr>
          <w:spacing w:val="1"/>
        </w:rPr>
        <w:t xml:space="preserve"> </w:t>
      </w:r>
      <w:r>
        <w:rPr>
          <w:spacing w:val="-1"/>
        </w:rPr>
        <w:t>PFS</w:t>
      </w:r>
      <w:r>
        <w:rPr>
          <w:spacing w:val="-3"/>
        </w:rPr>
        <w:t xml:space="preserve"> </w:t>
      </w:r>
      <w:r>
        <w:rPr>
          <w:spacing w:val="-1"/>
        </w:rPr>
        <w:t>was</w:t>
      </w:r>
      <w:r>
        <w:t xml:space="preserve"> 40.1 </w:t>
      </w:r>
      <w:r>
        <w:rPr>
          <w:spacing w:val="-1"/>
        </w:rPr>
        <w:t>months</w:t>
      </w:r>
      <w:r>
        <w:rPr>
          <w:spacing w:val="-2"/>
        </w:rPr>
        <w:t xml:space="preserve"> </w:t>
      </w:r>
      <w:r>
        <w:rPr>
          <w:spacing w:val="-1"/>
        </w:rPr>
        <w:t>(95%</w:t>
      </w:r>
      <w:r>
        <w:rPr>
          <w:spacing w:val="1"/>
        </w:rPr>
        <w:t xml:space="preserve"> </w:t>
      </w:r>
      <w:r>
        <w:rPr>
          <w:spacing w:val="-1"/>
        </w:rPr>
        <w:t>CI</w:t>
      </w:r>
      <w:r w:rsidR="00AB7A9E">
        <w:rPr>
          <w:spacing w:val="-1"/>
        </w:rPr>
        <w:t xml:space="preserve"> </w:t>
      </w:r>
      <w:r>
        <w:t xml:space="preserve">35.7, </w:t>
      </w:r>
      <w:r>
        <w:rPr>
          <w:spacing w:val="-1"/>
        </w:rPr>
        <w:t>42.4)</w:t>
      </w:r>
      <w:r>
        <w:rPr>
          <w:spacing w:val="1"/>
        </w:rPr>
        <w:t xml:space="preserve"> </w:t>
      </w:r>
      <w:r>
        <w:rPr>
          <w:spacing w:val="-1"/>
        </w:rPr>
        <w:t>in</w:t>
      </w:r>
      <w:r>
        <w:t xml:space="preserve"> </w:t>
      </w:r>
      <w:r>
        <w:rPr>
          <w:spacing w:val="-1"/>
        </w:rPr>
        <w:t>the</w:t>
      </w:r>
      <w:r>
        <w:t xml:space="preserve"> </w:t>
      </w:r>
      <w:r>
        <w:rPr>
          <w:spacing w:val="-1"/>
        </w:rPr>
        <w:t>lenalidomide</w:t>
      </w:r>
      <w:r>
        <w:t xml:space="preserve"> </w:t>
      </w:r>
      <w:r>
        <w:rPr>
          <w:spacing w:val="-1"/>
        </w:rPr>
        <w:t>arm</w:t>
      </w:r>
      <w:r>
        <w:rPr>
          <w:spacing w:val="-4"/>
        </w:rPr>
        <w:t xml:space="preserve"> </w:t>
      </w:r>
      <w:r>
        <w:rPr>
          <w:spacing w:val="-1"/>
        </w:rPr>
        <w:t>versus</w:t>
      </w:r>
      <w:r>
        <w:rPr>
          <w:spacing w:val="1"/>
        </w:rPr>
        <w:t xml:space="preserve"> </w:t>
      </w:r>
      <w:r>
        <w:t xml:space="preserve">22.8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20.7, 27.4)</w:t>
      </w:r>
      <w:r>
        <w:rPr>
          <w:spacing w:val="1"/>
        </w:rPr>
        <w:t xml:space="preserve"> </w:t>
      </w:r>
      <w:r>
        <w:rPr>
          <w:spacing w:val="-1"/>
        </w:rPr>
        <w:t>in</w:t>
      </w:r>
      <w:r>
        <w:t xml:space="preserve"> </w:t>
      </w:r>
      <w:r>
        <w:rPr>
          <w:spacing w:val="-1"/>
        </w:rPr>
        <w:t>the</w:t>
      </w:r>
      <w:r>
        <w:rPr>
          <w:spacing w:val="-2"/>
        </w:rPr>
        <w:t xml:space="preserve"> </w:t>
      </w:r>
      <w:r>
        <w:rPr>
          <w:spacing w:val="-1"/>
        </w:rPr>
        <w:t>placebo</w:t>
      </w:r>
      <w:r>
        <w:t xml:space="preserve"> </w:t>
      </w:r>
      <w:r>
        <w:rPr>
          <w:spacing w:val="-2"/>
        </w:rPr>
        <w:t>arm.</w:t>
      </w:r>
    </w:p>
    <w:p w:rsidR="00506994" w:rsidRDefault="00506994" w:rsidP="00AB7A9E">
      <w:pPr>
        <w:rPr>
          <w:rFonts w:eastAsia="Times New Roman"/>
        </w:rPr>
      </w:pPr>
    </w:p>
    <w:p w:rsidR="00506994" w:rsidRDefault="00506994" w:rsidP="004560FA">
      <w:pPr>
        <w:pStyle w:val="BodyText"/>
        <w:tabs>
          <w:tab w:val="left" w:pos="9639"/>
        </w:tabs>
        <w:ind w:right="220"/>
      </w:pPr>
      <w:r>
        <w:t>The</w:t>
      </w:r>
      <w:r>
        <w:rPr>
          <w:spacing w:val="-2"/>
        </w:rPr>
        <w:t xml:space="preserve"> </w:t>
      </w:r>
      <w:r>
        <w:rPr>
          <w:spacing w:val="-1"/>
        </w:rPr>
        <w:t>PFS benefit</w:t>
      </w:r>
      <w:r>
        <w:rPr>
          <w:spacing w:val="1"/>
        </w:rPr>
        <w:t xml:space="preserve"> </w:t>
      </w:r>
      <w:r>
        <w:rPr>
          <w:spacing w:val="-2"/>
        </w:rPr>
        <w:t>was</w:t>
      </w:r>
      <w:r>
        <w:t xml:space="preserve"> </w:t>
      </w:r>
      <w:r>
        <w:rPr>
          <w:spacing w:val="-1"/>
        </w:rPr>
        <w:t>less</w:t>
      </w:r>
      <w:r>
        <w:rPr>
          <w:spacing w:val="-2"/>
        </w:rPr>
        <w:t xml:space="preserve"> </w:t>
      </w:r>
      <w:r>
        <w:t>in</w:t>
      </w:r>
      <w:r>
        <w:rPr>
          <w:spacing w:val="-3"/>
        </w:rPr>
        <w:t xml:space="preserve"> </w:t>
      </w:r>
      <w:r>
        <w:t>the</w:t>
      </w:r>
      <w:r>
        <w:rPr>
          <w:spacing w:val="1"/>
        </w:rPr>
        <w:t xml:space="preserve"> </w:t>
      </w:r>
      <w:r>
        <w:rPr>
          <w:spacing w:val="-1"/>
        </w:rPr>
        <w:t>subgroup</w:t>
      </w:r>
      <w:r>
        <w:t xml:space="preserve"> </w:t>
      </w:r>
      <w:r>
        <w:rPr>
          <w:spacing w:val="-2"/>
        </w:rPr>
        <w:t>of</w:t>
      </w:r>
      <w:r>
        <w:rPr>
          <w:spacing w:val="1"/>
        </w:rPr>
        <w:t xml:space="preserve"> </w:t>
      </w:r>
      <w:r>
        <w:rPr>
          <w:spacing w:val="-1"/>
        </w:rPr>
        <w:t>patients</w:t>
      </w:r>
      <w:r>
        <w:t xml:space="preserve"> </w:t>
      </w:r>
      <w:r>
        <w:rPr>
          <w:spacing w:val="-1"/>
        </w:rPr>
        <w:t>with</w:t>
      </w:r>
      <w:r>
        <w:t xml:space="preserve"> </w:t>
      </w:r>
      <w:r>
        <w:rPr>
          <w:spacing w:val="-1"/>
        </w:rPr>
        <w:t>CR than</w:t>
      </w:r>
      <w:r>
        <w:t xml:space="preserve"> </w:t>
      </w:r>
      <w:r>
        <w:rPr>
          <w:spacing w:val="-1"/>
        </w:rPr>
        <w:t>in</w:t>
      </w:r>
      <w:r>
        <w:t xml:space="preserve"> </w:t>
      </w:r>
      <w:r>
        <w:rPr>
          <w:spacing w:val="-1"/>
        </w:rPr>
        <w:t>the</w:t>
      </w:r>
      <w:r>
        <w:t xml:space="preserve"> </w:t>
      </w:r>
      <w:r>
        <w:rPr>
          <w:spacing w:val="-1"/>
        </w:rPr>
        <w:t>subgroup</w:t>
      </w:r>
      <w:r>
        <w:rPr>
          <w:spacing w:val="-5"/>
        </w:rPr>
        <w:t xml:space="preserve"> </w:t>
      </w:r>
      <w:r>
        <w:t>of</w:t>
      </w:r>
      <w:r>
        <w:rPr>
          <w:spacing w:val="1"/>
        </w:rPr>
        <w:t xml:space="preserve"> </w:t>
      </w:r>
      <w:r>
        <w:rPr>
          <w:spacing w:val="-1"/>
        </w:rPr>
        <w:t>patients</w:t>
      </w:r>
      <w:r>
        <w:t xml:space="preserve"> </w:t>
      </w:r>
      <w:r>
        <w:rPr>
          <w:spacing w:val="-1"/>
        </w:rPr>
        <w:t>who</w:t>
      </w:r>
      <w:r>
        <w:t xml:space="preserve"> </w:t>
      </w:r>
      <w:r>
        <w:rPr>
          <w:spacing w:val="-1"/>
        </w:rPr>
        <w:t>had</w:t>
      </w:r>
      <w:r>
        <w:t xml:space="preserve"> not</w:t>
      </w:r>
      <w:r>
        <w:rPr>
          <w:spacing w:val="79"/>
        </w:rPr>
        <w:t xml:space="preserve"> </w:t>
      </w:r>
      <w:r>
        <w:rPr>
          <w:spacing w:val="-1"/>
        </w:rPr>
        <w:t>achieved</w:t>
      </w:r>
      <w:r>
        <w:t xml:space="preserve"> a </w:t>
      </w:r>
      <w:r>
        <w:rPr>
          <w:spacing w:val="-1"/>
        </w:rPr>
        <w:t>CR.</w:t>
      </w:r>
    </w:p>
    <w:p w:rsidR="00506994" w:rsidRDefault="00506994" w:rsidP="004560FA">
      <w:pPr>
        <w:tabs>
          <w:tab w:val="left" w:pos="9639"/>
        </w:tabs>
        <w:rPr>
          <w:rFonts w:eastAsia="Times New Roman"/>
        </w:rPr>
      </w:pPr>
    </w:p>
    <w:p w:rsidR="00506994" w:rsidRDefault="00506994" w:rsidP="004560FA">
      <w:pPr>
        <w:pStyle w:val="BodyText"/>
        <w:tabs>
          <w:tab w:val="left" w:pos="9639"/>
        </w:tabs>
        <w:ind w:right="220"/>
      </w:pPr>
      <w:r>
        <w:t>The</w:t>
      </w:r>
      <w:r>
        <w:rPr>
          <w:spacing w:val="-2"/>
        </w:rPr>
        <w:t xml:space="preserve"> </w:t>
      </w:r>
      <w:r>
        <w:rPr>
          <w:spacing w:val="-1"/>
        </w:rPr>
        <w:t>updated</w:t>
      </w:r>
      <w:r>
        <w:t xml:space="preserve"> </w:t>
      </w:r>
      <w:r>
        <w:rPr>
          <w:spacing w:val="-2"/>
        </w:rPr>
        <w:t>PFS,</w:t>
      </w:r>
      <w:r>
        <w:t xml:space="preserve"> </w:t>
      </w:r>
      <w:r>
        <w:rPr>
          <w:spacing w:val="-1"/>
        </w:rPr>
        <w:t>using</w:t>
      </w:r>
      <w:r>
        <w:rPr>
          <w:spacing w:val="-3"/>
        </w:rPr>
        <w:t xml:space="preserve"> </w:t>
      </w:r>
      <w:r>
        <w:t>a</w:t>
      </w:r>
      <w:r>
        <w:rPr>
          <w:spacing w:val="1"/>
        </w:rPr>
        <w:t xml:space="preserve"> </w:t>
      </w:r>
      <w:r>
        <w:rPr>
          <w:spacing w:val="-1"/>
        </w:rPr>
        <w:t>cut-off</w:t>
      </w:r>
      <w:r>
        <w:rPr>
          <w:spacing w:val="1"/>
        </w:rPr>
        <w:t xml:space="preserve"> </w:t>
      </w:r>
      <w:r>
        <w:t>of</w:t>
      </w:r>
      <w:r>
        <w:rPr>
          <w:spacing w:val="1"/>
        </w:rPr>
        <w:t xml:space="preserve"> </w:t>
      </w:r>
      <w:r>
        <w:t xml:space="preserve">1 </w:t>
      </w:r>
      <w:r>
        <w:rPr>
          <w:spacing w:val="-1"/>
        </w:rPr>
        <w:t>February</w:t>
      </w:r>
      <w:r>
        <w:rPr>
          <w:spacing w:val="-3"/>
        </w:rPr>
        <w:t xml:space="preserve"> </w:t>
      </w:r>
      <w:r>
        <w:t>2016</w:t>
      </w:r>
      <w:r>
        <w:rPr>
          <w:spacing w:val="-3"/>
        </w:rPr>
        <w:t xml:space="preserve"> </w:t>
      </w:r>
      <w:r>
        <w:rPr>
          <w:spacing w:val="-1"/>
        </w:rPr>
        <w:t>(96.7</w:t>
      </w:r>
      <w:r>
        <w:t xml:space="preserve"> </w:t>
      </w:r>
      <w:r>
        <w:rPr>
          <w:spacing w:val="-1"/>
        </w:rPr>
        <w:t>months</w:t>
      </w:r>
      <w:r>
        <w:rPr>
          <w:spacing w:val="1"/>
        </w:rPr>
        <w:t xml:space="preserve"> </w:t>
      </w:r>
      <w:r>
        <w:rPr>
          <w:spacing w:val="-1"/>
        </w:rPr>
        <w:t xml:space="preserve">follow </w:t>
      </w:r>
      <w:r>
        <w:t>up)</w:t>
      </w:r>
      <w:r>
        <w:rPr>
          <w:spacing w:val="-1"/>
        </w:rPr>
        <w:t xml:space="preserve"> continues</w:t>
      </w:r>
      <w:r>
        <w:rPr>
          <w:spacing w:val="-2"/>
        </w:rPr>
        <w:t xml:space="preserve"> </w:t>
      </w:r>
      <w:r>
        <w:t xml:space="preserve">to </w:t>
      </w:r>
      <w:r>
        <w:rPr>
          <w:spacing w:val="-1"/>
        </w:rPr>
        <w:t xml:space="preserve">show </w:t>
      </w:r>
      <w:r>
        <w:t xml:space="preserve">a </w:t>
      </w:r>
      <w:r>
        <w:rPr>
          <w:spacing w:val="-1"/>
        </w:rPr>
        <w:t>PFS</w:t>
      </w:r>
      <w:r>
        <w:rPr>
          <w:spacing w:val="65"/>
        </w:rPr>
        <w:t xml:space="preserve"> </w:t>
      </w:r>
      <w:r>
        <w:rPr>
          <w:spacing w:val="-1"/>
        </w:rPr>
        <w:t>advantage:</w:t>
      </w:r>
      <w:r>
        <w:rPr>
          <w:spacing w:val="1"/>
        </w:rPr>
        <w:t xml:space="preserve"> </w:t>
      </w:r>
      <w:r>
        <w:rPr>
          <w:spacing w:val="-1"/>
        </w:rPr>
        <w:t xml:space="preserve">HR </w:t>
      </w:r>
      <w:r>
        <w:t>=</w:t>
      </w:r>
      <w:r>
        <w:rPr>
          <w:spacing w:val="1"/>
        </w:rPr>
        <w:t xml:space="preserve"> </w:t>
      </w:r>
      <w:r>
        <w:rPr>
          <w:spacing w:val="-1"/>
        </w:rPr>
        <w:t>0.57</w:t>
      </w:r>
      <w:r>
        <w:t xml:space="preserve"> </w:t>
      </w:r>
      <w:r>
        <w:rPr>
          <w:spacing w:val="-2"/>
        </w:rPr>
        <w:t>(95%</w:t>
      </w:r>
      <w:r>
        <w:rPr>
          <w:spacing w:val="1"/>
        </w:rPr>
        <w:t xml:space="preserve"> </w:t>
      </w:r>
      <w:r>
        <w:rPr>
          <w:spacing w:val="-1"/>
        </w:rPr>
        <w:t>CI</w:t>
      </w:r>
      <w:r>
        <w:rPr>
          <w:spacing w:val="-4"/>
        </w:rPr>
        <w:t xml:space="preserve"> </w:t>
      </w:r>
      <w:r>
        <w:t>0.47, 0.68;</w:t>
      </w:r>
      <w:r>
        <w:rPr>
          <w:spacing w:val="1"/>
        </w:rPr>
        <w:t xml:space="preserve"> </w:t>
      </w:r>
      <w:r>
        <w:t>p</w:t>
      </w:r>
      <w:r>
        <w:rPr>
          <w:spacing w:val="-3"/>
        </w:rPr>
        <w:t xml:space="preserve"> </w:t>
      </w:r>
      <w:r>
        <w:t xml:space="preserve">&lt; </w:t>
      </w:r>
      <w:r>
        <w:rPr>
          <w:spacing w:val="-1"/>
        </w:rPr>
        <w:t>0.001).</w:t>
      </w:r>
      <w:r>
        <w:t xml:space="preserve"> </w:t>
      </w:r>
      <w:r>
        <w:rPr>
          <w:spacing w:val="-1"/>
        </w:rPr>
        <w:t>The</w:t>
      </w:r>
      <w:r>
        <w:t xml:space="preserve"> </w:t>
      </w:r>
      <w:r>
        <w:rPr>
          <w:spacing w:val="-1"/>
        </w:rPr>
        <w:t>median</w:t>
      </w:r>
      <w:r>
        <w:t xml:space="preserve"> </w:t>
      </w:r>
      <w:r>
        <w:rPr>
          <w:spacing w:val="-1"/>
        </w:rPr>
        <w:t>overall</w:t>
      </w:r>
      <w:r>
        <w:rPr>
          <w:spacing w:val="-2"/>
        </w:rPr>
        <w:t xml:space="preserve"> </w:t>
      </w:r>
      <w:r>
        <w:rPr>
          <w:spacing w:val="-1"/>
        </w:rPr>
        <w:t>PFS</w:t>
      </w:r>
      <w:r>
        <w:rPr>
          <w:spacing w:val="-3"/>
        </w:rPr>
        <w:t xml:space="preserve"> </w:t>
      </w:r>
      <w:r>
        <w:rPr>
          <w:spacing w:val="-1"/>
        </w:rPr>
        <w:t>was</w:t>
      </w:r>
      <w:r>
        <w:rPr>
          <w:spacing w:val="1"/>
        </w:rPr>
        <w:t xml:space="preserve"> </w:t>
      </w:r>
      <w:r>
        <w:t xml:space="preserve">44.4 </w:t>
      </w:r>
      <w:r>
        <w:rPr>
          <w:spacing w:val="-1"/>
        </w:rPr>
        <w:t>months</w:t>
      </w:r>
      <w:r>
        <w:rPr>
          <w:spacing w:val="-2"/>
        </w:rPr>
        <w:t xml:space="preserve"> </w:t>
      </w:r>
      <w:r>
        <w:t>(39.6,</w:t>
      </w:r>
      <w:r>
        <w:rPr>
          <w:spacing w:val="-3"/>
        </w:rPr>
        <w:t xml:space="preserve"> </w:t>
      </w:r>
      <w:r>
        <w:rPr>
          <w:spacing w:val="-1"/>
        </w:rPr>
        <w:t>52.0)</w:t>
      </w:r>
      <w:r>
        <w:rPr>
          <w:spacing w:val="59"/>
        </w:rPr>
        <w:t xml:space="preserve"> </w:t>
      </w:r>
      <w:r>
        <w:t xml:space="preserve">in </w:t>
      </w:r>
      <w:r>
        <w:rPr>
          <w:spacing w:val="-1"/>
        </w:rPr>
        <w:t>the</w:t>
      </w:r>
      <w:r>
        <w:t xml:space="preserve"> </w:t>
      </w:r>
      <w:r>
        <w:rPr>
          <w:spacing w:val="-1"/>
        </w:rPr>
        <w:t>lenalidomide</w:t>
      </w:r>
      <w:r>
        <w:t xml:space="preserve"> arm</w:t>
      </w:r>
      <w:r>
        <w:rPr>
          <w:spacing w:val="-4"/>
        </w:rPr>
        <w:t xml:space="preserve"> </w:t>
      </w:r>
      <w:r>
        <w:rPr>
          <w:spacing w:val="-1"/>
        </w:rPr>
        <w:t>versus</w:t>
      </w:r>
      <w:r>
        <w:t xml:space="preserve"> 23.8</w:t>
      </w:r>
      <w:r>
        <w:rPr>
          <w:spacing w:val="-3"/>
        </w:rPr>
        <w:t xml:space="preserve"> </w:t>
      </w:r>
      <w:r>
        <w:rPr>
          <w:spacing w:val="-1"/>
        </w:rPr>
        <w:t>months</w:t>
      </w:r>
      <w:r>
        <w:t xml:space="preserve"> </w:t>
      </w:r>
      <w:r>
        <w:rPr>
          <w:spacing w:val="-1"/>
        </w:rPr>
        <w:t>(95%</w:t>
      </w:r>
      <w:r>
        <w:rPr>
          <w:spacing w:val="1"/>
        </w:rPr>
        <w:t xml:space="preserve"> </w:t>
      </w:r>
      <w:r>
        <w:rPr>
          <w:spacing w:val="-1"/>
        </w:rPr>
        <w:t>CI</w:t>
      </w:r>
      <w:r>
        <w:rPr>
          <w:spacing w:val="-4"/>
        </w:rPr>
        <w:t xml:space="preserve"> </w:t>
      </w:r>
      <w:r>
        <w:t xml:space="preserve">21.2, </w:t>
      </w:r>
      <w:r>
        <w:rPr>
          <w:spacing w:val="-1"/>
        </w:rPr>
        <w:t>27.3)</w:t>
      </w:r>
      <w:r>
        <w:rPr>
          <w:spacing w:val="1"/>
        </w:rPr>
        <w:t xml:space="preserve"> </w:t>
      </w:r>
      <w:r>
        <w:t>in</w:t>
      </w:r>
      <w:r>
        <w:rPr>
          <w:spacing w:val="-2"/>
        </w:rPr>
        <w:t xml:space="preserve"> </w:t>
      </w:r>
      <w:r>
        <w:t>the</w:t>
      </w:r>
      <w:r>
        <w:rPr>
          <w:spacing w:val="-2"/>
        </w:rPr>
        <w:t xml:space="preserve"> </w:t>
      </w:r>
      <w:r>
        <w:rPr>
          <w:spacing w:val="-1"/>
        </w:rPr>
        <w:t>placebo</w:t>
      </w:r>
      <w:r>
        <w:t xml:space="preserve"> </w:t>
      </w:r>
      <w:r>
        <w:rPr>
          <w:spacing w:val="-2"/>
        </w:rPr>
        <w:t>arm.</w:t>
      </w:r>
      <w:r>
        <w:t xml:space="preserve"> </w:t>
      </w:r>
      <w:r>
        <w:rPr>
          <w:spacing w:val="-1"/>
        </w:rPr>
        <w:t>For</w:t>
      </w:r>
      <w:r>
        <w:rPr>
          <w:spacing w:val="1"/>
        </w:rPr>
        <w:t xml:space="preserve"> </w:t>
      </w:r>
      <w:r>
        <w:rPr>
          <w:spacing w:val="-1"/>
        </w:rPr>
        <w:t>PFS2,</w:t>
      </w:r>
      <w:r>
        <w:t xml:space="preserve"> the </w:t>
      </w:r>
      <w:r>
        <w:rPr>
          <w:spacing w:val="-1"/>
        </w:rPr>
        <w:t>observed</w:t>
      </w:r>
      <w:r>
        <w:rPr>
          <w:spacing w:val="57"/>
        </w:rPr>
        <w:t xml:space="preserve"> </w:t>
      </w:r>
      <w:r>
        <w:rPr>
          <w:spacing w:val="-1"/>
        </w:rPr>
        <w:t>HR was</w:t>
      </w:r>
      <w:r>
        <w:t xml:space="preserve"> 0.80 </w:t>
      </w:r>
      <w:r>
        <w:rPr>
          <w:spacing w:val="-1"/>
        </w:rPr>
        <w:t>(95%</w:t>
      </w:r>
      <w:r>
        <w:rPr>
          <w:spacing w:val="1"/>
        </w:rPr>
        <w:t xml:space="preserve"> </w:t>
      </w:r>
      <w:r>
        <w:rPr>
          <w:spacing w:val="-1"/>
        </w:rPr>
        <w:t>CI</w:t>
      </w:r>
      <w:r>
        <w:rPr>
          <w:spacing w:val="-4"/>
        </w:rPr>
        <w:t xml:space="preserve"> </w:t>
      </w:r>
      <w:r>
        <w:t>0.66, 0.98;</w:t>
      </w:r>
      <w:r>
        <w:rPr>
          <w:spacing w:val="1"/>
        </w:rPr>
        <w:t xml:space="preserve"> </w:t>
      </w:r>
      <w:r>
        <w:t>p</w:t>
      </w:r>
      <w:r>
        <w:rPr>
          <w:spacing w:val="-3"/>
        </w:rPr>
        <w:t xml:space="preserve"> </w:t>
      </w:r>
      <w:r>
        <w:t>=</w:t>
      </w:r>
      <w:r>
        <w:rPr>
          <w:spacing w:val="1"/>
        </w:rPr>
        <w:t xml:space="preserve"> </w:t>
      </w:r>
      <w:r>
        <w:rPr>
          <w:spacing w:val="-1"/>
        </w:rPr>
        <w:t>0.026)</w:t>
      </w:r>
      <w:r>
        <w:rPr>
          <w:spacing w:val="-2"/>
        </w:rPr>
        <w:t xml:space="preserve"> </w:t>
      </w:r>
      <w:r>
        <w:t>for</w:t>
      </w:r>
      <w:r>
        <w:rPr>
          <w:spacing w:val="-2"/>
        </w:rPr>
        <w:t xml:space="preserve"> </w:t>
      </w:r>
      <w:r>
        <w:rPr>
          <w:spacing w:val="-1"/>
        </w:rPr>
        <w:t>lenalidomide</w:t>
      </w:r>
      <w:r>
        <w:t xml:space="preserve"> </w:t>
      </w:r>
      <w:r>
        <w:rPr>
          <w:spacing w:val="-1"/>
        </w:rPr>
        <w:t>versus</w:t>
      </w:r>
      <w:r>
        <w:t xml:space="preserve"> </w:t>
      </w:r>
      <w:r>
        <w:rPr>
          <w:spacing w:val="-1"/>
        </w:rPr>
        <w:t>placebo.</w:t>
      </w:r>
      <w:r>
        <w:rPr>
          <w:spacing w:val="-3"/>
        </w:rPr>
        <w:t xml:space="preserve"> </w:t>
      </w:r>
      <w:r>
        <w:t>The</w:t>
      </w:r>
      <w:r>
        <w:rPr>
          <w:spacing w:val="-2"/>
        </w:rPr>
        <w:t xml:space="preserve"> </w:t>
      </w:r>
      <w:r>
        <w:rPr>
          <w:spacing w:val="-1"/>
        </w:rPr>
        <w:t>median</w:t>
      </w:r>
      <w:r>
        <w:t xml:space="preserve"> </w:t>
      </w:r>
      <w:r>
        <w:rPr>
          <w:spacing w:val="-1"/>
        </w:rPr>
        <w:t>overall</w:t>
      </w:r>
      <w:r>
        <w:rPr>
          <w:spacing w:val="1"/>
        </w:rPr>
        <w:t xml:space="preserve"> </w:t>
      </w:r>
      <w:r>
        <w:rPr>
          <w:spacing w:val="-1"/>
        </w:rPr>
        <w:t>PFS2</w:t>
      </w:r>
      <w:r>
        <w:t xml:space="preserve"> </w:t>
      </w:r>
      <w:r>
        <w:rPr>
          <w:spacing w:val="-1"/>
        </w:rPr>
        <w:t>was</w:t>
      </w:r>
      <w:r w:rsidR="00AB7A9E">
        <w:rPr>
          <w:spacing w:val="-1"/>
        </w:rPr>
        <w:t xml:space="preserve"> </w:t>
      </w:r>
      <w:r w:rsidR="00C938ED">
        <w:rPr>
          <w:spacing w:val="-1"/>
        </w:rPr>
        <w:t xml:space="preserve">69.9 </w:t>
      </w:r>
      <w:r>
        <w:rPr>
          <w:spacing w:val="-1"/>
        </w:rPr>
        <w:t>months</w:t>
      </w:r>
      <w:r>
        <w:rPr>
          <w:spacing w:val="1"/>
        </w:rPr>
        <w:t xml:space="preserve"> </w:t>
      </w:r>
      <w:r>
        <w:rPr>
          <w:spacing w:val="-1"/>
        </w:rPr>
        <w:t>(95%</w:t>
      </w:r>
      <w:r>
        <w:rPr>
          <w:spacing w:val="1"/>
        </w:rPr>
        <w:t xml:space="preserve"> </w:t>
      </w:r>
      <w:r>
        <w:rPr>
          <w:spacing w:val="-1"/>
        </w:rPr>
        <w:t>CI</w:t>
      </w:r>
      <w:r>
        <w:rPr>
          <w:spacing w:val="-4"/>
        </w:rPr>
        <w:t xml:space="preserve"> </w:t>
      </w:r>
      <w:r>
        <w:t>58.1, 80.0)</w:t>
      </w:r>
      <w:r>
        <w:rPr>
          <w:spacing w:val="-2"/>
        </w:rPr>
        <w:t xml:space="preserve"> </w:t>
      </w:r>
      <w:r>
        <w:t xml:space="preserve">in </w:t>
      </w:r>
      <w:r>
        <w:rPr>
          <w:spacing w:val="-1"/>
        </w:rPr>
        <w:t>the</w:t>
      </w:r>
      <w:r>
        <w:rPr>
          <w:spacing w:val="-2"/>
        </w:rPr>
        <w:t xml:space="preserve"> </w:t>
      </w:r>
      <w:r>
        <w:rPr>
          <w:spacing w:val="-1"/>
        </w:rPr>
        <w:t>lenalidomide</w:t>
      </w:r>
      <w:r>
        <w:t xml:space="preserve"> </w:t>
      </w:r>
      <w:r>
        <w:rPr>
          <w:spacing w:val="-1"/>
        </w:rPr>
        <w:t>arm</w:t>
      </w:r>
      <w:r>
        <w:rPr>
          <w:spacing w:val="-2"/>
        </w:rPr>
        <w:t xml:space="preserve"> </w:t>
      </w:r>
      <w:r>
        <w:rPr>
          <w:spacing w:val="-1"/>
        </w:rPr>
        <w:t>versus</w:t>
      </w:r>
      <w:r>
        <w:t xml:space="preserve"> 58.4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51.1, 65.0)</w:t>
      </w:r>
      <w:r>
        <w:rPr>
          <w:spacing w:val="-2"/>
        </w:rPr>
        <w:t xml:space="preserve"> </w:t>
      </w:r>
      <w:r>
        <w:t xml:space="preserve">in </w:t>
      </w:r>
      <w:r>
        <w:rPr>
          <w:spacing w:val="-1"/>
        </w:rPr>
        <w:t>the</w:t>
      </w:r>
      <w:r>
        <w:rPr>
          <w:spacing w:val="51"/>
        </w:rPr>
        <w:t xml:space="preserve"> </w:t>
      </w:r>
      <w:r>
        <w:rPr>
          <w:spacing w:val="-1"/>
        </w:rPr>
        <w:t>placebo</w:t>
      </w:r>
      <w:r>
        <w:t xml:space="preserve"> </w:t>
      </w:r>
      <w:r>
        <w:rPr>
          <w:spacing w:val="-2"/>
        </w:rPr>
        <w:t>arm.</w:t>
      </w:r>
      <w:r>
        <w:t xml:space="preserve"> </w:t>
      </w:r>
      <w:r>
        <w:rPr>
          <w:spacing w:val="-1"/>
        </w:rPr>
        <w:t>For</w:t>
      </w:r>
      <w:r>
        <w:rPr>
          <w:spacing w:val="1"/>
        </w:rPr>
        <w:t xml:space="preserve"> </w:t>
      </w:r>
      <w:r>
        <w:rPr>
          <w:spacing w:val="-1"/>
        </w:rPr>
        <w:t>OS,</w:t>
      </w:r>
      <w:r>
        <w:t xml:space="preserve"> the</w:t>
      </w:r>
      <w:r>
        <w:rPr>
          <w:spacing w:val="-2"/>
        </w:rPr>
        <w:t xml:space="preserve"> </w:t>
      </w:r>
      <w:r>
        <w:rPr>
          <w:spacing w:val="-1"/>
        </w:rPr>
        <w:t>observed</w:t>
      </w:r>
      <w:r>
        <w:t xml:space="preserve"> </w:t>
      </w:r>
      <w:r>
        <w:rPr>
          <w:spacing w:val="-1"/>
        </w:rPr>
        <w:t>HR was</w:t>
      </w:r>
      <w:r>
        <w:t xml:space="preserve"> </w:t>
      </w:r>
      <w:r>
        <w:rPr>
          <w:spacing w:val="-1"/>
        </w:rPr>
        <w:t>0.90</w:t>
      </w:r>
      <w:r>
        <w:rPr>
          <w:spacing w:val="-2"/>
        </w:rPr>
        <w:t xml:space="preserve"> </w:t>
      </w:r>
      <w:r>
        <w:rPr>
          <w:spacing w:val="-1"/>
        </w:rPr>
        <w:t>(95%</w:t>
      </w:r>
      <w:r>
        <w:rPr>
          <w:spacing w:val="1"/>
        </w:rPr>
        <w:t xml:space="preserve"> </w:t>
      </w:r>
      <w:r>
        <w:rPr>
          <w:spacing w:val="-1"/>
        </w:rPr>
        <w:t>CI</w:t>
      </w:r>
      <w:r>
        <w:rPr>
          <w:spacing w:val="-4"/>
        </w:rPr>
        <w:t xml:space="preserve"> </w:t>
      </w:r>
      <w:r>
        <w:t>0.72, 1.13;</w:t>
      </w:r>
      <w:r>
        <w:rPr>
          <w:spacing w:val="1"/>
        </w:rPr>
        <w:t xml:space="preserve"> </w:t>
      </w:r>
      <w:r>
        <w:t>p</w:t>
      </w:r>
      <w:r>
        <w:rPr>
          <w:spacing w:val="-2"/>
        </w:rPr>
        <w:t xml:space="preserve"> </w:t>
      </w:r>
      <w:r>
        <w:t xml:space="preserve">= </w:t>
      </w:r>
      <w:r>
        <w:rPr>
          <w:spacing w:val="-1"/>
        </w:rPr>
        <w:t>0.355)</w:t>
      </w:r>
      <w:r>
        <w:rPr>
          <w:spacing w:val="-2"/>
        </w:rPr>
        <w:t xml:space="preserve"> </w:t>
      </w:r>
      <w:r>
        <w:t>for</w:t>
      </w:r>
      <w:r>
        <w:rPr>
          <w:spacing w:val="-1"/>
        </w:rPr>
        <w:t xml:space="preserve"> lenalidomide</w:t>
      </w:r>
      <w:r>
        <w:t xml:space="preserve"> </w:t>
      </w:r>
      <w:r>
        <w:rPr>
          <w:spacing w:val="-1"/>
        </w:rPr>
        <w:t>versus</w:t>
      </w:r>
      <w:r>
        <w:rPr>
          <w:spacing w:val="57"/>
        </w:rPr>
        <w:t xml:space="preserve"> </w:t>
      </w:r>
      <w:r>
        <w:rPr>
          <w:spacing w:val="-1"/>
        </w:rPr>
        <w:t>placebo.</w:t>
      </w:r>
      <w:r>
        <w:rPr>
          <w:spacing w:val="-2"/>
        </w:rPr>
        <w:t xml:space="preserve"> </w:t>
      </w:r>
      <w:r>
        <w:rPr>
          <w:spacing w:val="-1"/>
        </w:rPr>
        <w:t>The</w:t>
      </w:r>
      <w:r>
        <w:t xml:space="preserve"> </w:t>
      </w:r>
      <w:r>
        <w:rPr>
          <w:spacing w:val="-1"/>
        </w:rPr>
        <w:t>median</w:t>
      </w:r>
      <w:r>
        <w:t xml:space="preserve"> </w:t>
      </w:r>
      <w:r>
        <w:rPr>
          <w:spacing w:val="-1"/>
        </w:rPr>
        <w:t>overall</w:t>
      </w:r>
      <w:r>
        <w:rPr>
          <w:spacing w:val="1"/>
        </w:rPr>
        <w:t xml:space="preserve"> </w:t>
      </w:r>
      <w:r>
        <w:rPr>
          <w:spacing w:val="-1"/>
        </w:rPr>
        <w:t>survival</w:t>
      </w:r>
      <w:r>
        <w:rPr>
          <w:spacing w:val="1"/>
        </w:rPr>
        <w:t xml:space="preserve"> </w:t>
      </w:r>
      <w:r>
        <w:rPr>
          <w:spacing w:val="-1"/>
        </w:rPr>
        <w:t>time</w:t>
      </w:r>
      <w:r>
        <w:t xml:space="preserve"> </w:t>
      </w:r>
      <w:r>
        <w:rPr>
          <w:spacing w:val="-1"/>
        </w:rPr>
        <w:t>was</w:t>
      </w:r>
      <w:r>
        <w:t xml:space="preserve"> </w:t>
      </w:r>
      <w:r>
        <w:rPr>
          <w:spacing w:val="-1"/>
        </w:rPr>
        <w:t>105.9</w:t>
      </w:r>
      <w:r>
        <w:t xml:space="preserve">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 xml:space="preserve">88.8, </w:t>
      </w:r>
      <w:r>
        <w:rPr>
          <w:spacing w:val="-1"/>
        </w:rPr>
        <w:t>NE)</w:t>
      </w:r>
      <w:r>
        <w:rPr>
          <w:spacing w:val="1"/>
        </w:rPr>
        <w:t xml:space="preserve"> </w:t>
      </w:r>
      <w:r>
        <w:t>in</w:t>
      </w:r>
      <w:r>
        <w:rPr>
          <w:spacing w:val="-3"/>
        </w:rPr>
        <w:t xml:space="preserve"> </w:t>
      </w:r>
      <w:r>
        <w:t>the</w:t>
      </w:r>
      <w:r>
        <w:rPr>
          <w:spacing w:val="-2"/>
        </w:rPr>
        <w:t xml:space="preserve"> </w:t>
      </w:r>
      <w:r>
        <w:rPr>
          <w:spacing w:val="-1"/>
        </w:rPr>
        <w:t>lenalidomide</w:t>
      </w:r>
      <w:r>
        <w:rPr>
          <w:spacing w:val="1"/>
        </w:rPr>
        <w:t xml:space="preserve"> </w:t>
      </w:r>
      <w:r>
        <w:t>arm</w:t>
      </w:r>
      <w:r>
        <w:rPr>
          <w:spacing w:val="65"/>
        </w:rPr>
        <w:t xml:space="preserve"> </w:t>
      </w:r>
      <w:r>
        <w:rPr>
          <w:spacing w:val="-1"/>
        </w:rPr>
        <w:t>versus</w:t>
      </w:r>
      <w:r>
        <w:t xml:space="preserve"> 88.1 </w:t>
      </w:r>
      <w:r>
        <w:rPr>
          <w:spacing w:val="-1"/>
        </w:rPr>
        <w:t>months</w:t>
      </w:r>
      <w:r>
        <w:t xml:space="preserve"> </w:t>
      </w:r>
      <w:r>
        <w:rPr>
          <w:spacing w:val="-1"/>
        </w:rPr>
        <w:t>(95%</w:t>
      </w:r>
      <w:r>
        <w:rPr>
          <w:spacing w:val="1"/>
        </w:rPr>
        <w:t xml:space="preserve"> </w:t>
      </w:r>
      <w:r>
        <w:rPr>
          <w:spacing w:val="-2"/>
        </w:rPr>
        <w:t>CI</w:t>
      </w:r>
      <w:r>
        <w:rPr>
          <w:spacing w:val="-4"/>
        </w:rPr>
        <w:t xml:space="preserve"> </w:t>
      </w:r>
      <w:r>
        <w:t>80.7, 108.4)</w:t>
      </w:r>
      <w:r>
        <w:rPr>
          <w:spacing w:val="1"/>
        </w:rPr>
        <w:t xml:space="preserve"> </w:t>
      </w:r>
      <w:r>
        <w:t>in</w:t>
      </w:r>
      <w:r>
        <w:rPr>
          <w:spacing w:val="-2"/>
        </w:rPr>
        <w:t xml:space="preserve"> </w:t>
      </w:r>
      <w:r>
        <w:t>the</w:t>
      </w:r>
      <w:r>
        <w:rPr>
          <w:spacing w:val="-2"/>
        </w:rPr>
        <w:t xml:space="preserve"> </w:t>
      </w:r>
      <w:r>
        <w:rPr>
          <w:spacing w:val="-1"/>
        </w:rPr>
        <w:t>placebo</w:t>
      </w:r>
      <w:r>
        <w:t xml:space="preserve"> </w:t>
      </w:r>
      <w:r>
        <w:rPr>
          <w:spacing w:val="-1"/>
        </w:rPr>
        <w:t>arm.</w:t>
      </w:r>
    </w:p>
    <w:p w:rsidR="00163C9F" w:rsidRDefault="00163C9F" w:rsidP="004560FA">
      <w:pPr>
        <w:pStyle w:val="BodyText"/>
        <w:widowControl w:val="0"/>
        <w:numPr>
          <w:ilvl w:val="2"/>
          <w:numId w:val="74"/>
        </w:numPr>
        <w:tabs>
          <w:tab w:val="left" w:pos="839"/>
          <w:tab w:val="left" w:pos="9639"/>
        </w:tabs>
        <w:spacing w:after="0"/>
        <w:ind w:right="125"/>
      </w:pPr>
      <w:r>
        <w:rPr>
          <w:spacing w:val="-1"/>
          <w:w w:val="105"/>
          <w:u w:val="single" w:color="000000"/>
        </w:rPr>
        <w:t>Lenalidomide</w:t>
      </w:r>
      <w:r>
        <w:rPr>
          <w:spacing w:val="-15"/>
          <w:w w:val="105"/>
          <w:u w:val="single" w:color="000000"/>
        </w:rPr>
        <w:t xml:space="preserve"> </w:t>
      </w:r>
      <w:r>
        <w:rPr>
          <w:spacing w:val="-1"/>
          <w:w w:val="105"/>
          <w:u w:val="single" w:color="000000"/>
        </w:rPr>
        <w:t>in</w:t>
      </w:r>
      <w:r>
        <w:rPr>
          <w:spacing w:val="-15"/>
          <w:w w:val="105"/>
          <w:u w:val="single" w:color="000000"/>
        </w:rPr>
        <w:t xml:space="preserve"> </w:t>
      </w:r>
      <w:r>
        <w:rPr>
          <w:spacing w:val="-1"/>
          <w:w w:val="105"/>
          <w:u w:val="single" w:color="000000"/>
        </w:rPr>
        <w:t>combination</w:t>
      </w:r>
      <w:r>
        <w:rPr>
          <w:spacing w:val="-16"/>
          <w:w w:val="105"/>
          <w:u w:val="single" w:color="000000"/>
        </w:rPr>
        <w:t xml:space="preserve"> </w:t>
      </w:r>
      <w:r>
        <w:rPr>
          <w:spacing w:val="-1"/>
          <w:w w:val="105"/>
          <w:u w:val="single" w:color="000000"/>
        </w:rPr>
        <w:t>with</w:t>
      </w:r>
      <w:r>
        <w:rPr>
          <w:spacing w:val="-15"/>
          <w:w w:val="105"/>
          <w:u w:val="single" w:color="000000"/>
        </w:rPr>
        <w:t xml:space="preserve"> </w:t>
      </w:r>
      <w:r>
        <w:rPr>
          <w:spacing w:val="-1"/>
          <w:w w:val="105"/>
          <w:u w:val="single" w:color="000000"/>
        </w:rPr>
        <w:t>bortezomib</w:t>
      </w:r>
      <w:r>
        <w:rPr>
          <w:spacing w:val="-15"/>
          <w:w w:val="105"/>
          <w:u w:val="single" w:color="000000"/>
        </w:rPr>
        <w:t xml:space="preserve"> </w:t>
      </w:r>
      <w:r>
        <w:rPr>
          <w:spacing w:val="-1"/>
          <w:w w:val="105"/>
          <w:u w:val="single" w:color="000000"/>
        </w:rPr>
        <w:t>and</w:t>
      </w:r>
      <w:r>
        <w:rPr>
          <w:spacing w:val="-16"/>
          <w:w w:val="105"/>
          <w:u w:val="single" w:color="000000"/>
        </w:rPr>
        <w:t xml:space="preserve"> </w:t>
      </w:r>
      <w:r>
        <w:rPr>
          <w:spacing w:val="-1"/>
          <w:w w:val="105"/>
          <w:u w:val="single" w:color="000000"/>
        </w:rPr>
        <w:t>dexamethasone</w:t>
      </w:r>
      <w:r>
        <w:rPr>
          <w:spacing w:val="-14"/>
          <w:w w:val="105"/>
          <w:u w:val="single" w:color="000000"/>
        </w:rPr>
        <w:t xml:space="preserve"> </w:t>
      </w:r>
      <w:r>
        <w:rPr>
          <w:spacing w:val="-1"/>
          <w:w w:val="105"/>
          <w:u w:val="single" w:color="000000"/>
        </w:rPr>
        <w:t>in</w:t>
      </w:r>
      <w:r>
        <w:rPr>
          <w:spacing w:val="-16"/>
          <w:w w:val="105"/>
          <w:u w:val="single" w:color="000000"/>
        </w:rPr>
        <w:t xml:space="preserve"> </w:t>
      </w:r>
      <w:r>
        <w:rPr>
          <w:spacing w:val="-1"/>
          <w:w w:val="105"/>
          <w:u w:val="single" w:color="000000"/>
        </w:rPr>
        <w:t>patients</w:t>
      </w:r>
      <w:r>
        <w:rPr>
          <w:spacing w:val="-13"/>
          <w:w w:val="105"/>
          <w:u w:val="single" w:color="000000"/>
        </w:rPr>
        <w:t xml:space="preserve"> </w:t>
      </w:r>
      <w:r>
        <w:rPr>
          <w:spacing w:val="-1"/>
          <w:w w:val="105"/>
          <w:u w:val="single" w:color="000000"/>
        </w:rPr>
        <w:t>who</w:t>
      </w:r>
      <w:r>
        <w:rPr>
          <w:spacing w:val="-16"/>
          <w:w w:val="105"/>
          <w:u w:val="single" w:color="000000"/>
        </w:rPr>
        <w:t xml:space="preserve"> </w:t>
      </w:r>
      <w:r>
        <w:rPr>
          <w:w w:val="105"/>
          <w:u w:val="single" w:color="000000"/>
        </w:rPr>
        <w:t>are</w:t>
      </w:r>
      <w:r>
        <w:rPr>
          <w:spacing w:val="-14"/>
          <w:w w:val="105"/>
          <w:u w:val="single" w:color="000000"/>
        </w:rPr>
        <w:t xml:space="preserve"> </w:t>
      </w:r>
      <w:r>
        <w:rPr>
          <w:spacing w:val="-1"/>
          <w:w w:val="105"/>
          <w:u w:val="single" w:color="000000"/>
        </w:rPr>
        <w:t>not</w:t>
      </w:r>
      <w:r>
        <w:rPr>
          <w:spacing w:val="-15"/>
          <w:w w:val="105"/>
          <w:u w:val="single" w:color="000000"/>
        </w:rPr>
        <w:t xml:space="preserve"> </w:t>
      </w:r>
      <w:r>
        <w:rPr>
          <w:spacing w:val="-1"/>
          <w:w w:val="105"/>
          <w:u w:val="single" w:color="000000"/>
        </w:rPr>
        <w:t>eligible</w:t>
      </w:r>
      <w:r>
        <w:rPr>
          <w:spacing w:val="65"/>
          <w:w w:val="103"/>
        </w:rPr>
        <w:t xml:space="preserve"> </w:t>
      </w:r>
      <w:r>
        <w:rPr>
          <w:w w:val="105"/>
          <w:u w:val="single" w:color="000000"/>
        </w:rPr>
        <w:t>for</w:t>
      </w:r>
      <w:r>
        <w:rPr>
          <w:spacing w:val="-18"/>
          <w:w w:val="105"/>
          <w:u w:val="single" w:color="000000"/>
        </w:rPr>
        <w:t xml:space="preserve"> </w:t>
      </w:r>
      <w:r>
        <w:rPr>
          <w:spacing w:val="-1"/>
          <w:w w:val="105"/>
          <w:u w:val="single" w:color="000000"/>
        </w:rPr>
        <w:t>stem</w:t>
      </w:r>
      <w:r>
        <w:rPr>
          <w:spacing w:val="-17"/>
          <w:w w:val="105"/>
          <w:u w:val="single" w:color="000000"/>
        </w:rPr>
        <w:t xml:space="preserve"> </w:t>
      </w:r>
      <w:r>
        <w:rPr>
          <w:spacing w:val="-1"/>
          <w:w w:val="105"/>
          <w:u w:val="single" w:color="000000"/>
        </w:rPr>
        <w:t>cell</w:t>
      </w:r>
      <w:r>
        <w:rPr>
          <w:spacing w:val="-17"/>
          <w:w w:val="105"/>
          <w:u w:val="single" w:color="000000"/>
        </w:rPr>
        <w:t xml:space="preserve"> </w:t>
      </w:r>
      <w:r>
        <w:rPr>
          <w:spacing w:val="-1"/>
          <w:w w:val="105"/>
          <w:u w:val="single" w:color="000000"/>
        </w:rPr>
        <w:t>transplantation</w:t>
      </w:r>
    </w:p>
    <w:p w:rsidR="00163C9F" w:rsidRDefault="00163C9F" w:rsidP="004560FA">
      <w:pPr>
        <w:tabs>
          <w:tab w:val="left" w:pos="9639"/>
        </w:tabs>
      </w:pPr>
      <w:r>
        <w:t>The</w:t>
      </w:r>
      <w:r>
        <w:rPr>
          <w:spacing w:val="-2"/>
        </w:rPr>
        <w:t xml:space="preserve"> </w:t>
      </w:r>
      <w:r>
        <w:t>SWOG S0777</w:t>
      </w:r>
      <w:r>
        <w:rPr>
          <w:spacing w:val="-2"/>
        </w:rPr>
        <w:t xml:space="preserve"> </w:t>
      </w:r>
      <w:r>
        <w:t>study</w:t>
      </w:r>
      <w:r>
        <w:rPr>
          <w:spacing w:val="-2"/>
        </w:rPr>
        <w:t xml:space="preserve"> </w:t>
      </w:r>
      <w:r>
        <w:t>evaluated</w:t>
      </w:r>
      <w:r>
        <w:rPr>
          <w:spacing w:val="-2"/>
        </w:rPr>
        <w:t xml:space="preserve"> </w:t>
      </w:r>
      <w:r>
        <w:t xml:space="preserve">the addition </w:t>
      </w:r>
      <w:r>
        <w:rPr>
          <w:spacing w:val="-2"/>
        </w:rPr>
        <w:t>of</w:t>
      </w:r>
      <w:r>
        <w:rPr>
          <w:spacing w:val="1"/>
        </w:rPr>
        <w:t xml:space="preserve"> </w:t>
      </w:r>
      <w:r>
        <w:t>bortezomib to a foundation of</w:t>
      </w:r>
      <w:r>
        <w:rPr>
          <w:spacing w:val="-2"/>
        </w:rPr>
        <w:t xml:space="preserve"> </w:t>
      </w:r>
      <w:r>
        <w:t>lenalidomide and</w:t>
      </w:r>
      <w:r>
        <w:rPr>
          <w:spacing w:val="63"/>
        </w:rPr>
        <w:t xml:space="preserve"> </w:t>
      </w:r>
      <w:r>
        <w:t>dexamethasone, as initial</w:t>
      </w:r>
      <w:r>
        <w:rPr>
          <w:spacing w:val="-2"/>
        </w:rPr>
        <w:t xml:space="preserve"> </w:t>
      </w:r>
      <w:r>
        <w:t>treatment, followed by</w:t>
      </w:r>
      <w:r>
        <w:rPr>
          <w:spacing w:val="-3"/>
        </w:rPr>
        <w:t xml:space="preserve"> </w:t>
      </w:r>
      <w:r>
        <w:t>continued Rd until</w:t>
      </w:r>
      <w:r>
        <w:rPr>
          <w:spacing w:val="1"/>
        </w:rPr>
        <w:t xml:space="preserve"> </w:t>
      </w:r>
      <w:r>
        <w:t>disease progression,</w:t>
      </w:r>
      <w:r>
        <w:rPr>
          <w:spacing w:val="-3"/>
        </w:rPr>
        <w:t xml:space="preserve"> </w:t>
      </w:r>
      <w:r>
        <w:t>in patients with</w:t>
      </w:r>
      <w:r>
        <w:rPr>
          <w:spacing w:val="77"/>
        </w:rPr>
        <w:t xml:space="preserve"> </w:t>
      </w:r>
      <w:r>
        <w:t>previously</w:t>
      </w:r>
      <w:r>
        <w:rPr>
          <w:spacing w:val="-3"/>
        </w:rPr>
        <w:t xml:space="preserve"> </w:t>
      </w:r>
      <w:r>
        <w:t xml:space="preserve">untreated multiple </w:t>
      </w:r>
      <w:r>
        <w:rPr>
          <w:spacing w:val="-2"/>
        </w:rPr>
        <w:t>myeloma</w:t>
      </w:r>
      <w:r>
        <w:t xml:space="preserve"> who are</w:t>
      </w:r>
      <w:r>
        <w:rPr>
          <w:spacing w:val="-2"/>
        </w:rPr>
        <w:t xml:space="preserve"> </w:t>
      </w:r>
      <w:r>
        <w:t>either</w:t>
      </w:r>
      <w:r>
        <w:rPr>
          <w:spacing w:val="-2"/>
        </w:rPr>
        <w:t xml:space="preserve"> </w:t>
      </w:r>
      <w:r>
        <w:t>ineligible for</w:t>
      </w:r>
      <w:r>
        <w:rPr>
          <w:spacing w:val="-2"/>
        </w:rPr>
        <w:t xml:space="preserve"> </w:t>
      </w:r>
      <w:r>
        <w:t>transplant</w:t>
      </w:r>
      <w:r>
        <w:rPr>
          <w:spacing w:val="1"/>
        </w:rPr>
        <w:t xml:space="preserve"> </w:t>
      </w:r>
      <w:r>
        <w:t>or</w:t>
      </w:r>
      <w:r>
        <w:rPr>
          <w:spacing w:val="-2"/>
        </w:rPr>
        <w:t xml:space="preserve"> </w:t>
      </w:r>
      <w:r>
        <w:t>eligible for</w:t>
      </w:r>
      <w:r>
        <w:rPr>
          <w:spacing w:val="-2"/>
        </w:rPr>
        <w:t xml:space="preserve"> </w:t>
      </w:r>
      <w:r>
        <w:t>transplant</w:t>
      </w:r>
      <w:r>
        <w:rPr>
          <w:spacing w:val="1"/>
        </w:rPr>
        <w:t xml:space="preserve"> </w:t>
      </w:r>
      <w:r>
        <w:t>with</w:t>
      </w:r>
      <w:r>
        <w:rPr>
          <w:spacing w:val="93"/>
        </w:rPr>
        <w:t xml:space="preserve"> </w:t>
      </w:r>
      <w:r>
        <w:t>no plan to</w:t>
      </w:r>
      <w:r>
        <w:rPr>
          <w:spacing w:val="-2"/>
        </w:rPr>
        <w:t xml:space="preserve"> </w:t>
      </w:r>
      <w:r>
        <w:t>undertake immediate transplant.</w:t>
      </w:r>
    </w:p>
    <w:p w:rsidR="00163C9F" w:rsidRDefault="00163C9F" w:rsidP="004560FA">
      <w:pPr>
        <w:tabs>
          <w:tab w:val="left" w:pos="9639"/>
        </w:tabs>
        <w:rPr>
          <w:rFonts w:eastAsia="Times New Roman"/>
          <w:sz w:val="23"/>
          <w:szCs w:val="23"/>
        </w:rPr>
      </w:pPr>
    </w:p>
    <w:p w:rsidR="00163C9F" w:rsidRDefault="00163C9F" w:rsidP="004560FA">
      <w:pPr>
        <w:tabs>
          <w:tab w:val="left" w:pos="9639"/>
        </w:tabs>
      </w:pPr>
      <w:r>
        <w:t>Patients in</w:t>
      </w:r>
      <w:r>
        <w:rPr>
          <w:spacing w:val="-2"/>
        </w:rPr>
        <w:t xml:space="preserve"> </w:t>
      </w:r>
      <w:r>
        <w:t>the lenalidomide, bortezomib and dexamethasone</w:t>
      </w:r>
      <w:r>
        <w:rPr>
          <w:spacing w:val="-2"/>
        </w:rPr>
        <w:t xml:space="preserve"> </w:t>
      </w:r>
      <w:r>
        <w:t>(RVd)</w:t>
      </w:r>
      <w:r>
        <w:rPr>
          <w:spacing w:val="-2"/>
        </w:rPr>
        <w:t xml:space="preserve"> </w:t>
      </w:r>
      <w:r>
        <w:t>arm</w:t>
      </w:r>
      <w:r>
        <w:rPr>
          <w:spacing w:val="-4"/>
        </w:rPr>
        <w:t xml:space="preserve"> </w:t>
      </w:r>
      <w:r>
        <w:t xml:space="preserve">received lenalidomide 25 </w:t>
      </w:r>
      <w:r>
        <w:rPr>
          <w:spacing w:val="-2"/>
        </w:rPr>
        <w:t>mg/day</w:t>
      </w:r>
      <w:r>
        <w:rPr>
          <w:spacing w:val="73"/>
        </w:rPr>
        <w:t xml:space="preserve"> </w:t>
      </w:r>
      <w:r>
        <w:t>orally</w:t>
      </w:r>
      <w:r>
        <w:rPr>
          <w:spacing w:val="-3"/>
        </w:rPr>
        <w:t xml:space="preserve"> </w:t>
      </w:r>
      <w:r>
        <w:t xml:space="preserve">on days 1-14, intravenous </w:t>
      </w:r>
      <w:r>
        <w:rPr>
          <w:spacing w:val="-2"/>
        </w:rPr>
        <w:t>bortezomib</w:t>
      </w:r>
      <w:r>
        <w:t xml:space="preserve"> 1.3 </w:t>
      </w:r>
      <w:r>
        <w:rPr>
          <w:spacing w:val="-2"/>
        </w:rPr>
        <w:t>mg/m</w:t>
      </w:r>
      <w:r>
        <w:rPr>
          <w:spacing w:val="-2"/>
          <w:position w:val="8"/>
          <w:sz w:val="14"/>
        </w:rPr>
        <w:t>2</w:t>
      </w:r>
      <w:r>
        <w:rPr>
          <w:spacing w:val="22"/>
          <w:position w:val="8"/>
          <w:sz w:val="14"/>
        </w:rPr>
        <w:t xml:space="preserve"> </w:t>
      </w:r>
      <w:r>
        <w:t>on days 1, 4, 8,</w:t>
      </w:r>
      <w:r>
        <w:rPr>
          <w:spacing w:val="-2"/>
        </w:rPr>
        <w:t xml:space="preserve"> </w:t>
      </w:r>
      <w:r>
        <w:t xml:space="preserve">and 11, and dexamethasone </w:t>
      </w:r>
      <w:r>
        <w:rPr>
          <w:spacing w:val="-2"/>
        </w:rPr>
        <w:t>20</w:t>
      </w:r>
    </w:p>
    <w:p w:rsidR="00163C9F" w:rsidRDefault="00163C9F" w:rsidP="004560FA">
      <w:pPr>
        <w:tabs>
          <w:tab w:val="left" w:pos="9639"/>
        </w:tabs>
      </w:pPr>
      <w:r>
        <w:t>mg/day</w:t>
      </w:r>
      <w:r>
        <w:rPr>
          <w:spacing w:val="-2"/>
        </w:rPr>
        <w:t xml:space="preserve"> </w:t>
      </w:r>
      <w:r>
        <w:t>orally</w:t>
      </w:r>
      <w:r>
        <w:rPr>
          <w:spacing w:val="-3"/>
        </w:rPr>
        <w:t xml:space="preserve"> </w:t>
      </w:r>
      <w:r>
        <w:t>on days 1, 2,</w:t>
      </w:r>
      <w:r>
        <w:rPr>
          <w:spacing w:val="-3"/>
        </w:rPr>
        <w:t xml:space="preserve"> </w:t>
      </w:r>
      <w:r>
        <w:t>4, 5, 8, 9,</w:t>
      </w:r>
      <w:r>
        <w:rPr>
          <w:spacing w:val="-3"/>
        </w:rPr>
        <w:t xml:space="preserve"> </w:t>
      </w:r>
      <w:r>
        <w:t xml:space="preserve">11, and 12 </w:t>
      </w:r>
      <w:r>
        <w:rPr>
          <w:spacing w:val="-2"/>
        </w:rPr>
        <w:t>of</w:t>
      </w:r>
      <w:r>
        <w:rPr>
          <w:spacing w:val="1"/>
        </w:rPr>
        <w:t xml:space="preserve"> </w:t>
      </w:r>
      <w:r>
        <w:t>repeated 21-day</w:t>
      </w:r>
      <w:r>
        <w:rPr>
          <w:spacing w:val="-3"/>
        </w:rPr>
        <w:t xml:space="preserve"> </w:t>
      </w:r>
      <w:r>
        <w:t>cycles</w:t>
      </w:r>
      <w:r>
        <w:rPr>
          <w:spacing w:val="1"/>
        </w:rPr>
        <w:t xml:space="preserve"> </w:t>
      </w:r>
      <w:r>
        <w:t>for up to eight</w:t>
      </w:r>
      <w:r>
        <w:rPr>
          <w:spacing w:val="1"/>
        </w:rPr>
        <w:t xml:space="preserve"> </w:t>
      </w:r>
      <w:r>
        <w:t>21-day</w:t>
      </w:r>
      <w:r>
        <w:rPr>
          <w:spacing w:val="-3"/>
        </w:rPr>
        <w:t xml:space="preserve"> </w:t>
      </w:r>
      <w:r>
        <w:t>cycles</w:t>
      </w:r>
      <w:r>
        <w:rPr>
          <w:spacing w:val="1"/>
        </w:rPr>
        <w:t xml:space="preserve"> </w:t>
      </w:r>
      <w:r>
        <w:t>(24</w:t>
      </w:r>
      <w:r>
        <w:rPr>
          <w:spacing w:val="47"/>
        </w:rPr>
        <w:t xml:space="preserve"> </w:t>
      </w:r>
      <w:r>
        <w:t>weeks). Patients</w:t>
      </w:r>
      <w:r>
        <w:rPr>
          <w:spacing w:val="-2"/>
        </w:rPr>
        <w:t xml:space="preserve"> </w:t>
      </w:r>
      <w:r>
        <w:t>in</w:t>
      </w:r>
      <w:r>
        <w:rPr>
          <w:spacing w:val="-3"/>
        </w:rPr>
        <w:t xml:space="preserve"> </w:t>
      </w:r>
      <w:r>
        <w:t>the</w:t>
      </w:r>
      <w:r>
        <w:rPr>
          <w:spacing w:val="-2"/>
        </w:rPr>
        <w:t xml:space="preserve"> </w:t>
      </w:r>
      <w:r>
        <w:t>lenalidomide</w:t>
      </w:r>
      <w:r>
        <w:rPr>
          <w:spacing w:val="1"/>
        </w:rPr>
        <w:t xml:space="preserve"> </w:t>
      </w:r>
      <w:r>
        <w:t>and dexamethasone</w:t>
      </w:r>
      <w:r>
        <w:rPr>
          <w:spacing w:val="1"/>
        </w:rPr>
        <w:t xml:space="preserve"> </w:t>
      </w:r>
      <w:r>
        <w:t>(Rd)</w:t>
      </w:r>
      <w:r>
        <w:rPr>
          <w:spacing w:val="1"/>
        </w:rPr>
        <w:t xml:space="preserve"> </w:t>
      </w:r>
      <w:r>
        <w:t>arm</w:t>
      </w:r>
      <w:r>
        <w:rPr>
          <w:spacing w:val="-4"/>
        </w:rPr>
        <w:t xml:space="preserve"> </w:t>
      </w:r>
      <w:r>
        <w:t>received lenalidomide 25 mg/day</w:t>
      </w:r>
      <w:r>
        <w:rPr>
          <w:spacing w:val="-3"/>
        </w:rPr>
        <w:t xml:space="preserve"> </w:t>
      </w:r>
      <w:r>
        <w:t>orally</w:t>
      </w:r>
      <w:r>
        <w:rPr>
          <w:spacing w:val="-2"/>
        </w:rPr>
        <w:t xml:space="preserve"> </w:t>
      </w:r>
      <w:r>
        <w:t>on</w:t>
      </w:r>
      <w:r>
        <w:rPr>
          <w:spacing w:val="63"/>
        </w:rPr>
        <w:t xml:space="preserve"> </w:t>
      </w:r>
      <w:r>
        <w:t>days 1-21, and dexamethasone 40 mg/day</w:t>
      </w:r>
      <w:r>
        <w:rPr>
          <w:spacing w:val="-3"/>
        </w:rPr>
        <w:t xml:space="preserve"> </w:t>
      </w:r>
      <w:r>
        <w:t>orally</w:t>
      </w:r>
      <w:r>
        <w:rPr>
          <w:spacing w:val="-2"/>
        </w:rPr>
        <w:t xml:space="preserve"> </w:t>
      </w:r>
      <w:r>
        <w:t xml:space="preserve">on </w:t>
      </w:r>
      <w:r>
        <w:rPr>
          <w:spacing w:val="-2"/>
        </w:rPr>
        <w:t>days</w:t>
      </w:r>
      <w:r>
        <w:t xml:space="preserve"> 1, 8, 15, and</w:t>
      </w:r>
      <w:r>
        <w:rPr>
          <w:spacing w:val="-2"/>
        </w:rPr>
        <w:t xml:space="preserve"> </w:t>
      </w:r>
      <w:r>
        <w:t>22 of</w:t>
      </w:r>
      <w:r>
        <w:rPr>
          <w:spacing w:val="-2"/>
        </w:rPr>
        <w:t xml:space="preserve"> </w:t>
      </w:r>
      <w:r>
        <w:t>repeated 28-day</w:t>
      </w:r>
      <w:r>
        <w:rPr>
          <w:spacing w:val="-3"/>
        </w:rPr>
        <w:t xml:space="preserve"> </w:t>
      </w:r>
      <w:r>
        <w:t>cycles</w:t>
      </w:r>
      <w:r>
        <w:rPr>
          <w:spacing w:val="1"/>
        </w:rPr>
        <w:t xml:space="preserve"> </w:t>
      </w:r>
      <w:r>
        <w:t>for</w:t>
      </w:r>
      <w:r>
        <w:rPr>
          <w:spacing w:val="1"/>
        </w:rPr>
        <w:t xml:space="preserve"> </w:t>
      </w:r>
      <w:r>
        <w:rPr>
          <w:spacing w:val="-2"/>
        </w:rPr>
        <w:t>up</w:t>
      </w:r>
      <w:r>
        <w:t xml:space="preserve"> to</w:t>
      </w:r>
      <w:r>
        <w:rPr>
          <w:spacing w:val="47"/>
        </w:rPr>
        <w:t xml:space="preserve"> </w:t>
      </w:r>
      <w:r>
        <w:t>six 2</w:t>
      </w:r>
      <w:r w:rsidR="00386D89">
        <w:t>8</w:t>
      </w:r>
      <w:r>
        <w:t>-day</w:t>
      </w:r>
      <w:r>
        <w:rPr>
          <w:spacing w:val="-3"/>
        </w:rPr>
        <w:t xml:space="preserve"> </w:t>
      </w:r>
      <w:r>
        <w:t>cycles</w:t>
      </w:r>
      <w:r>
        <w:rPr>
          <w:spacing w:val="1"/>
        </w:rPr>
        <w:t xml:space="preserve"> </w:t>
      </w:r>
      <w:r>
        <w:t>(24</w:t>
      </w:r>
      <w:r>
        <w:rPr>
          <w:spacing w:val="-2"/>
        </w:rPr>
        <w:t xml:space="preserve"> </w:t>
      </w:r>
      <w:r>
        <w:t>weeks). Patients in</w:t>
      </w:r>
      <w:r>
        <w:rPr>
          <w:spacing w:val="-3"/>
        </w:rPr>
        <w:t xml:space="preserve"> </w:t>
      </w:r>
      <w:r>
        <w:t>both arms took</w:t>
      </w:r>
      <w:r>
        <w:rPr>
          <w:spacing w:val="-2"/>
        </w:rPr>
        <w:t xml:space="preserve"> </w:t>
      </w:r>
      <w:r>
        <w:t xml:space="preserve">continued </w:t>
      </w:r>
      <w:r>
        <w:rPr>
          <w:spacing w:val="-2"/>
        </w:rPr>
        <w:t>Rd:</w:t>
      </w:r>
      <w:r>
        <w:rPr>
          <w:spacing w:val="1"/>
        </w:rPr>
        <w:t xml:space="preserve"> </w:t>
      </w:r>
      <w:r>
        <w:t>lenalidomide</w:t>
      </w:r>
      <w:r>
        <w:rPr>
          <w:spacing w:val="1"/>
        </w:rPr>
        <w:t xml:space="preserve"> </w:t>
      </w:r>
      <w:r>
        <w:t>25 mg/day</w:t>
      </w:r>
      <w:r>
        <w:rPr>
          <w:spacing w:val="-2"/>
        </w:rPr>
        <w:t xml:space="preserve"> </w:t>
      </w:r>
      <w:r>
        <w:t>orally</w:t>
      </w:r>
      <w:r>
        <w:rPr>
          <w:spacing w:val="-3"/>
        </w:rPr>
        <w:t xml:space="preserve"> </w:t>
      </w:r>
      <w:r>
        <w:t>on</w:t>
      </w:r>
      <w:r>
        <w:rPr>
          <w:spacing w:val="79"/>
        </w:rPr>
        <w:t xml:space="preserve"> </w:t>
      </w:r>
      <w:r>
        <w:t>days 1-21 and dexamethasone 40 mg/day</w:t>
      </w:r>
      <w:r>
        <w:rPr>
          <w:spacing w:val="-2"/>
        </w:rPr>
        <w:t xml:space="preserve"> </w:t>
      </w:r>
      <w:r>
        <w:t>orally</w:t>
      </w:r>
      <w:r>
        <w:rPr>
          <w:spacing w:val="-3"/>
        </w:rPr>
        <w:t xml:space="preserve"> </w:t>
      </w:r>
      <w:r>
        <w:t>on days 1, 8, 15,</w:t>
      </w:r>
      <w:r>
        <w:rPr>
          <w:spacing w:val="-3"/>
        </w:rPr>
        <w:t xml:space="preserve"> </w:t>
      </w:r>
      <w:r>
        <w:t xml:space="preserve">and </w:t>
      </w:r>
      <w:r>
        <w:rPr>
          <w:spacing w:val="-2"/>
        </w:rPr>
        <w:t>22</w:t>
      </w:r>
      <w:r>
        <w:t xml:space="preserve"> of repeated 28-day</w:t>
      </w:r>
      <w:r>
        <w:rPr>
          <w:spacing w:val="-2"/>
        </w:rPr>
        <w:t xml:space="preserve"> </w:t>
      </w:r>
      <w:r>
        <w:t>cycles.</w:t>
      </w:r>
    </w:p>
    <w:p w:rsidR="00163C9F" w:rsidRDefault="00163C9F" w:rsidP="004560FA">
      <w:pPr>
        <w:tabs>
          <w:tab w:val="left" w:pos="9639"/>
        </w:tabs>
      </w:pPr>
      <w:r>
        <w:t>Treatment</w:t>
      </w:r>
      <w:r>
        <w:rPr>
          <w:spacing w:val="1"/>
        </w:rPr>
        <w:t xml:space="preserve"> </w:t>
      </w:r>
      <w:r>
        <w:t>was to be</w:t>
      </w:r>
      <w:r>
        <w:rPr>
          <w:spacing w:val="-2"/>
        </w:rPr>
        <w:t xml:space="preserve"> </w:t>
      </w:r>
      <w:r>
        <w:t>continued until</w:t>
      </w:r>
      <w:r>
        <w:rPr>
          <w:spacing w:val="1"/>
        </w:rPr>
        <w:t xml:space="preserve"> </w:t>
      </w:r>
      <w:r>
        <w:t>disease progression.</w:t>
      </w:r>
    </w:p>
    <w:p w:rsidR="00163C9F" w:rsidRDefault="00163C9F" w:rsidP="004560FA">
      <w:pPr>
        <w:tabs>
          <w:tab w:val="left" w:pos="9639"/>
        </w:tabs>
        <w:rPr>
          <w:rFonts w:eastAsia="Times New Roman"/>
        </w:rPr>
      </w:pPr>
    </w:p>
    <w:p w:rsidR="00163C9F" w:rsidRDefault="00163C9F" w:rsidP="004560FA">
      <w:pPr>
        <w:tabs>
          <w:tab w:val="left" w:pos="9639"/>
        </w:tabs>
      </w:pPr>
      <w:r>
        <w:t>The</w:t>
      </w:r>
      <w:r>
        <w:rPr>
          <w:spacing w:val="-2"/>
        </w:rPr>
        <w:t xml:space="preserve"> </w:t>
      </w:r>
      <w:r>
        <w:t>primary</w:t>
      </w:r>
      <w:r>
        <w:rPr>
          <w:spacing w:val="-3"/>
        </w:rPr>
        <w:t xml:space="preserve"> </w:t>
      </w:r>
      <w:r>
        <w:t>efficacy</w:t>
      </w:r>
      <w:r>
        <w:rPr>
          <w:spacing w:val="-2"/>
        </w:rPr>
        <w:t xml:space="preserve"> </w:t>
      </w:r>
      <w:r>
        <w:t>endpoint in</w:t>
      </w:r>
      <w:r>
        <w:rPr>
          <w:spacing w:val="-2"/>
        </w:rPr>
        <w:t xml:space="preserve"> </w:t>
      </w:r>
      <w:r>
        <w:t>the study</w:t>
      </w:r>
      <w:r>
        <w:rPr>
          <w:spacing w:val="-3"/>
        </w:rPr>
        <w:t xml:space="preserve"> </w:t>
      </w:r>
      <w:r>
        <w:t>was progression</w:t>
      </w:r>
      <w:r>
        <w:rPr>
          <w:spacing w:val="-2"/>
        </w:rPr>
        <w:t xml:space="preserve"> </w:t>
      </w:r>
      <w:r>
        <w:t>free survival</w:t>
      </w:r>
      <w:r>
        <w:rPr>
          <w:spacing w:val="1"/>
        </w:rPr>
        <w:t xml:space="preserve"> </w:t>
      </w:r>
      <w:r>
        <w:t xml:space="preserve">(PFS). </w:t>
      </w:r>
      <w:r>
        <w:rPr>
          <w:spacing w:val="-2"/>
        </w:rPr>
        <w:t>In</w:t>
      </w:r>
      <w:r>
        <w:t xml:space="preserve"> total</w:t>
      </w:r>
      <w:r>
        <w:rPr>
          <w:spacing w:val="1"/>
        </w:rPr>
        <w:t xml:space="preserve"> </w:t>
      </w:r>
      <w:r>
        <w:t>523 patients were</w:t>
      </w:r>
      <w:r>
        <w:rPr>
          <w:spacing w:val="73"/>
        </w:rPr>
        <w:t xml:space="preserve"> </w:t>
      </w:r>
      <w:r>
        <w:t>enrolled into</w:t>
      </w:r>
      <w:r>
        <w:rPr>
          <w:spacing w:val="-2"/>
        </w:rPr>
        <w:t xml:space="preserve"> </w:t>
      </w:r>
      <w:r>
        <w:t>the</w:t>
      </w:r>
      <w:r>
        <w:rPr>
          <w:spacing w:val="-2"/>
        </w:rPr>
        <w:t xml:space="preserve"> </w:t>
      </w:r>
      <w:r>
        <w:t xml:space="preserve">study, </w:t>
      </w:r>
      <w:r>
        <w:rPr>
          <w:spacing w:val="-2"/>
        </w:rPr>
        <w:t>with</w:t>
      </w:r>
      <w:r>
        <w:t xml:space="preserve"> 263 patients randomised</w:t>
      </w:r>
      <w:r>
        <w:rPr>
          <w:spacing w:val="-2"/>
        </w:rPr>
        <w:t xml:space="preserve"> </w:t>
      </w:r>
      <w:r>
        <w:t>to RVd and 260</w:t>
      </w:r>
      <w:r>
        <w:rPr>
          <w:spacing w:val="-2"/>
        </w:rPr>
        <w:t xml:space="preserve"> </w:t>
      </w:r>
      <w:r>
        <w:t>patients</w:t>
      </w:r>
      <w:r>
        <w:rPr>
          <w:spacing w:val="-2"/>
        </w:rPr>
        <w:t xml:space="preserve"> </w:t>
      </w:r>
      <w:r>
        <w:t>randomised to Rd.</w:t>
      </w:r>
      <w:r>
        <w:rPr>
          <w:spacing w:val="-2"/>
        </w:rPr>
        <w:t xml:space="preserve"> </w:t>
      </w:r>
      <w:r>
        <w:t>The</w:t>
      </w:r>
      <w:r>
        <w:rPr>
          <w:spacing w:val="73"/>
        </w:rPr>
        <w:t xml:space="preserve"> </w:t>
      </w:r>
      <w:r>
        <w:t>demographics and</w:t>
      </w:r>
      <w:r>
        <w:rPr>
          <w:spacing w:val="-3"/>
        </w:rPr>
        <w:t xml:space="preserve"> </w:t>
      </w:r>
      <w:r>
        <w:t>disease-related baseline characteristics</w:t>
      </w:r>
      <w:r>
        <w:rPr>
          <w:spacing w:val="1"/>
        </w:rPr>
        <w:t xml:space="preserve"> </w:t>
      </w:r>
      <w:r>
        <w:t>of</w:t>
      </w:r>
      <w:r>
        <w:rPr>
          <w:spacing w:val="-2"/>
        </w:rPr>
        <w:t xml:space="preserve"> </w:t>
      </w:r>
      <w:r>
        <w:t>the</w:t>
      </w:r>
      <w:r>
        <w:rPr>
          <w:spacing w:val="-2"/>
        </w:rPr>
        <w:t xml:space="preserve"> </w:t>
      </w:r>
      <w:r>
        <w:t>patients</w:t>
      </w:r>
      <w:r>
        <w:rPr>
          <w:spacing w:val="1"/>
        </w:rPr>
        <w:t xml:space="preserve"> </w:t>
      </w:r>
      <w:r>
        <w:t xml:space="preserve">were </w:t>
      </w:r>
      <w:r>
        <w:rPr>
          <w:spacing w:val="-2"/>
        </w:rPr>
        <w:t xml:space="preserve">well </w:t>
      </w:r>
      <w:r>
        <w:t>balanced</w:t>
      </w:r>
      <w:r>
        <w:rPr>
          <w:spacing w:val="-2"/>
        </w:rPr>
        <w:t xml:space="preserve"> </w:t>
      </w:r>
      <w:r>
        <w:t>between arms.</w:t>
      </w:r>
    </w:p>
    <w:p w:rsidR="00163C9F" w:rsidRDefault="00163C9F" w:rsidP="004560FA">
      <w:pPr>
        <w:tabs>
          <w:tab w:val="left" w:pos="9639"/>
        </w:tabs>
        <w:rPr>
          <w:rFonts w:eastAsia="Times New Roman"/>
        </w:rPr>
      </w:pPr>
    </w:p>
    <w:p w:rsidR="00163C9F" w:rsidRDefault="00163C9F" w:rsidP="004273C8">
      <w:pPr>
        <w:tabs>
          <w:tab w:val="left" w:pos="9639"/>
        </w:tabs>
      </w:pPr>
      <w:r>
        <w:t>The</w:t>
      </w:r>
      <w:r>
        <w:rPr>
          <w:spacing w:val="-2"/>
        </w:rPr>
        <w:t xml:space="preserve"> </w:t>
      </w:r>
      <w:r>
        <w:t xml:space="preserve">results </w:t>
      </w:r>
      <w:r>
        <w:rPr>
          <w:spacing w:val="-2"/>
        </w:rPr>
        <w:t>of</w:t>
      </w:r>
      <w:r>
        <w:rPr>
          <w:spacing w:val="1"/>
        </w:rPr>
        <w:t xml:space="preserve"> </w:t>
      </w:r>
      <w:r>
        <w:t>PFS,</w:t>
      </w:r>
      <w:r>
        <w:rPr>
          <w:spacing w:val="-3"/>
        </w:rPr>
        <w:t xml:space="preserve"> </w:t>
      </w:r>
      <w:r>
        <w:t>as assessed by</w:t>
      </w:r>
      <w:r>
        <w:rPr>
          <w:spacing w:val="-3"/>
        </w:rPr>
        <w:t xml:space="preserve"> </w:t>
      </w:r>
      <w:r>
        <w:rPr>
          <w:spacing w:val="-2"/>
        </w:rPr>
        <w:t>IRAC,</w:t>
      </w:r>
      <w:r>
        <w:t xml:space="preserve"> at</w:t>
      </w:r>
      <w:r>
        <w:rPr>
          <w:spacing w:val="1"/>
        </w:rPr>
        <w:t xml:space="preserve"> </w:t>
      </w:r>
      <w:r>
        <w:t>the</w:t>
      </w:r>
      <w:r>
        <w:rPr>
          <w:spacing w:val="-2"/>
        </w:rPr>
        <w:t xml:space="preserve"> </w:t>
      </w:r>
      <w:r>
        <w:t>time of</w:t>
      </w:r>
      <w:r>
        <w:rPr>
          <w:spacing w:val="-2"/>
        </w:rPr>
        <w:t xml:space="preserve"> </w:t>
      </w:r>
      <w:r>
        <w:t>the</w:t>
      </w:r>
      <w:r>
        <w:rPr>
          <w:spacing w:val="1"/>
        </w:rPr>
        <w:t xml:space="preserve"> </w:t>
      </w:r>
      <w:r>
        <w:t>primary</w:t>
      </w:r>
      <w:r>
        <w:rPr>
          <w:spacing w:val="-3"/>
        </w:rPr>
        <w:t xml:space="preserve"> </w:t>
      </w:r>
      <w:r>
        <w:t>analysis, using</w:t>
      </w:r>
      <w:r>
        <w:rPr>
          <w:spacing w:val="-2"/>
        </w:rPr>
        <w:t xml:space="preserve"> </w:t>
      </w:r>
      <w:r>
        <w:t>a cut-off</w:t>
      </w:r>
      <w:r>
        <w:rPr>
          <w:spacing w:val="1"/>
        </w:rPr>
        <w:t xml:space="preserve"> </w:t>
      </w:r>
      <w:r>
        <w:rPr>
          <w:spacing w:val="-2"/>
        </w:rPr>
        <w:t>of</w:t>
      </w:r>
      <w:r>
        <w:rPr>
          <w:spacing w:val="1"/>
        </w:rPr>
        <w:t xml:space="preserve"> </w:t>
      </w:r>
      <w:r>
        <w:t>05 November</w:t>
      </w:r>
      <w:r>
        <w:rPr>
          <w:spacing w:val="67"/>
        </w:rPr>
        <w:t xml:space="preserve"> </w:t>
      </w:r>
      <w:r>
        <w:t>2015 (50.6 months follow up)</w:t>
      </w:r>
      <w:r>
        <w:rPr>
          <w:spacing w:val="1"/>
        </w:rPr>
        <w:t xml:space="preserve"> </w:t>
      </w:r>
      <w:r>
        <w:t>showed a 24% reduction</w:t>
      </w:r>
      <w:r>
        <w:rPr>
          <w:spacing w:val="-2"/>
        </w:rPr>
        <w:t xml:space="preserve"> </w:t>
      </w:r>
      <w:r>
        <w:t>in risk</w:t>
      </w:r>
      <w:r>
        <w:rPr>
          <w:spacing w:val="-3"/>
        </w:rPr>
        <w:t xml:space="preserve"> </w:t>
      </w:r>
      <w:r>
        <w:t>of</w:t>
      </w:r>
      <w:r>
        <w:rPr>
          <w:spacing w:val="1"/>
        </w:rPr>
        <w:t xml:space="preserve"> </w:t>
      </w:r>
      <w:r>
        <w:t>disease</w:t>
      </w:r>
      <w:r>
        <w:rPr>
          <w:spacing w:val="-2"/>
        </w:rPr>
        <w:t xml:space="preserve"> </w:t>
      </w:r>
      <w:r>
        <w:t>progression or</w:t>
      </w:r>
      <w:r>
        <w:rPr>
          <w:spacing w:val="1"/>
        </w:rPr>
        <w:t xml:space="preserve"> </w:t>
      </w:r>
      <w:r>
        <w:t>death favouring</w:t>
      </w:r>
      <w:r>
        <w:rPr>
          <w:spacing w:val="-2"/>
        </w:rPr>
        <w:t xml:space="preserve"> </w:t>
      </w:r>
      <w:r>
        <w:t>RVd</w:t>
      </w:r>
      <w:r>
        <w:rPr>
          <w:spacing w:val="71"/>
        </w:rPr>
        <w:t xml:space="preserve"> </w:t>
      </w:r>
      <w:r>
        <w:t>(HR =</w:t>
      </w:r>
      <w:r>
        <w:rPr>
          <w:spacing w:val="1"/>
        </w:rPr>
        <w:t xml:space="preserve"> </w:t>
      </w:r>
      <w:r>
        <w:t>0.76;</w:t>
      </w:r>
      <w:r>
        <w:rPr>
          <w:spacing w:val="1"/>
        </w:rPr>
        <w:t xml:space="preserve"> </w:t>
      </w:r>
      <w:r>
        <w:t>95%</w:t>
      </w:r>
      <w:r>
        <w:rPr>
          <w:spacing w:val="1"/>
        </w:rPr>
        <w:t xml:space="preserve"> </w:t>
      </w:r>
      <w:r>
        <w:t>CI</w:t>
      </w:r>
      <w:r>
        <w:rPr>
          <w:spacing w:val="-4"/>
        </w:rPr>
        <w:t xml:space="preserve"> </w:t>
      </w:r>
      <w:r>
        <w:t>0.61, 0.94;</w:t>
      </w:r>
      <w:r>
        <w:rPr>
          <w:spacing w:val="1"/>
        </w:rPr>
        <w:t xml:space="preserve"> </w:t>
      </w:r>
      <w:r>
        <w:t>p</w:t>
      </w:r>
      <w:r>
        <w:rPr>
          <w:spacing w:val="-3"/>
        </w:rPr>
        <w:t xml:space="preserve"> </w:t>
      </w:r>
      <w:r>
        <w:t>= 0.010).</w:t>
      </w:r>
      <w:r>
        <w:rPr>
          <w:spacing w:val="-3"/>
        </w:rPr>
        <w:t xml:space="preserve"> </w:t>
      </w:r>
      <w:r>
        <w:t>The</w:t>
      </w:r>
      <w:r>
        <w:rPr>
          <w:spacing w:val="-2"/>
        </w:rPr>
        <w:t xml:space="preserve"> </w:t>
      </w:r>
      <w:r>
        <w:t>median overall</w:t>
      </w:r>
      <w:r>
        <w:rPr>
          <w:spacing w:val="1"/>
        </w:rPr>
        <w:t xml:space="preserve"> </w:t>
      </w:r>
      <w:r>
        <w:t>PFS was 42.5 months</w:t>
      </w:r>
      <w:r>
        <w:rPr>
          <w:spacing w:val="-2"/>
        </w:rPr>
        <w:t xml:space="preserve"> </w:t>
      </w:r>
      <w:r>
        <w:t>(95%</w:t>
      </w:r>
      <w:r>
        <w:rPr>
          <w:spacing w:val="1"/>
        </w:rPr>
        <w:t xml:space="preserve"> </w:t>
      </w:r>
      <w:r>
        <w:t>CI</w:t>
      </w:r>
      <w:r>
        <w:rPr>
          <w:spacing w:val="-4"/>
        </w:rPr>
        <w:t xml:space="preserve"> </w:t>
      </w:r>
      <w:r>
        <w:t>34.0, 54.8) in</w:t>
      </w:r>
      <w:r w:rsidR="001404A0">
        <w:t xml:space="preserve"> </w:t>
      </w:r>
      <w:r>
        <w:t>the</w:t>
      </w:r>
      <w:r>
        <w:rPr>
          <w:spacing w:val="1"/>
        </w:rPr>
        <w:t xml:space="preserve"> </w:t>
      </w:r>
      <w:r>
        <w:t>RVd arm</w:t>
      </w:r>
      <w:r>
        <w:rPr>
          <w:spacing w:val="-4"/>
        </w:rPr>
        <w:t xml:space="preserve"> </w:t>
      </w:r>
      <w:r>
        <w:t>versus 29.9 months</w:t>
      </w:r>
      <w:r>
        <w:rPr>
          <w:spacing w:val="-2"/>
        </w:rPr>
        <w:t xml:space="preserve"> </w:t>
      </w:r>
      <w:r>
        <w:t>(95%</w:t>
      </w:r>
      <w:r>
        <w:rPr>
          <w:spacing w:val="1"/>
        </w:rPr>
        <w:t xml:space="preserve"> </w:t>
      </w:r>
      <w:r>
        <w:t>CI</w:t>
      </w:r>
      <w:r>
        <w:rPr>
          <w:spacing w:val="-4"/>
        </w:rPr>
        <w:t xml:space="preserve"> </w:t>
      </w:r>
      <w:r>
        <w:t>25.6, 38.2)</w:t>
      </w:r>
      <w:r>
        <w:rPr>
          <w:spacing w:val="-2"/>
        </w:rPr>
        <w:t xml:space="preserve"> </w:t>
      </w:r>
      <w:r>
        <w:t>in the Rd</w:t>
      </w:r>
      <w:r>
        <w:rPr>
          <w:spacing w:val="-3"/>
        </w:rPr>
        <w:t xml:space="preserve"> </w:t>
      </w:r>
      <w:r>
        <w:t>arm. The benefit</w:t>
      </w:r>
      <w:r>
        <w:rPr>
          <w:spacing w:val="-2"/>
        </w:rPr>
        <w:t xml:space="preserve"> </w:t>
      </w:r>
      <w:r>
        <w:t>was</w:t>
      </w:r>
      <w:r>
        <w:rPr>
          <w:spacing w:val="1"/>
        </w:rPr>
        <w:t xml:space="preserve"> </w:t>
      </w:r>
      <w:r>
        <w:t xml:space="preserve">observed regardless </w:t>
      </w:r>
      <w:r>
        <w:rPr>
          <w:spacing w:val="-2"/>
        </w:rPr>
        <w:t>of</w:t>
      </w:r>
      <w:r>
        <w:rPr>
          <w:spacing w:val="61"/>
        </w:rPr>
        <w:t xml:space="preserve"> </w:t>
      </w:r>
      <w:r>
        <w:t>eligibility</w:t>
      </w:r>
      <w:r>
        <w:rPr>
          <w:spacing w:val="-2"/>
        </w:rPr>
        <w:t xml:space="preserve"> </w:t>
      </w:r>
      <w:r>
        <w:t>for</w:t>
      </w:r>
      <w:r>
        <w:rPr>
          <w:spacing w:val="1"/>
        </w:rPr>
        <w:t xml:space="preserve"> </w:t>
      </w:r>
      <w:r>
        <w:t>stem</w:t>
      </w:r>
      <w:r>
        <w:rPr>
          <w:spacing w:val="-4"/>
        </w:rPr>
        <w:t xml:space="preserve"> </w:t>
      </w:r>
      <w:r>
        <w:t>cell</w:t>
      </w:r>
      <w:r>
        <w:rPr>
          <w:spacing w:val="-2"/>
        </w:rPr>
        <w:t xml:space="preserve"> </w:t>
      </w:r>
      <w:r>
        <w:t>transplant.</w:t>
      </w:r>
    </w:p>
    <w:p w:rsidR="00163C9F" w:rsidRDefault="00163C9F" w:rsidP="00163C9F">
      <w:pPr>
        <w:rPr>
          <w:rFonts w:eastAsia="Times New Roman"/>
        </w:rPr>
      </w:pPr>
    </w:p>
    <w:p w:rsidR="00163C9F" w:rsidRDefault="00163C9F" w:rsidP="001423DC">
      <w:r>
        <w:t>The</w:t>
      </w:r>
      <w:r>
        <w:rPr>
          <w:spacing w:val="-2"/>
        </w:rPr>
        <w:t xml:space="preserve"> </w:t>
      </w:r>
      <w:r>
        <w:t>results</w:t>
      </w:r>
      <w:r>
        <w:rPr>
          <w:spacing w:val="-2"/>
        </w:rPr>
        <w:t xml:space="preserve"> </w:t>
      </w:r>
      <w:r>
        <w:t>for</w:t>
      </w:r>
      <w:r>
        <w:rPr>
          <w:spacing w:val="-2"/>
        </w:rPr>
        <w:t xml:space="preserve"> </w:t>
      </w:r>
      <w:r>
        <w:t>the</w:t>
      </w:r>
      <w:r>
        <w:rPr>
          <w:spacing w:val="-2"/>
        </w:rPr>
        <w:t xml:space="preserve"> </w:t>
      </w:r>
      <w:r>
        <w:t>study, using</w:t>
      </w:r>
      <w:r>
        <w:rPr>
          <w:spacing w:val="-2"/>
        </w:rPr>
        <w:t xml:space="preserve"> </w:t>
      </w:r>
      <w:r>
        <w:t>a cut-off</w:t>
      </w:r>
      <w:r>
        <w:rPr>
          <w:spacing w:val="1"/>
        </w:rPr>
        <w:t xml:space="preserve"> </w:t>
      </w:r>
      <w:r>
        <w:rPr>
          <w:spacing w:val="-2"/>
        </w:rPr>
        <w:t>of</w:t>
      </w:r>
      <w:r>
        <w:rPr>
          <w:spacing w:val="1"/>
        </w:rPr>
        <w:t xml:space="preserve"> </w:t>
      </w:r>
      <w:r>
        <w:t>01 December</w:t>
      </w:r>
      <w:r>
        <w:rPr>
          <w:spacing w:val="1"/>
        </w:rPr>
        <w:t xml:space="preserve"> </w:t>
      </w:r>
      <w:r>
        <w:t>2016, where the median</w:t>
      </w:r>
      <w:r>
        <w:rPr>
          <w:spacing w:val="-3"/>
        </w:rPr>
        <w:t xml:space="preserve"> </w:t>
      </w:r>
      <w:r>
        <w:t>follow-up time for</w:t>
      </w:r>
      <w:r>
        <w:rPr>
          <w:spacing w:val="1"/>
        </w:rPr>
        <w:t xml:space="preserve"> </w:t>
      </w:r>
      <w:r>
        <w:t>all</w:t>
      </w:r>
      <w:r>
        <w:rPr>
          <w:spacing w:val="67"/>
        </w:rPr>
        <w:t xml:space="preserve"> </w:t>
      </w:r>
      <w:r>
        <w:t>surviving</w:t>
      </w:r>
      <w:r>
        <w:rPr>
          <w:spacing w:val="-2"/>
        </w:rPr>
        <w:t xml:space="preserve"> </w:t>
      </w:r>
      <w:r>
        <w:t>subjects</w:t>
      </w:r>
      <w:r>
        <w:rPr>
          <w:spacing w:val="1"/>
        </w:rPr>
        <w:t xml:space="preserve"> </w:t>
      </w:r>
      <w:r>
        <w:rPr>
          <w:spacing w:val="-2"/>
        </w:rPr>
        <w:t>was</w:t>
      </w:r>
      <w:r>
        <w:t xml:space="preserve"> 69.0</w:t>
      </w:r>
      <w:r>
        <w:rPr>
          <w:spacing w:val="-2"/>
        </w:rPr>
        <w:t xml:space="preserve"> </w:t>
      </w:r>
      <w:r>
        <w:t>months, are</w:t>
      </w:r>
      <w:r>
        <w:rPr>
          <w:spacing w:val="-2"/>
        </w:rPr>
        <w:t xml:space="preserve"> </w:t>
      </w:r>
      <w:r>
        <w:t>presented</w:t>
      </w:r>
      <w:r>
        <w:rPr>
          <w:spacing w:val="-3"/>
        </w:rPr>
        <w:t xml:space="preserve"> </w:t>
      </w:r>
      <w:r>
        <w:t>in</w:t>
      </w:r>
      <w:r>
        <w:rPr>
          <w:spacing w:val="-2"/>
        </w:rPr>
        <w:t xml:space="preserve"> </w:t>
      </w:r>
      <w:r>
        <w:t>Table</w:t>
      </w:r>
      <w:r>
        <w:rPr>
          <w:spacing w:val="-2"/>
        </w:rPr>
        <w:t xml:space="preserve"> </w:t>
      </w:r>
      <w:r>
        <w:t>8.</w:t>
      </w:r>
      <w:r>
        <w:rPr>
          <w:spacing w:val="-2"/>
        </w:rPr>
        <w:t xml:space="preserve"> </w:t>
      </w:r>
      <w:r>
        <w:t>The benefit</w:t>
      </w:r>
      <w:r>
        <w:rPr>
          <w:spacing w:val="1"/>
        </w:rPr>
        <w:t xml:space="preserve"> </w:t>
      </w:r>
      <w:r>
        <w:t>favouring</w:t>
      </w:r>
      <w:r>
        <w:rPr>
          <w:spacing w:val="-3"/>
        </w:rPr>
        <w:t xml:space="preserve"> </w:t>
      </w:r>
      <w:r>
        <w:t>RVd was</w:t>
      </w:r>
      <w:r>
        <w:rPr>
          <w:spacing w:val="1"/>
        </w:rPr>
        <w:t xml:space="preserve"> </w:t>
      </w:r>
      <w:r>
        <w:t>observed</w:t>
      </w:r>
      <w:r>
        <w:rPr>
          <w:spacing w:val="59"/>
        </w:rPr>
        <w:t xml:space="preserve"> </w:t>
      </w:r>
      <w:r>
        <w:t>regardless</w:t>
      </w:r>
      <w:r>
        <w:rPr>
          <w:spacing w:val="-2"/>
        </w:rPr>
        <w:t xml:space="preserve"> </w:t>
      </w:r>
      <w:r>
        <w:t>of</w:t>
      </w:r>
      <w:r>
        <w:rPr>
          <w:spacing w:val="1"/>
        </w:rPr>
        <w:t xml:space="preserve"> </w:t>
      </w:r>
      <w:r>
        <w:t>eligibility</w:t>
      </w:r>
      <w:r>
        <w:rPr>
          <w:spacing w:val="-2"/>
        </w:rPr>
        <w:t xml:space="preserve"> </w:t>
      </w:r>
      <w:r>
        <w:t>for</w:t>
      </w:r>
      <w:r>
        <w:rPr>
          <w:spacing w:val="-2"/>
        </w:rPr>
        <w:t xml:space="preserve"> </w:t>
      </w:r>
      <w:r>
        <w:t>stem</w:t>
      </w:r>
      <w:r>
        <w:rPr>
          <w:spacing w:val="-4"/>
        </w:rPr>
        <w:t xml:space="preserve"> </w:t>
      </w:r>
      <w:r>
        <w:t>cell</w:t>
      </w:r>
      <w:r>
        <w:rPr>
          <w:spacing w:val="1"/>
        </w:rPr>
        <w:t xml:space="preserve"> </w:t>
      </w:r>
      <w:r>
        <w:t>transplant.</w:t>
      </w:r>
    </w:p>
    <w:p w:rsidR="00163C9F" w:rsidRDefault="00163C9F" w:rsidP="00163C9F">
      <w:pPr>
        <w:spacing w:before="10"/>
        <w:rPr>
          <w:rFonts w:eastAsia="Times New Roman"/>
          <w:sz w:val="21"/>
          <w:szCs w:val="21"/>
        </w:rPr>
      </w:pPr>
    </w:p>
    <w:p w:rsidR="00163C9F" w:rsidRDefault="00163C9F" w:rsidP="001423DC">
      <w:pPr>
        <w:pStyle w:val="Heading1"/>
        <w:numPr>
          <w:ilvl w:val="0"/>
          <w:numId w:val="0"/>
        </w:numPr>
        <w:jc w:val="both"/>
        <w:rPr>
          <w:b w:val="0"/>
          <w:bCs w:val="0"/>
        </w:rPr>
      </w:pPr>
      <w:r>
        <w:rPr>
          <w:spacing w:val="-1"/>
        </w:rPr>
        <w:t>Table</w:t>
      </w:r>
      <w:r>
        <w:t xml:space="preserve"> 8. </w:t>
      </w:r>
      <w:r>
        <w:rPr>
          <w:spacing w:val="-1"/>
        </w:rPr>
        <w:t>Summary</w:t>
      </w:r>
      <w:r>
        <w:t xml:space="preserve"> </w:t>
      </w:r>
      <w:r>
        <w:rPr>
          <w:spacing w:val="-2"/>
        </w:rPr>
        <w:t>of</w:t>
      </w:r>
      <w:r>
        <w:rPr>
          <w:spacing w:val="1"/>
        </w:rPr>
        <w:t xml:space="preserve"> </w:t>
      </w:r>
      <w:r>
        <w:rPr>
          <w:spacing w:val="-1"/>
        </w:rPr>
        <w:t>overall</w:t>
      </w:r>
      <w:r>
        <w:rPr>
          <w:spacing w:val="-2"/>
        </w:rPr>
        <w:t xml:space="preserve"> </w:t>
      </w:r>
      <w:r>
        <w:rPr>
          <w:spacing w:val="-1"/>
        </w:rPr>
        <w:t>efficacy</w:t>
      </w:r>
      <w:r>
        <w:t xml:space="preserve"> </w:t>
      </w:r>
      <w:r>
        <w:rPr>
          <w:spacing w:val="-1"/>
        </w:rPr>
        <w:t>data</w:t>
      </w:r>
    </w:p>
    <w:tbl>
      <w:tblPr>
        <w:tblW w:w="0" w:type="auto"/>
        <w:tblInd w:w="105" w:type="dxa"/>
        <w:tblLayout w:type="fixed"/>
        <w:tblCellMar>
          <w:left w:w="0" w:type="dxa"/>
          <w:right w:w="0" w:type="dxa"/>
        </w:tblCellMar>
        <w:tblLook w:val="01E0" w:firstRow="1" w:lastRow="1" w:firstColumn="1" w:lastColumn="1" w:noHBand="0" w:noVBand="0"/>
      </w:tblPr>
      <w:tblGrid>
        <w:gridCol w:w="5206"/>
        <w:gridCol w:w="2220"/>
        <w:gridCol w:w="2218"/>
      </w:tblGrid>
      <w:tr w:rsidR="00163C9F" w:rsidTr="00F72327">
        <w:trPr>
          <w:trHeight w:hRule="exact" w:val="284"/>
        </w:trPr>
        <w:tc>
          <w:tcPr>
            <w:tcW w:w="5206" w:type="dxa"/>
            <w:vMerge w:val="restart"/>
            <w:tcBorders>
              <w:top w:val="single" w:sz="12" w:space="0" w:color="000000"/>
              <w:left w:val="single" w:sz="8" w:space="0" w:color="000000"/>
              <w:right w:val="single" w:sz="8" w:space="0" w:color="000000"/>
            </w:tcBorders>
          </w:tcPr>
          <w:p w:rsidR="00163C9F" w:rsidRDefault="00163C9F" w:rsidP="00F72327"/>
        </w:tc>
        <w:tc>
          <w:tcPr>
            <w:tcW w:w="4438" w:type="dxa"/>
            <w:gridSpan w:val="2"/>
            <w:tcBorders>
              <w:top w:val="single" w:sz="12" w:space="0" w:color="000000"/>
              <w:left w:val="single" w:sz="8" w:space="0" w:color="000000"/>
              <w:bottom w:val="single" w:sz="13" w:space="0" w:color="000000"/>
              <w:right w:val="single" w:sz="8" w:space="0" w:color="000000"/>
            </w:tcBorders>
          </w:tcPr>
          <w:p w:rsidR="00163C9F" w:rsidRDefault="00163C9F" w:rsidP="00F72327">
            <w:pPr>
              <w:pStyle w:val="TableParagraph"/>
              <w:spacing w:line="251" w:lineRule="exact"/>
              <w:ind w:left="1431"/>
              <w:rPr>
                <w:rFonts w:ascii="Times New Roman" w:eastAsia="Times New Roman" w:hAnsi="Times New Roman" w:cs="Times New Roman"/>
              </w:rPr>
            </w:pPr>
            <w:r>
              <w:rPr>
                <w:rFonts w:ascii="Times New Roman"/>
                <w:b/>
                <w:spacing w:val="-1"/>
              </w:rPr>
              <w:t>Initial</w:t>
            </w:r>
            <w:r>
              <w:rPr>
                <w:rFonts w:ascii="Times New Roman"/>
                <w:b/>
                <w:spacing w:val="1"/>
              </w:rPr>
              <w:t xml:space="preserve"> </w:t>
            </w:r>
            <w:r>
              <w:rPr>
                <w:rFonts w:ascii="Times New Roman"/>
                <w:b/>
                <w:spacing w:val="-1"/>
              </w:rPr>
              <w:t>treatment</w:t>
            </w:r>
          </w:p>
        </w:tc>
      </w:tr>
      <w:tr w:rsidR="00163C9F" w:rsidTr="00F72327">
        <w:trPr>
          <w:trHeight w:hRule="exact" w:val="804"/>
        </w:trPr>
        <w:tc>
          <w:tcPr>
            <w:tcW w:w="5206" w:type="dxa"/>
            <w:vMerge/>
            <w:tcBorders>
              <w:left w:val="single" w:sz="8" w:space="0" w:color="000000"/>
              <w:bottom w:val="single" w:sz="13" w:space="0" w:color="000000"/>
              <w:right w:val="single" w:sz="8" w:space="0" w:color="000000"/>
            </w:tcBorders>
          </w:tcPr>
          <w:p w:rsidR="00163C9F" w:rsidRDefault="00163C9F" w:rsidP="00F72327"/>
        </w:tc>
        <w:tc>
          <w:tcPr>
            <w:tcW w:w="2220" w:type="dxa"/>
            <w:tcBorders>
              <w:top w:val="single" w:sz="13" w:space="0" w:color="000000"/>
              <w:left w:val="single" w:sz="8" w:space="0" w:color="000000"/>
              <w:bottom w:val="single" w:sz="13" w:space="0" w:color="000000"/>
              <w:right w:val="single" w:sz="8" w:space="0" w:color="000000"/>
            </w:tcBorders>
          </w:tcPr>
          <w:p w:rsidR="00163C9F" w:rsidRDefault="00163C9F" w:rsidP="00F72327">
            <w:pPr>
              <w:pStyle w:val="TableParagraph"/>
              <w:spacing w:line="248" w:lineRule="exact"/>
              <w:jc w:val="center"/>
              <w:rPr>
                <w:rFonts w:ascii="Times New Roman" w:eastAsia="Times New Roman" w:hAnsi="Times New Roman" w:cs="Times New Roman"/>
              </w:rPr>
            </w:pPr>
            <w:r>
              <w:rPr>
                <w:rFonts w:ascii="Times New Roman"/>
                <w:b/>
                <w:spacing w:val="-1"/>
              </w:rPr>
              <w:t>RVd</w:t>
            </w:r>
          </w:p>
          <w:p w:rsidR="00163C9F" w:rsidRDefault="00163C9F" w:rsidP="00F72327">
            <w:pPr>
              <w:pStyle w:val="TableParagraph"/>
              <w:spacing w:before="2"/>
              <w:ind w:left="222" w:right="221"/>
              <w:jc w:val="center"/>
              <w:rPr>
                <w:rFonts w:ascii="Times New Roman" w:eastAsia="Times New Roman" w:hAnsi="Times New Roman" w:cs="Times New Roman"/>
              </w:rPr>
            </w:pPr>
            <w:r>
              <w:rPr>
                <w:rFonts w:ascii="Times New Roman" w:eastAsia="Times New Roman" w:hAnsi="Times New Roman" w:cs="Times New Roman"/>
                <w:b/>
                <w:bCs/>
                <w:spacing w:val="-1"/>
              </w:rPr>
              <w:t>(3-week cycles</w:t>
            </w:r>
            <w:r>
              <w:rPr>
                <w:rFonts w:ascii="Times New Roman" w:eastAsia="Times New Roman" w:hAnsi="Times New Roman" w:cs="Times New Roman"/>
                <w:b/>
                <w:bCs/>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b/>
                <w:bCs/>
              </w:rPr>
              <w:t>8)</w:t>
            </w:r>
            <w:r>
              <w:rPr>
                <w:rFonts w:ascii="Times New Roman" w:eastAsia="Times New Roman" w:hAnsi="Times New Roman" w:cs="Times New Roman"/>
                <w:b/>
                <w:bCs/>
                <w:spacing w:val="27"/>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263)</w:t>
            </w:r>
          </w:p>
        </w:tc>
        <w:tc>
          <w:tcPr>
            <w:tcW w:w="2218" w:type="dxa"/>
            <w:tcBorders>
              <w:top w:val="single" w:sz="13" w:space="0" w:color="000000"/>
              <w:left w:val="single" w:sz="8" w:space="0" w:color="000000"/>
              <w:bottom w:val="single" w:sz="13" w:space="0" w:color="000000"/>
              <w:right w:val="single" w:sz="8" w:space="0" w:color="000000"/>
            </w:tcBorders>
          </w:tcPr>
          <w:p w:rsidR="00163C9F" w:rsidRDefault="00163C9F" w:rsidP="00F72327">
            <w:pPr>
              <w:pStyle w:val="TableParagraph"/>
              <w:spacing w:line="248" w:lineRule="exact"/>
              <w:ind w:left="2"/>
              <w:jc w:val="center"/>
              <w:rPr>
                <w:rFonts w:ascii="Times New Roman" w:eastAsia="Times New Roman" w:hAnsi="Times New Roman" w:cs="Times New Roman"/>
              </w:rPr>
            </w:pPr>
            <w:r>
              <w:rPr>
                <w:rFonts w:ascii="Times New Roman"/>
                <w:b/>
                <w:spacing w:val="-1"/>
              </w:rPr>
              <w:t>Rd</w:t>
            </w:r>
          </w:p>
          <w:p w:rsidR="00163C9F" w:rsidRDefault="00163C9F" w:rsidP="00F72327">
            <w:pPr>
              <w:pStyle w:val="TableParagraph"/>
              <w:spacing w:before="2"/>
              <w:ind w:left="224" w:right="216"/>
              <w:jc w:val="center"/>
              <w:rPr>
                <w:rFonts w:ascii="Times New Roman" w:eastAsia="Times New Roman" w:hAnsi="Times New Roman" w:cs="Times New Roman"/>
              </w:rPr>
            </w:pPr>
            <w:r>
              <w:rPr>
                <w:rFonts w:ascii="Times New Roman" w:eastAsia="Times New Roman" w:hAnsi="Times New Roman" w:cs="Times New Roman"/>
                <w:b/>
                <w:bCs/>
                <w:spacing w:val="-1"/>
              </w:rPr>
              <w:t>(4-week cycles</w:t>
            </w:r>
            <w:r>
              <w:rPr>
                <w:rFonts w:ascii="Times New Roman" w:eastAsia="Times New Roman" w:hAnsi="Times New Roman" w:cs="Times New Roman"/>
                <w:b/>
                <w:bCs/>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b/>
                <w:bCs/>
              </w:rPr>
              <w:t>6)</w:t>
            </w:r>
            <w:r>
              <w:rPr>
                <w:rFonts w:ascii="Times New Roman" w:eastAsia="Times New Roman" w:hAnsi="Times New Roman" w:cs="Times New Roman"/>
                <w:b/>
                <w:bCs/>
                <w:spacing w:val="27"/>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260)</w:t>
            </w:r>
          </w:p>
        </w:tc>
      </w:tr>
      <w:tr w:rsidR="00163C9F" w:rsidTr="00F72327">
        <w:trPr>
          <w:trHeight w:hRule="exact" w:val="277"/>
        </w:trPr>
        <w:tc>
          <w:tcPr>
            <w:tcW w:w="9643" w:type="dxa"/>
            <w:gridSpan w:val="3"/>
            <w:tcBorders>
              <w:top w:val="single" w:sz="13"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97"/>
              <w:rPr>
                <w:rFonts w:ascii="Times New Roman" w:eastAsia="Times New Roman" w:hAnsi="Times New Roman" w:cs="Times New Roman"/>
              </w:rPr>
            </w:pPr>
            <w:r>
              <w:rPr>
                <w:rFonts w:ascii="Times New Roman"/>
                <w:b/>
                <w:spacing w:val="-1"/>
              </w:rPr>
              <w:t>IRAC-assessed</w:t>
            </w:r>
            <w:r>
              <w:rPr>
                <w:rFonts w:ascii="Times New Roman"/>
                <w:b/>
                <w:spacing w:val="-3"/>
              </w:rPr>
              <w:t xml:space="preserve"> </w:t>
            </w:r>
            <w:r>
              <w:rPr>
                <w:rFonts w:ascii="Times New Roman"/>
                <w:b/>
              </w:rPr>
              <w:t>PFS</w:t>
            </w:r>
            <w:r>
              <w:rPr>
                <w:rFonts w:ascii="Times New Roman"/>
                <w:b/>
                <w:spacing w:val="-3"/>
              </w:rPr>
              <w:t xml:space="preserve"> </w:t>
            </w:r>
            <w:r>
              <w:rPr>
                <w:rFonts w:ascii="Times New Roman"/>
                <w:b/>
                <w:spacing w:val="-1"/>
              </w:rPr>
              <w:t>(months)</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277"/>
              <w:rPr>
                <w:rFonts w:ascii="Times New Roman" w:eastAsia="Times New Roman" w:hAnsi="Times New Roman" w:cs="Times New Roman"/>
                <w:sz w:val="14"/>
                <w:szCs w:val="14"/>
              </w:rPr>
            </w:pPr>
            <w:r>
              <w:rPr>
                <w:rFonts w:ascii="Times New Roman"/>
                <w:spacing w:val="-1"/>
              </w:rPr>
              <w:t>Median</w:t>
            </w:r>
            <w:r>
              <w:rPr>
                <w:rFonts w:ascii="Times New Roman"/>
                <w:spacing w:val="-1"/>
                <w:position w:val="8"/>
                <w:sz w:val="14"/>
              </w:rPr>
              <w:t>a</w:t>
            </w:r>
            <w:r>
              <w:rPr>
                <w:rFonts w:ascii="Times New Roman"/>
                <w:spacing w:val="19"/>
                <w:position w:val="8"/>
                <w:sz w:val="14"/>
              </w:rPr>
              <w:t xml:space="preserve"> </w:t>
            </w:r>
            <w:r>
              <w:rPr>
                <w:rFonts w:ascii="Times New Roman"/>
                <w:spacing w:val="-1"/>
              </w:rPr>
              <w:t>PFS</w:t>
            </w:r>
            <w:r>
              <w:rPr>
                <w:rFonts w:ascii="Times New Roman"/>
                <w:spacing w:val="-3"/>
              </w:rPr>
              <w:t xml:space="preserve"> </w:t>
            </w:r>
            <w:r>
              <w:rPr>
                <w:rFonts w:ascii="Times New Roman"/>
                <w:spacing w:val="-1"/>
              </w:rPr>
              <w:t>time,</w:t>
            </w:r>
            <w:r>
              <w:rPr>
                <w:rFonts w:ascii="Times New Roman"/>
              </w:rPr>
              <w:t xml:space="preserve"> </w:t>
            </w:r>
            <w:r>
              <w:rPr>
                <w:rFonts w:ascii="Times New Roman"/>
                <w:spacing w:val="-1"/>
              </w:rPr>
              <w:t>months</w:t>
            </w:r>
            <w:r>
              <w:rPr>
                <w:rFonts w:ascii="Times New Roman"/>
                <w:spacing w:val="-3"/>
              </w:rPr>
              <w:t xml:space="preserve"> </w:t>
            </w:r>
            <w:r>
              <w:rPr>
                <w:rFonts w:ascii="Times New Roman"/>
              </w:rPr>
              <w:t>(95%</w:t>
            </w:r>
            <w:r>
              <w:rPr>
                <w:rFonts w:ascii="Times New Roman"/>
                <w:spacing w:val="-1"/>
              </w:rPr>
              <w:t xml:space="preserve"> </w:t>
            </w:r>
            <w:r>
              <w:rPr>
                <w:rFonts w:ascii="Times New Roman"/>
                <w:spacing w:val="-2"/>
              </w:rPr>
              <w:t>CI)</w:t>
            </w:r>
            <w:r>
              <w:rPr>
                <w:rFonts w:ascii="Times New Roman"/>
                <w:spacing w:val="-2"/>
                <w:position w:val="8"/>
                <w:sz w:val="14"/>
              </w:rPr>
              <w:t>b</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363"/>
              <w:rPr>
                <w:rFonts w:ascii="Times New Roman" w:eastAsia="Times New Roman" w:hAnsi="Times New Roman" w:cs="Times New Roman"/>
              </w:rPr>
            </w:pPr>
            <w:r>
              <w:rPr>
                <w:rFonts w:ascii="Times New Roman"/>
                <w:b/>
              </w:rPr>
              <w:t xml:space="preserve">41.7 </w:t>
            </w:r>
            <w:r>
              <w:rPr>
                <w:rFonts w:ascii="Times New Roman"/>
                <w:spacing w:val="-1"/>
              </w:rPr>
              <w:t>(33.1,</w:t>
            </w:r>
            <w:r>
              <w:rPr>
                <w:rFonts w:ascii="Times New Roman"/>
              </w:rPr>
              <w:t xml:space="preserve"> </w:t>
            </w:r>
            <w:r>
              <w:rPr>
                <w:rFonts w:ascii="Times New Roman"/>
                <w:spacing w:val="-1"/>
              </w:rPr>
              <w:t>51.5)</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361"/>
              <w:rPr>
                <w:rFonts w:ascii="Times New Roman" w:eastAsia="Times New Roman" w:hAnsi="Times New Roman" w:cs="Times New Roman"/>
              </w:rPr>
            </w:pPr>
            <w:r>
              <w:rPr>
                <w:rFonts w:ascii="Times New Roman"/>
                <w:b/>
              </w:rPr>
              <w:t xml:space="preserve">29.7 </w:t>
            </w:r>
            <w:r>
              <w:rPr>
                <w:rFonts w:ascii="Times New Roman"/>
                <w:spacing w:val="-1"/>
              </w:rPr>
              <w:t>(24.2,</w:t>
            </w:r>
            <w:r>
              <w:rPr>
                <w:rFonts w:ascii="Times New Roman"/>
              </w:rPr>
              <w:t xml:space="preserve"> </w:t>
            </w:r>
            <w:r>
              <w:rPr>
                <w:rFonts w:ascii="Times New Roman"/>
                <w:spacing w:val="-1"/>
              </w:rPr>
              <w:t>37.8)</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277"/>
              <w:rPr>
                <w:rFonts w:ascii="Times New Roman" w:eastAsia="Times New Roman" w:hAnsi="Times New Roman" w:cs="Times New Roman"/>
                <w:sz w:val="14"/>
                <w:szCs w:val="14"/>
              </w:rPr>
            </w:pPr>
            <w:r>
              <w:rPr>
                <w:rFonts w:ascii="Times New Roman"/>
                <w:spacing w:val="-1"/>
              </w:rPr>
              <w:t>HR</w:t>
            </w:r>
            <w:r>
              <w:rPr>
                <w:rFonts w:ascii="Times New Roman"/>
                <w:spacing w:val="-2"/>
              </w:rPr>
              <w:t xml:space="preserve"> </w:t>
            </w:r>
            <w:r>
              <w:rPr>
                <w:rFonts w:ascii="Times New Roman"/>
              </w:rPr>
              <w:t>[95%</w:t>
            </w:r>
            <w:r>
              <w:rPr>
                <w:rFonts w:ascii="Times New Roman"/>
                <w:spacing w:val="1"/>
              </w:rPr>
              <w:t xml:space="preserve"> </w:t>
            </w:r>
            <w:r>
              <w:rPr>
                <w:rFonts w:ascii="Times New Roman"/>
                <w:spacing w:val="-1"/>
              </w:rPr>
              <w:t>CI]</w:t>
            </w:r>
            <w:r>
              <w:rPr>
                <w:rFonts w:ascii="Times New Roman"/>
                <w:spacing w:val="-1"/>
                <w:position w:val="8"/>
                <w:sz w:val="14"/>
              </w:rPr>
              <w:t>c</w:t>
            </w:r>
            <w:r>
              <w:rPr>
                <w:rFonts w:ascii="Times New Roman"/>
                <w:spacing w:val="-1"/>
              </w:rPr>
              <w:t>;</w:t>
            </w:r>
            <w:r>
              <w:rPr>
                <w:rFonts w:ascii="Times New Roman"/>
              </w:rPr>
              <w:t xml:space="preserve"> </w:t>
            </w:r>
            <w:r>
              <w:rPr>
                <w:rFonts w:ascii="Times New Roman"/>
                <w:spacing w:val="-1"/>
              </w:rPr>
              <w:t>p-value</w:t>
            </w:r>
            <w:r>
              <w:rPr>
                <w:rFonts w:ascii="Times New Roman"/>
                <w:spacing w:val="-1"/>
                <w:position w:val="8"/>
                <w:sz w:val="14"/>
              </w:rPr>
              <w:t>d</w:t>
            </w:r>
          </w:p>
        </w:tc>
        <w:tc>
          <w:tcPr>
            <w:tcW w:w="4438" w:type="dxa"/>
            <w:gridSpan w:val="2"/>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1167"/>
              <w:rPr>
                <w:rFonts w:ascii="Times New Roman" w:eastAsia="Times New Roman" w:hAnsi="Times New Roman" w:cs="Times New Roman"/>
              </w:rPr>
            </w:pPr>
            <w:r>
              <w:rPr>
                <w:rFonts w:ascii="Times New Roman"/>
                <w:b/>
              </w:rPr>
              <w:t xml:space="preserve">0.76 </w:t>
            </w:r>
            <w:r>
              <w:rPr>
                <w:rFonts w:ascii="Times New Roman"/>
                <w:spacing w:val="-1"/>
              </w:rPr>
              <w:t>(0.62,</w:t>
            </w:r>
            <w:r>
              <w:rPr>
                <w:rFonts w:ascii="Times New Roman"/>
              </w:rPr>
              <w:t xml:space="preserve"> </w:t>
            </w:r>
            <w:r>
              <w:rPr>
                <w:rFonts w:ascii="Times New Roman"/>
                <w:spacing w:val="-1"/>
              </w:rPr>
              <w:t>0.94);</w:t>
            </w:r>
            <w:r>
              <w:rPr>
                <w:rFonts w:ascii="Times New Roman"/>
                <w:spacing w:val="-2"/>
              </w:rPr>
              <w:t xml:space="preserve"> </w:t>
            </w:r>
            <w:r>
              <w:rPr>
                <w:rFonts w:ascii="Times New Roman"/>
              </w:rPr>
              <w:t>0.010</w:t>
            </w:r>
          </w:p>
        </w:tc>
      </w:tr>
      <w:tr w:rsidR="00163C9F" w:rsidTr="00F72327">
        <w:trPr>
          <w:trHeight w:hRule="exact" w:val="271"/>
        </w:trPr>
        <w:tc>
          <w:tcPr>
            <w:tcW w:w="9643" w:type="dxa"/>
            <w:gridSpan w:val="3"/>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97"/>
              <w:rPr>
                <w:rFonts w:ascii="Times New Roman" w:eastAsia="Times New Roman" w:hAnsi="Times New Roman" w:cs="Times New Roman"/>
              </w:rPr>
            </w:pPr>
            <w:r>
              <w:rPr>
                <w:rFonts w:ascii="Times New Roman"/>
                <w:b/>
                <w:spacing w:val="-1"/>
              </w:rPr>
              <w:t>Overall</w:t>
            </w:r>
            <w:r>
              <w:rPr>
                <w:rFonts w:ascii="Times New Roman"/>
                <w:b/>
                <w:spacing w:val="1"/>
              </w:rPr>
              <w:t xml:space="preserve"> </w:t>
            </w:r>
            <w:r>
              <w:rPr>
                <w:rFonts w:ascii="Times New Roman"/>
                <w:b/>
                <w:spacing w:val="-1"/>
              </w:rPr>
              <w:t>survival</w:t>
            </w:r>
            <w:r>
              <w:rPr>
                <w:rFonts w:ascii="Times New Roman"/>
                <w:b/>
                <w:spacing w:val="-2"/>
              </w:rPr>
              <w:t xml:space="preserve"> </w:t>
            </w:r>
            <w:r>
              <w:rPr>
                <w:rFonts w:ascii="Times New Roman"/>
                <w:b/>
                <w:spacing w:val="-1"/>
              </w:rPr>
              <w:t>(months)</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277"/>
              <w:rPr>
                <w:rFonts w:ascii="Times New Roman" w:eastAsia="Times New Roman" w:hAnsi="Times New Roman" w:cs="Times New Roman"/>
                <w:sz w:val="14"/>
                <w:szCs w:val="14"/>
              </w:rPr>
            </w:pPr>
            <w:r>
              <w:rPr>
                <w:rFonts w:ascii="Times New Roman"/>
                <w:spacing w:val="-1"/>
              </w:rPr>
              <w:t>Median</w:t>
            </w:r>
            <w:r>
              <w:rPr>
                <w:rFonts w:ascii="Times New Roman"/>
                <w:spacing w:val="-1"/>
                <w:position w:val="8"/>
                <w:sz w:val="14"/>
              </w:rPr>
              <w:t>a</w:t>
            </w:r>
            <w:r>
              <w:rPr>
                <w:rFonts w:ascii="Times New Roman"/>
                <w:spacing w:val="19"/>
                <w:position w:val="8"/>
                <w:sz w:val="14"/>
              </w:rPr>
              <w:t xml:space="preserve"> </w:t>
            </w:r>
            <w:r>
              <w:rPr>
                <w:rFonts w:ascii="Times New Roman"/>
                <w:spacing w:val="-1"/>
              </w:rPr>
              <w:t>OS</w:t>
            </w:r>
            <w:r>
              <w:rPr>
                <w:rFonts w:ascii="Times New Roman"/>
                <w:spacing w:val="-3"/>
              </w:rPr>
              <w:t xml:space="preserve"> </w:t>
            </w:r>
            <w:r>
              <w:rPr>
                <w:rFonts w:ascii="Times New Roman"/>
                <w:spacing w:val="-1"/>
              </w:rPr>
              <w:t>time,</w:t>
            </w:r>
            <w:r>
              <w:rPr>
                <w:rFonts w:ascii="Times New Roman"/>
              </w:rPr>
              <w:t xml:space="preserve"> </w:t>
            </w:r>
            <w:r>
              <w:rPr>
                <w:rFonts w:ascii="Times New Roman"/>
                <w:spacing w:val="-1"/>
              </w:rPr>
              <w:t>months (95%</w:t>
            </w:r>
            <w:r>
              <w:rPr>
                <w:rFonts w:ascii="Times New Roman"/>
                <w:spacing w:val="1"/>
              </w:rPr>
              <w:t xml:space="preserve"> </w:t>
            </w:r>
            <w:r>
              <w:rPr>
                <w:rFonts w:ascii="Times New Roman"/>
                <w:spacing w:val="-2"/>
              </w:rPr>
              <w:t>CI)</w:t>
            </w:r>
            <w:r>
              <w:rPr>
                <w:rFonts w:ascii="Times New Roman"/>
                <w:spacing w:val="-2"/>
                <w:position w:val="8"/>
                <w:sz w:val="14"/>
              </w:rPr>
              <w:t>b</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409"/>
              <w:rPr>
                <w:rFonts w:ascii="Times New Roman" w:eastAsia="Times New Roman" w:hAnsi="Times New Roman" w:cs="Times New Roman"/>
              </w:rPr>
            </w:pPr>
            <w:r>
              <w:rPr>
                <w:rFonts w:ascii="Times New Roman"/>
                <w:b/>
                <w:spacing w:val="-1"/>
              </w:rPr>
              <w:t>89.</w:t>
            </w:r>
            <w:r>
              <w:rPr>
                <w:rFonts w:ascii="Times New Roman"/>
                <w:spacing w:val="-1"/>
              </w:rPr>
              <w:t>1</w:t>
            </w:r>
            <w:r>
              <w:rPr>
                <w:rFonts w:ascii="Times New Roman"/>
              </w:rPr>
              <w:t xml:space="preserve"> </w:t>
            </w:r>
            <w:r>
              <w:rPr>
                <w:rFonts w:ascii="Times New Roman"/>
                <w:spacing w:val="-1"/>
              </w:rPr>
              <w:t>(76.1,</w:t>
            </w:r>
            <w:r>
              <w:rPr>
                <w:rFonts w:ascii="Times New Roman"/>
              </w:rPr>
              <w:t xml:space="preserve"> </w:t>
            </w:r>
            <w:r>
              <w:rPr>
                <w:rFonts w:ascii="Times New Roman"/>
                <w:spacing w:val="-1"/>
              </w:rPr>
              <w:t>NE)</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361"/>
              <w:rPr>
                <w:rFonts w:ascii="Times New Roman" w:eastAsia="Times New Roman" w:hAnsi="Times New Roman" w:cs="Times New Roman"/>
              </w:rPr>
            </w:pPr>
            <w:r>
              <w:rPr>
                <w:rFonts w:ascii="Times New Roman"/>
                <w:b/>
              </w:rPr>
              <w:t xml:space="preserve">67.2 </w:t>
            </w:r>
            <w:r>
              <w:rPr>
                <w:rFonts w:ascii="Times New Roman"/>
                <w:spacing w:val="-1"/>
              </w:rPr>
              <w:t>(58.4,</w:t>
            </w:r>
            <w:r>
              <w:rPr>
                <w:rFonts w:ascii="Times New Roman"/>
              </w:rPr>
              <w:t xml:space="preserve"> </w:t>
            </w:r>
            <w:r>
              <w:rPr>
                <w:rFonts w:ascii="Times New Roman"/>
                <w:spacing w:val="-1"/>
              </w:rPr>
              <w:t>90.8)</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277"/>
              <w:rPr>
                <w:rFonts w:ascii="Times New Roman" w:eastAsia="Times New Roman" w:hAnsi="Times New Roman" w:cs="Times New Roman"/>
                <w:sz w:val="14"/>
                <w:szCs w:val="14"/>
              </w:rPr>
            </w:pPr>
            <w:r>
              <w:rPr>
                <w:rFonts w:ascii="Times New Roman"/>
                <w:spacing w:val="-1"/>
              </w:rPr>
              <w:t>HR</w:t>
            </w:r>
            <w:r>
              <w:rPr>
                <w:rFonts w:ascii="Times New Roman"/>
                <w:spacing w:val="-2"/>
              </w:rPr>
              <w:t xml:space="preserve"> </w:t>
            </w:r>
            <w:r>
              <w:rPr>
                <w:rFonts w:ascii="Times New Roman"/>
              </w:rPr>
              <w:t>[95%</w:t>
            </w:r>
            <w:r>
              <w:rPr>
                <w:rFonts w:ascii="Times New Roman"/>
                <w:spacing w:val="1"/>
              </w:rPr>
              <w:t xml:space="preserve"> </w:t>
            </w:r>
            <w:r>
              <w:rPr>
                <w:rFonts w:ascii="Times New Roman"/>
                <w:spacing w:val="-1"/>
              </w:rPr>
              <w:t>CI]</w:t>
            </w:r>
            <w:r>
              <w:rPr>
                <w:rFonts w:ascii="Times New Roman"/>
                <w:spacing w:val="-1"/>
                <w:position w:val="8"/>
                <w:sz w:val="14"/>
              </w:rPr>
              <w:t>c</w:t>
            </w:r>
            <w:r>
              <w:rPr>
                <w:rFonts w:ascii="Times New Roman"/>
                <w:spacing w:val="-1"/>
              </w:rPr>
              <w:t>;</w:t>
            </w:r>
            <w:r>
              <w:rPr>
                <w:rFonts w:ascii="Times New Roman"/>
              </w:rPr>
              <w:t xml:space="preserve"> </w:t>
            </w:r>
            <w:r>
              <w:rPr>
                <w:rFonts w:ascii="Times New Roman"/>
                <w:spacing w:val="-1"/>
              </w:rPr>
              <w:t>p-value</w:t>
            </w:r>
            <w:r w:rsidR="007372DB">
              <w:rPr>
                <w:rFonts w:ascii="Times New Roman"/>
                <w:spacing w:val="-1"/>
                <w:position w:val="8"/>
                <w:sz w:val="14"/>
              </w:rPr>
              <w:t>d</w:t>
            </w:r>
          </w:p>
        </w:tc>
        <w:tc>
          <w:tcPr>
            <w:tcW w:w="4438" w:type="dxa"/>
            <w:gridSpan w:val="2"/>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1167"/>
              <w:rPr>
                <w:rFonts w:ascii="Times New Roman" w:eastAsia="Times New Roman" w:hAnsi="Times New Roman" w:cs="Times New Roman"/>
              </w:rPr>
            </w:pPr>
            <w:r>
              <w:rPr>
                <w:rFonts w:ascii="Times New Roman"/>
                <w:b/>
              </w:rPr>
              <w:t xml:space="preserve">0.72 </w:t>
            </w:r>
            <w:r>
              <w:rPr>
                <w:rFonts w:ascii="Times New Roman"/>
                <w:spacing w:val="-1"/>
              </w:rPr>
              <w:t>(0.56,</w:t>
            </w:r>
            <w:r>
              <w:rPr>
                <w:rFonts w:ascii="Times New Roman"/>
              </w:rPr>
              <w:t xml:space="preserve"> </w:t>
            </w:r>
            <w:r>
              <w:rPr>
                <w:rFonts w:ascii="Times New Roman"/>
                <w:spacing w:val="-1"/>
              </w:rPr>
              <w:t>0.94);</w:t>
            </w:r>
            <w:r>
              <w:rPr>
                <w:rFonts w:ascii="Times New Roman"/>
                <w:spacing w:val="-2"/>
              </w:rPr>
              <w:t xml:space="preserve"> </w:t>
            </w:r>
            <w:r>
              <w:rPr>
                <w:rFonts w:ascii="Times New Roman"/>
              </w:rPr>
              <w:t>0.013</w:t>
            </w:r>
          </w:p>
        </w:tc>
      </w:tr>
      <w:tr w:rsidR="00163C9F" w:rsidTr="00F72327">
        <w:trPr>
          <w:trHeight w:hRule="exact" w:val="274"/>
        </w:trPr>
        <w:tc>
          <w:tcPr>
            <w:tcW w:w="9643" w:type="dxa"/>
            <w:gridSpan w:val="3"/>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97"/>
              <w:rPr>
                <w:rFonts w:ascii="Times New Roman" w:eastAsia="Times New Roman" w:hAnsi="Times New Roman" w:cs="Times New Roman"/>
              </w:rPr>
            </w:pPr>
            <w:r>
              <w:rPr>
                <w:rFonts w:ascii="Times New Roman" w:eastAsia="Times New Roman" w:hAnsi="Times New Roman" w:cs="Times New Roman"/>
                <w:b/>
                <w:bCs/>
              </w:rPr>
              <w:t>Response</w:t>
            </w:r>
            <w:r>
              <w:rPr>
                <w:rFonts w:ascii="Times New Roman" w:eastAsia="Times New Roman" w:hAnsi="Times New Roman" w:cs="Times New Roman"/>
                <w:spacing w:val="16"/>
                <w:position w:val="8"/>
                <w:sz w:val="14"/>
                <w:szCs w:val="14"/>
              </w:rPr>
              <w:t xml:space="preserve"> </w:t>
            </w:r>
            <w:r>
              <w:rPr>
                <w:rFonts w:ascii="Times New Roman" w:eastAsia="Times New Roman" w:hAnsi="Times New Roman" w:cs="Times New Roman"/>
                <w:b/>
                <w:bCs/>
              </w:rPr>
              <w:t xml:space="preserve">– n </w:t>
            </w:r>
            <w:r>
              <w:rPr>
                <w:rFonts w:ascii="Times New Roman" w:eastAsia="Times New Roman" w:hAnsi="Times New Roman" w:cs="Times New Roman"/>
                <w:b/>
                <w:bCs/>
                <w:spacing w:val="-1"/>
              </w:rPr>
              <w:t>(%)</w:t>
            </w:r>
          </w:p>
        </w:tc>
      </w:tr>
      <w:tr w:rsidR="00163C9F" w:rsidTr="00F72327">
        <w:trPr>
          <w:trHeight w:hRule="exact" w:val="271"/>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277"/>
              <w:rPr>
                <w:rFonts w:ascii="Times New Roman" w:eastAsia="Times New Roman" w:hAnsi="Times New Roman" w:cs="Times New Roman"/>
              </w:rPr>
            </w:pPr>
            <w:r>
              <w:rPr>
                <w:rFonts w:ascii="Times New Roman"/>
                <w:spacing w:val="-1"/>
              </w:rPr>
              <w:t>Overall response:</w:t>
            </w:r>
            <w:r>
              <w:rPr>
                <w:rFonts w:ascii="Times New Roman"/>
                <w:spacing w:val="1"/>
              </w:rPr>
              <w:t xml:space="preserve"> </w:t>
            </w:r>
            <w:r>
              <w:rPr>
                <w:rFonts w:ascii="Times New Roman"/>
                <w:spacing w:val="-1"/>
              </w:rPr>
              <w:t>CR,</w:t>
            </w:r>
            <w:r>
              <w:rPr>
                <w:rFonts w:ascii="Times New Roman"/>
                <w:spacing w:val="-3"/>
              </w:rPr>
              <w:t xml:space="preserve"> </w:t>
            </w:r>
            <w:r>
              <w:rPr>
                <w:rFonts w:ascii="Times New Roman"/>
                <w:spacing w:val="-1"/>
              </w:rPr>
              <w:t>VGPR,</w:t>
            </w:r>
            <w:r>
              <w:rPr>
                <w:rFonts w:ascii="Times New Roman"/>
              </w:rPr>
              <w:t xml:space="preserve"> or</w:t>
            </w:r>
            <w:r>
              <w:rPr>
                <w:rFonts w:ascii="Times New Roman"/>
                <w:spacing w:val="1"/>
              </w:rPr>
              <w:t xml:space="preserve"> </w:t>
            </w:r>
            <w:r>
              <w:rPr>
                <w:rFonts w:ascii="Times New Roman"/>
                <w:spacing w:val="-1"/>
              </w:rPr>
              <w:t>PR</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640"/>
              <w:rPr>
                <w:rFonts w:ascii="Times New Roman" w:eastAsia="Times New Roman" w:hAnsi="Times New Roman" w:cs="Times New Roman"/>
              </w:rPr>
            </w:pPr>
            <w:r>
              <w:rPr>
                <w:rFonts w:ascii="Times New Roman"/>
              </w:rPr>
              <w:t xml:space="preserve">199 </w:t>
            </w:r>
            <w:r>
              <w:rPr>
                <w:rFonts w:ascii="Times New Roman"/>
                <w:spacing w:val="-1"/>
              </w:rPr>
              <w:t>(75.7)</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637"/>
              <w:rPr>
                <w:rFonts w:ascii="Times New Roman" w:eastAsia="Times New Roman" w:hAnsi="Times New Roman" w:cs="Times New Roman"/>
              </w:rPr>
            </w:pPr>
            <w:r>
              <w:rPr>
                <w:rFonts w:ascii="Times New Roman"/>
              </w:rPr>
              <w:t xml:space="preserve">170 </w:t>
            </w:r>
            <w:r>
              <w:rPr>
                <w:rFonts w:ascii="Times New Roman"/>
                <w:spacing w:val="-1"/>
              </w:rPr>
              <w:t>(65.4)</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459"/>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VGPR</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640"/>
              <w:rPr>
                <w:rFonts w:ascii="Times New Roman" w:eastAsia="Times New Roman" w:hAnsi="Times New Roman" w:cs="Times New Roman"/>
              </w:rPr>
            </w:pPr>
            <w:r>
              <w:rPr>
                <w:rFonts w:ascii="Times New Roman"/>
              </w:rPr>
              <w:t xml:space="preserve">153 </w:t>
            </w:r>
            <w:r>
              <w:rPr>
                <w:rFonts w:ascii="Times New Roman"/>
                <w:spacing w:val="-1"/>
              </w:rPr>
              <w:t>(58.2)</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872"/>
              <w:rPr>
                <w:rFonts w:ascii="Times New Roman" w:eastAsia="Times New Roman" w:hAnsi="Times New Roman" w:cs="Times New Roman"/>
              </w:rPr>
            </w:pPr>
            <w:r>
              <w:rPr>
                <w:rFonts w:ascii="Times New Roman"/>
              </w:rPr>
              <w:t xml:space="preserve">83 </w:t>
            </w:r>
            <w:r>
              <w:rPr>
                <w:rFonts w:ascii="Times New Roman"/>
                <w:spacing w:val="-1"/>
              </w:rPr>
              <w:t>(31.9)</w:t>
            </w:r>
          </w:p>
        </w:tc>
      </w:tr>
      <w:tr w:rsidR="00163C9F" w:rsidTr="00F72327">
        <w:trPr>
          <w:trHeight w:hRule="exact" w:val="269"/>
        </w:trPr>
        <w:tc>
          <w:tcPr>
            <w:tcW w:w="9643" w:type="dxa"/>
            <w:gridSpan w:val="3"/>
            <w:tcBorders>
              <w:top w:val="single" w:sz="8" w:space="0" w:color="000000"/>
              <w:left w:val="single" w:sz="8" w:space="0" w:color="000000"/>
              <w:bottom w:val="single" w:sz="5" w:space="0" w:color="000000"/>
              <w:right w:val="single" w:sz="8" w:space="0" w:color="000000"/>
            </w:tcBorders>
          </w:tcPr>
          <w:p w:rsidR="00163C9F" w:rsidRDefault="00163C9F" w:rsidP="00F72327">
            <w:pPr>
              <w:pStyle w:val="TableParagraph"/>
              <w:spacing w:line="251" w:lineRule="exact"/>
              <w:ind w:left="97"/>
              <w:rPr>
                <w:rFonts w:ascii="Times New Roman" w:eastAsia="Times New Roman" w:hAnsi="Times New Roman" w:cs="Times New Roman"/>
              </w:rPr>
            </w:pPr>
            <w:r>
              <w:rPr>
                <w:rFonts w:ascii="Times New Roman"/>
                <w:b/>
                <w:spacing w:val="-1"/>
              </w:rPr>
              <w:t>Follow-up (months)</w:t>
            </w:r>
          </w:p>
        </w:tc>
      </w:tr>
      <w:tr w:rsidR="00163C9F" w:rsidTr="00F72327">
        <w:trPr>
          <w:trHeight w:hRule="exact" w:val="264"/>
        </w:trPr>
        <w:tc>
          <w:tcPr>
            <w:tcW w:w="5206" w:type="dxa"/>
            <w:tcBorders>
              <w:top w:val="single" w:sz="5" w:space="0" w:color="000000"/>
              <w:left w:val="single" w:sz="8" w:space="0" w:color="000000"/>
              <w:bottom w:val="single" w:sz="5" w:space="0" w:color="000000"/>
              <w:right w:val="single" w:sz="5" w:space="0" w:color="000000"/>
            </w:tcBorders>
          </w:tcPr>
          <w:p w:rsidR="00163C9F" w:rsidRDefault="00163C9F" w:rsidP="00F72327">
            <w:pPr>
              <w:pStyle w:val="TableParagraph"/>
              <w:spacing w:line="250" w:lineRule="exact"/>
              <w:ind w:left="277"/>
              <w:rPr>
                <w:rFonts w:ascii="Times New Roman" w:eastAsia="Times New Roman" w:hAnsi="Times New Roman" w:cs="Times New Roman"/>
              </w:rPr>
            </w:pPr>
            <w:r>
              <w:rPr>
                <w:rFonts w:ascii="Times New Roman"/>
                <w:spacing w:val="-1"/>
              </w:rPr>
              <w:t>Median</w:t>
            </w:r>
            <w:r w:rsidR="007372DB">
              <w:rPr>
                <w:rFonts w:ascii="Times New Roman"/>
                <w:spacing w:val="-1"/>
                <w:position w:val="8"/>
                <w:sz w:val="14"/>
              </w:rPr>
              <w:t>e</w:t>
            </w:r>
            <w:r>
              <w:rPr>
                <w:rFonts w:ascii="Times New Roman"/>
                <w:spacing w:val="15"/>
                <w:position w:val="8"/>
                <w:sz w:val="14"/>
              </w:rPr>
              <w:t xml:space="preserve"> </w:t>
            </w:r>
            <w:r>
              <w:rPr>
                <w:rFonts w:ascii="Times New Roman"/>
                <w:spacing w:val="-1"/>
              </w:rPr>
              <w:t>(min,</w:t>
            </w:r>
            <w:r>
              <w:rPr>
                <w:rFonts w:ascii="Times New Roman"/>
                <w:spacing w:val="2"/>
              </w:rPr>
              <w:t xml:space="preserve"> </w:t>
            </w:r>
            <w:r>
              <w:rPr>
                <w:rFonts w:ascii="Times New Roman"/>
                <w:spacing w:val="-1"/>
              </w:rPr>
              <w:t>max):</w:t>
            </w:r>
            <w:r>
              <w:rPr>
                <w:rFonts w:ascii="Times New Roman"/>
                <w:spacing w:val="1"/>
              </w:rPr>
              <w:t xml:space="preserve"> </w:t>
            </w:r>
            <w:r>
              <w:rPr>
                <w:rFonts w:ascii="Times New Roman"/>
                <w:spacing w:val="-1"/>
              </w:rPr>
              <w:t>all</w:t>
            </w:r>
            <w:r>
              <w:rPr>
                <w:rFonts w:ascii="Times New Roman"/>
                <w:spacing w:val="-2"/>
              </w:rPr>
              <w:t xml:space="preserve"> </w:t>
            </w:r>
            <w:r>
              <w:rPr>
                <w:rFonts w:ascii="Times New Roman"/>
                <w:spacing w:val="-1"/>
              </w:rPr>
              <w:t>patients</w:t>
            </w:r>
          </w:p>
        </w:tc>
        <w:tc>
          <w:tcPr>
            <w:tcW w:w="2220" w:type="dxa"/>
            <w:tcBorders>
              <w:top w:val="single" w:sz="5" w:space="0" w:color="000000"/>
              <w:left w:val="single" w:sz="5" w:space="0" w:color="000000"/>
              <w:bottom w:val="single" w:sz="5" w:space="0" w:color="000000"/>
              <w:right w:val="single" w:sz="5" w:space="0" w:color="000000"/>
            </w:tcBorders>
          </w:tcPr>
          <w:p w:rsidR="00163C9F" w:rsidRDefault="00163C9F" w:rsidP="00F72327">
            <w:pPr>
              <w:pStyle w:val="TableParagraph"/>
              <w:spacing w:line="250" w:lineRule="exact"/>
              <w:ind w:left="423"/>
              <w:rPr>
                <w:rFonts w:ascii="Times New Roman" w:eastAsia="Times New Roman" w:hAnsi="Times New Roman" w:cs="Times New Roman"/>
              </w:rPr>
            </w:pPr>
            <w:r>
              <w:rPr>
                <w:rFonts w:ascii="Times New Roman"/>
              </w:rPr>
              <w:t xml:space="preserve">61.6 </w:t>
            </w:r>
            <w:r>
              <w:rPr>
                <w:rFonts w:ascii="Times New Roman"/>
                <w:spacing w:val="-1"/>
              </w:rPr>
              <w:t>(0.2,</w:t>
            </w:r>
            <w:r>
              <w:rPr>
                <w:rFonts w:ascii="Times New Roman"/>
              </w:rPr>
              <w:t xml:space="preserve"> </w:t>
            </w:r>
            <w:r>
              <w:rPr>
                <w:rFonts w:ascii="Times New Roman"/>
                <w:spacing w:val="-1"/>
              </w:rPr>
              <w:t>99.4)</w:t>
            </w:r>
          </w:p>
        </w:tc>
        <w:tc>
          <w:tcPr>
            <w:tcW w:w="2218" w:type="dxa"/>
            <w:tcBorders>
              <w:top w:val="single" w:sz="5" w:space="0" w:color="000000"/>
              <w:left w:val="single" w:sz="5" w:space="0" w:color="000000"/>
              <w:bottom w:val="single" w:sz="5" w:space="0" w:color="000000"/>
              <w:right w:val="single" w:sz="8" w:space="0" w:color="000000"/>
            </w:tcBorders>
          </w:tcPr>
          <w:p w:rsidR="00163C9F" w:rsidRDefault="00163C9F" w:rsidP="00F72327">
            <w:pPr>
              <w:pStyle w:val="TableParagraph"/>
              <w:spacing w:line="250" w:lineRule="exact"/>
              <w:ind w:left="421"/>
              <w:rPr>
                <w:rFonts w:ascii="Times New Roman" w:eastAsia="Times New Roman" w:hAnsi="Times New Roman" w:cs="Times New Roman"/>
              </w:rPr>
            </w:pPr>
            <w:r>
              <w:rPr>
                <w:rFonts w:ascii="Times New Roman"/>
              </w:rPr>
              <w:t xml:space="preserve">59.4 </w:t>
            </w:r>
            <w:r>
              <w:rPr>
                <w:rFonts w:ascii="Times New Roman"/>
                <w:spacing w:val="-1"/>
              </w:rPr>
              <w:t>(0.4,</w:t>
            </w:r>
            <w:r>
              <w:rPr>
                <w:rFonts w:ascii="Times New Roman"/>
              </w:rPr>
              <w:t xml:space="preserve"> </w:t>
            </w:r>
            <w:r>
              <w:rPr>
                <w:rFonts w:ascii="Times New Roman"/>
                <w:spacing w:val="-1"/>
              </w:rPr>
              <w:t>99.1)</w:t>
            </w:r>
          </w:p>
        </w:tc>
      </w:tr>
    </w:tbl>
    <w:p w:rsidR="007372DB" w:rsidRDefault="00163C9F" w:rsidP="004A3A6C">
      <w:pPr>
        <w:ind w:left="209" w:right="160"/>
        <w:rPr>
          <w:spacing w:val="-1"/>
          <w:sz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HR </w:t>
      </w:r>
      <w:r>
        <w:rPr>
          <w:sz w:val="16"/>
        </w:rPr>
        <w:t>=</w:t>
      </w:r>
      <w:r>
        <w:rPr>
          <w:spacing w:val="-1"/>
          <w:sz w:val="16"/>
        </w:rPr>
        <w:t xml:space="preserve"> hazard</w:t>
      </w:r>
      <w:r>
        <w:rPr>
          <w:spacing w:val="1"/>
          <w:sz w:val="16"/>
        </w:rPr>
        <w:t xml:space="preserve"> </w:t>
      </w:r>
      <w:r>
        <w:rPr>
          <w:spacing w:val="-1"/>
          <w:sz w:val="16"/>
        </w:rPr>
        <w:t xml:space="preserve">ratio; </w:t>
      </w:r>
      <w:r>
        <w:rPr>
          <w:sz w:val="16"/>
        </w:rPr>
        <w:t>max</w:t>
      </w:r>
      <w:r>
        <w:rPr>
          <w:spacing w:val="-3"/>
          <w:sz w:val="16"/>
        </w:rPr>
        <w:t xml:space="preserve"> </w:t>
      </w:r>
      <w:r>
        <w:rPr>
          <w:sz w:val="16"/>
        </w:rPr>
        <w:t>=</w:t>
      </w:r>
      <w:r>
        <w:rPr>
          <w:spacing w:val="1"/>
          <w:sz w:val="16"/>
        </w:rPr>
        <w:t xml:space="preserve"> </w:t>
      </w:r>
      <w:r>
        <w:rPr>
          <w:spacing w:val="-1"/>
          <w:sz w:val="16"/>
        </w:rPr>
        <w:t>maximum;</w:t>
      </w:r>
      <w:r>
        <w:rPr>
          <w:spacing w:val="1"/>
          <w:sz w:val="16"/>
        </w:rPr>
        <w:t xml:space="preserve"> </w:t>
      </w:r>
      <w:r>
        <w:rPr>
          <w:spacing w:val="-2"/>
          <w:sz w:val="16"/>
        </w:rPr>
        <w:t>min</w:t>
      </w:r>
      <w:r>
        <w:rPr>
          <w:spacing w:val="2"/>
          <w:sz w:val="16"/>
        </w:rPr>
        <w:t xml:space="preserve"> </w:t>
      </w:r>
      <w:r>
        <w:rPr>
          <w:sz w:val="16"/>
        </w:rPr>
        <w:t>=</w:t>
      </w:r>
      <w:r>
        <w:rPr>
          <w:spacing w:val="-1"/>
          <w:sz w:val="16"/>
        </w:rPr>
        <w:t xml:space="preserve"> minimum; NE</w:t>
      </w:r>
      <w:r>
        <w:rPr>
          <w:spacing w:val="-2"/>
          <w:sz w:val="16"/>
        </w:rPr>
        <w:t xml:space="preserve"> </w:t>
      </w:r>
      <w:r>
        <w:rPr>
          <w:sz w:val="16"/>
        </w:rPr>
        <w:t>=</w:t>
      </w:r>
      <w:r>
        <w:rPr>
          <w:spacing w:val="-1"/>
          <w:sz w:val="16"/>
        </w:rPr>
        <w:t xml:space="preserve"> not</w:t>
      </w:r>
      <w:r>
        <w:rPr>
          <w:spacing w:val="1"/>
          <w:sz w:val="16"/>
        </w:rPr>
        <w:t xml:space="preserve"> </w:t>
      </w:r>
      <w:r>
        <w:rPr>
          <w:spacing w:val="-1"/>
          <w:sz w:val="16"/>
        </w:rPr>
        <w:t>estimable;</w:t>
      </w:r>
      <w:r>
        <w:rPr>
          <w:spacing w:val="1"/>
          <w:sz w:val="16"/>
        </w:rPr>
        <w:t xml:space="preserve"> </w:t>
      </w:r>
      <w:r>
        <w:rPr>
          <w:spacing w:val="-1"/>
          <w:sz w:val="16"/>
        </w:rPr>
        <w:t>OS</w:t>
      </w:r>
      <w:r>
        <w:rPr>
          <w:sz w:val="16"/>
        </w:rPr>
        <w:t xml:space="preserve"> =</w:t>
      </w:r>
      <w:r>
        <w:rPr>
          <w:spacing w:val="1"/>
          <w:sz w:val="16"/>
        </w:rPr>
        <w:t xml:space="preserve"> </w:t>
      </w:r>
      <w:r>
        <w:rPr>
          <w:spacing w:val="-2"/>
          <w:sz w:val="16"/>
        </w:rPr>
        <w:t>overall</w:t>
      </w:r>
      <w:r>
        <w:rPr>
          <w:spacing w:val="-1"/>
          <w:sz w:val="16"/>
        </w:rPr>
        <w:t xml:space="preserve"> survival;</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69"/>
          <w:sz w:val="16"/>
        </w:rPr>
        <w:t xml:space="preserve"> </w:t>
      </w:r>
      <w:r>
        <w:rPr>
          <w:spacing w:val="-1"/>
          <w:sz w:val="16"/>
        </w:rPr>
        <w:t>survival</w:t>
      </w:r>
      <w:r w:rsidR="007372DB">
        <w:rPr>
          <w:spacing w:val="-1"/>
          <w:sz w:val="16"/>
        </w:rPr>
        <w:t>.</w:t>
      </w:r>
    </w:p>
    <w:p w:rsidR="00163C9F" w:rsidRDefault="007372DB" w:rsidP="004A3A6C">
      <w:pPr>
        <w:ind w:left="209" w:right="160"/>
        <w:rPr>
          <w:rFonts w:eastAsia="Times New Roman"/>
          <w:sz w:val="16"/>
          <w:szCs w:val="16"/>
        </w:rPr>
      </w:pPr>
      <w:r>
        <w:rPr>
          <w:position w:val="6"/>
          <w:sz w:val="10"/>
        </w:rPr>
        <w:t>a</w:t>
      </w:r>
      <w:r w:rsidR="00163C9F">
        <w:rPr>
          <w:spacing w:val="-2"/>
          <w:position w:val="6"/>
          <w:sz w:val="10"/>
        </w:rPr>
        <w:t xml:space="preserve"> </w:t>
      </w:r>
      <w:r w:rsidR="00163C9F">
        <w:rPr>
          <w:spacing w:val="-1"/>
          <w:sz w:val="16"/>
        </w:rPr>
        <w:t xml:space="preserve">The median </w:t>
      </w:r>
      <w:r w:rsidR="00163C9F">
        <w:rPr>
          <w:sz w:val="16"/>
        </w:rPr>
        <w:t>is</w:t>
      </w:r>
      <w:r w:rsidR="00163C9F">
        <w:rPr>
          <w:spacing w:val="-2"/>
          <w:sz w:val="16"/>
        </w:rPr>
        <w:t xml:space="preserve"> </w:t>
      </w:r>
      <w:r w:rsidR="00163C9F">
        <w:rPr>
          <w:spacing w:val="-1"/>
          <w:sz w:val="16"/>
        </w:rPr>
        <w:t>based</w:t>
      </w:r>
      <w:r w:rsidR="00163C9F">
        <w:rPr>
          <w:spacing w:val="1"/>
          <w:sz w:val="16"/>
        </w:rPr>
        <w:t xml:space="preserve"> </w:t>
      </w:r>
      <w:r w:rsidR="00163C9F">
        <w:rPr>
          <w:spacing w:val="-1"/>
          <w:sz w:val="16"/>
        </w:rPr>
        <w:t>on Kaplan-Meier</w:t>
      </w:r>
      <w:r w:rsidR="00163C9F">
        <w:rPr>
          <w:sz w:val="16"/>
        </w:rPr>
        <w:t xml:space="preserve"> </w:t>
      </w:r>
      <w:r w:rsidR="00163C9F">
        <w:rPr>
          <w:spacing w:val="-1"/>
          <w:sz w:val="16"/>
        </w:rPr>
        <w:t>estimate.</w:t>
      </w:r>
    </w:p>
    <w:p w:rsidR="00163C9F" w:rsidRDefault="007372DB" w:rsidP="00163C9F">
      <w:pPr>
        <w:spacing w:line="184" w:lineRule="exact"/>
        <w:ind w:left="209"/>
        <w:rPr>
          <w:rFonts w:eastAsia="Times New Roman"/>
          <w:sz w:val="16"/>
          <w:szCs w:val="16"/>
        </w:rPr>
      </w:pPr>
      <w:r>
        <w:rPr>
          <w:position w:val="6"/>
          <w:sz w:val="10"/>
        </w:rPr>
        <w:t>b</w:t>
      </w:r>
      <w:r w:rsidR="00163C9F">
        <w:rPr>
          <w:spacing w:val="-1"/>
          <w:position w:val="6"/>
          <w:sz w:val="10"/>
        </w:rPr>
        <w:t xml:space="preserve"> </w:t>
      </w:r>
      <w:r w:rsidR="00163C9F">
        <w:rPr>
          <w:spacing w:val="-1"/>
          <w:sz w:val="16"/>
        </w:rPr>
        <w:t>Two-sided</w:t>
      </w:r>
      <w:r w:rsidR="00163C9F">
        <w:rPr>
          <w:spacing w:val="2"/>
          <w:sz w:val="16"/>
        </w:rPr>
        <w:t xml:space="preserve"> </w:t>
      </w:r>
      <w:r w:rsidR="00163C9F">
        <w:rPr>
          <w:sz w:val="16"/>
        </w:rPr>
        <w:t>95%</w:t>
      </w:r>
      <w:r w:rsidR="00163C9F">
        <w:rPr>
          <w:spacing w:val="-1"/>
          <w:sz w:val="16"/>
        </w:rPr>
        <w:t xml:space="preserve"> </w:t>
      </w:r>
      <w:r w:rsidR="00163C9F">
        <w:rPr>
          <w:sz w:val="16"/>
        </w:rPr>
        <w:t>CI</w:t>
      </w:r>
      <w:r w:rsidR="00163C9F">
        <w:rPr>
          <w:spacing w:val="-5"/>
          <w:sz w:val="16"/>
        </w:rPr>
        <w:t xml:space="preserve"> </w:t>
      </w:r>
      <w:r w:rsidR="00163C9F">
        <w:rPr>
          <w:sz w:val="16"/>
        </w:rPr>
        <w:t>about</w:t>
      </w:r>
      <w:r w:rsidR="00163C9F">
        <w:rPr>
          <w:spacing w:val="-1"/>
          <w:sz w:val="16"/>
        </w:rPr>
        <w:t xml:space="preserve"> </w:t>
      </w:r>
      <w:r w:rsidR="00163C9F">
        <w:rPr>
          <w:sz w:val="16"/>
        </w:rPr>
        <w:t>the</w:t>
      </w:r>
      <w:r w:rsidR="00163C9F">
        <w:rPr>
          <w:spacing w:val="-2"/>
          <w:sz w:val="16"/>
        </w:rPr>
        <w:t xml:space="preserve"> </w:t>
      </w:r>
      <w:r w:rsidR="00163C9F">
        <w:rPr>
          <w:spacing w:val="-1"/>
          <w:sz w:val="16"/>
        </w:rPr>
        <w:t>median time.</w:t>
      </w:r>
    </w:p>
    <w:p w:rsidR="00163C9F" w:rsidRDefault="007372DB" w:rsidP="00163C9F">
      <w:pPr>
        <w:spacing w:line="185" w:lineRule="exact"/>
        <w:ind w:left="209"/>
        <w:rPr>
          <w:rFonts w:eastAsia="Times New Roman"/>
          <w:sz w:val="16"/>
          <w:szCs w:val="16"/>
        </w:rPr>
      </w:pPr>
      <w:proofErr w:type="gramStart"/>
      <w:r>
        <w:rPr>
          <w:position w:val="6"/>
          <w:sz w:val="10"/>
        </w:rPr>
        <w:t>c</w:t>
      </w:r>
      <w:proofErr w:type="gramEnd"/>
      <w:r w:rsidR="00163C9F">
        <w:rPr>
          <w:spacing w:val="1"/>
          <w:position w:val="6"/>
          <w:sz w:val="10"/>
        </w:rPr>
        <w:t xml:space="preserve"> </w:t>
      </w:r>
      <w:r w:rsidR="00163C9F">
        <w:rPr>
          <w:spacing w:val="-1"/>
          <w:sz w:val="16"/>
        </w:rPr>
        <w:t>Based</w:t>
      </w:r>
      <w:r w:rsidR="00163C9F">
        <w:rPr>
          <w:spacing w:val="2"/>
          <w:sz w:val="16"/>
        </w:rPr>
        <w:t xml:space="preserve"> </w:t>
      </w:r>
      <w:r w:rsidR="00163C9F">
        <w:rPr>
          <w:spacing w:val="-1"/>
          <w:sz w:val="16"/>
        </w:rPr>
        <w:t>on unstratified Cox proportional</w:t>
      </w:r>
      <w:r w:rsidR="00163C9F">
        <w:rPr>
          <w:spacing w:val="-4"/>
          <w:sz w:val="16"/>
        </w:rPr>
        <w:t xml:space="preserve"> </w:t>
      </w:r>
      <w:r w:rsidR="00163C9F">
        <w:rPr>
          <w:spacing w:val="-1"/>
          <w:sz w:val="16"/>
        </w:rPr>
        <w:t>hazards</w:t>
      </w:r>
      <w:r w:rsidR="00163C9F">
        <w:rPr>
          <w:spacing w:val="-2"/>
          <w:sz w:val="16"/>
        </w:rPr>
        <w:t xml:space="preserve"> </w:t>
      </w:r>
      <w:r w:rsidR="00163C9F">
        <w:rPr>
          <w:spacing w:val="-1"/>
          <w:sz w:val="16"/>
        </w:rPr>
        <w:t>model comparing hazard</w:t>
      </w:r>
      <w:r w:rsidR="00163C9F">
        <w:rPr>
          <w:spacing w:val="2"/>
          <w:sz w:val="16"/>
        </w:rPr>
        <w:t xml:space="preserve"> </w:t>
      </w:r>
      <w:r w:rsidR="00163C9F">
        <w:rPr>
          <w:spacing w:val="-1"/>
          <w:sz w:val="16"/>
        </w:rPr>
        <w:t>functions</w:t>
      </w:r>
      <w:r w:rsidR="00163C9F">
        <w:rPr>
          <w:spacing w:val="-2"/>
          <w:sz w:val="16"/>
        </w:rPr>
        <w:t xml:space="preserve"> </w:t>
      </w:r>
      <w:r w:rsidR="00163C9F">
        <w:rPr>
          <w:spacing w:val="-1"/>
          <w:sz w:val="16"/>
        </w:rPr>
        <w:t>associated with treatment arms</w:t>
      </w:r>
      <w:r w:rsidR="00163C9F">
        <w:rPr>
          <w:sz w:val="16"/>
        </w:rPr>
        <w:t xml:space="preserve"> </w:t>
      </w:r>
      <w:r w:rsidR="00163C9F">
        <w:rPr>
          <w:spacing w:val="-1"/>
          <w:sz w:val="16"/>
        </w:rPr>
        <w:t>(RVd:Rd).</w:t>
      </w:r>
    </w:p>
    <w:p w:rsidR="007372DB" w:rsidRDefault="007372DB" w:rsidP="00163C9F">
      <w:pPr>
        <w:ind w:left="209" w:right="6193"/>
        <w:rPr>
          <w:spacing w:val="-1"/>
          <w:sz w:val="16"/>
        </w:rPr>
      </w:pPr>
      <w:r>
        <w:rPr>
          <w:position w:val="6"/>
          <w:sz w:val="10"/>
        </w:rPr>
        <w:t>d</w:t>
      </w:r>
      <w:r w:rsidR="00163C9F">
        <w:rPr>
          <w:spacing w:val="-1"/>
          <w:position w:val="6"/>
          <w:sz w:val="10"/>
        </w:rPr>
        <w:t xml:space="preserve"> </w:t>
      </w:r>
      <w:r w:rsidR="00163C9F">
        <w:rPr>
          <w:spacing w:val="-1"/>
          <w:sz w:val="16"/>
        </w:rPr>
        <w:t xml:space="preserve">The p-value </w:t>
      </w:r>
      <w:r w:rsidR="00163C9F">
        <w:rPr>
          <w:sz w:val="16"/>
        </w:rPr>
        <w:t>is</w:t>
      </w:r>
      <w:r w:rsidR="00163C9F">
        <w:rPr>
          <w:spacing w:val="-2"/>
          <w:sz w:val="16"/>
        </w:rPr>
        <w:t xml:space="preserve"> </w:t>
      </w:r>
      <w:r w:rsidR="00163C9F">
        <w:rPr>
          <w:spacing w:val="-1"/>
          <w:sz w:val="16"/>
        </w:rPr>
        <w:t>based on unstratified</w:t>
      </w:r>
      <w:r w:rsidR="00163C9F">
        <w:rPr>
          <w:spacing w:val="2"/>
          <w:sz w:val="16"/>
        </w:rPr>
        <w:t xml:space="preserve"> </w:t>
      </w:r>
      <w:r w:rsidR="00163C9F">
        <w:rPr>
          <w:spacing w:val="-1"/>
          <w:sz w:val="16"/>
        </w:rPr>
        <w:t>log-rank</w:t>
      </w:r>
      <w:r w:rsidR="00163C9F">
        <w:rPr>
          <w:spacing w:val="2"/>
          <w:sz w:val="16"/>
        </w:rPr>
        <w:t xml:space="preserve"> </w:t>
      </w:r>
      <w:r w:rsidR="00163C9F">
        <w:rPr>
          <w:spacing w:val="-1"/>
          <w:sz w:val="16"/>
        </w:rPr>
        <w:t>test.</w:t>
      </w:r>
    </w:p>
    <w:p w:rsidR="007372DB" w:rsidRDefault="007372DB" w:rsidP="007372DB">
      <w:pPr>
        <w:ind w:left="209" w:right="160"/>
        <w:rPr>
          <w:rFonts w:eastAsia="Times New Roman"/>
          <w:sz w:val="16"/>
          <w:szCs w:val="16"/>
        </w:rPr>
      </w:pPr>
      <w:r>
        <w:rPr>
          <w:position w:val="6"/>
          <w:sz w:val="10"/>
        </w:rPr>
        <w:t xml:space="preserve">e </w:t>
      </w:r>
      <w:r>
        <w:rPr>
          <w:spacing w:val="-1"/>
          <w:sz w:val="16"/>
        </w:rPr>
        <w:t>Median follow-up</w:t>
      </w:r>
      <w:r>
        <w:rPr>
          <w:spacing w:val="2"/>
          <w:sz w:val="16"/>
        </w:rPr>
        <w:t xml:space="preserve"> </w:t>
      </w:r>
      <w:r>
        <w:rPr>
          <w:spacing w:val="-2"/>
          <w:sz w:val="16"/>
        </w:rPr>
        <w:t>was</w:t>
      </w:r>
      <w:r>
        <w:rPr>
          <w:spacing w:val="1"/>
          <w:sz w:val="16"/>
        </w:rPr>
        <w:t xml:space="preserve"> </w:t>
      </w:r>
      <w:r>
        <w:rPr>
          <w:spacing w:val="-1"/>
          <w:sz w:val="16"/>
        </w:rPr>
        <w:t>calculated</w:t>
      </w:r>
      <w:r>
        <w:rPr>
          <w:spacing w:val="2"/>
          <w:sz w:val="16"/>
        </w:rPr>
        <w:t xml:space="preserve"> </w:t>
      </w:r>
      <w:r>
        <w:rPr>
          <w:spacing w:val="-1"/>
          <w:sz w:val="16"/>
        </w:rPr>
        <w:t>from</w:t>
      </w:r>
      <w:r>
        <w:rPr>
          <w:sz w:val="16"/>
        </w:rPr>
        <w:t xml:space="preserve"> </w:t>
      </w:r>
      <w:r>
        <w:rPr>
          <w:spacing w:val="-1"/>
          <w:sz w:val="16"/>
        </w:rPr>
        <w:t>the date of</w:t>
      </w:r>
      <w:r>
        <w:rPr>
          <w:sz w:val="16"/>
        </w:rPr>
        <w:t xml:space="preserve"> </w:t>
      </w:r>
      <w:r>
        <w:rPr>
          <w:spacing w:val="-1"/>
          <w:sz w:val="16"/>
        </w:rPr>
        <w:t>randomization.</w:t>
      </w:r>
    </w:p>
    <w:p w:rsidR="00163C9F" w:rsidRDefault="00163C9F" w:rsidP="00163C9F">
      <w:pPr>
        <w:ind w:left="209" w:right="6193"/>
        <w:rPr>
          <w:rFonts w:eastAsia="Times New Roman"/>
          <w:sz w:val="16"/>
          <w:szCs w:val="16"/>
        </w:rPr>
      </w:pPr>
      <w:r>
        <w:rPr>
          <w:sz w:val="16"/>
        </w:rPr>
        <w:t>Data</w:t>
      </w:r>
      <w:r>
        <w:rPr>
          <w:spacing w:val="-1"/>
          <w:sz w:val="16"/>
        </w:rPr>
        <w:t xml:space="preserve"> cutoff</w:t>
      </w:r>
      <w:r>
        <w:rPr>
          <w:sz w:val="16"/>
        </w:rPr>
        <w:t xml:space="preserve"> </w:t>
      </w:r>
      <w:r>
        <w:rPr>
          <w:spacing w:val="-1"/>
          <w:sz w:val="16"/>
        </w:rPr>
        <w:t xml:space="preserve">date </w:t>
      </w:r>
      <w:r>
        <w:rPr>
          <w:sz w:val="16"/>
        </w:rPr>
        <w:t>=</w:t>
      </w:r>
      <w:r>
        <w:rPr>
          <w:spacing w:val="-1"/>
          <w:sz w:val="16"/>
        </w:rPr>
        <w:t xml:space="preserve"> 01</w:t>
      </w:r>
      <w:r>
        <w:rPr>
          <w:spacing w:val="2"/>
          <w:sz w:val="16"/>
        </w:rPr>
        <w:t xml:space="preserve"> </w:t>
      </w:r>
      <w:r>
        <w:rPr>
          <w:spacing w:val="-1"/>
          <w:sz w:val="16"/>
        </w:rPr>
        <w:t>Dec 2016.</w:t>
      </w:r>
    </w:p>
    <w:p w:rsidR="00163C9F" w:rsidRDefault="00163C9F" w:rsidP="00163C9F">
      <w:pPr>
        <w:spacing w:before="10"/>
        <w:rPr>
          <w:rFonts w:eastAsia="Times New Roman"/>
          <w:sz w:val="21"/>
          <w:szCs w:val="21"/>
        </w:rPr>
      </w:pPr>
    </w:p>
    <w:p w:rsidR="00163C9F" w:rsidRDefault="00163C9F" w:rsidP="004273C8">
      <w:r>
        <w:t>Updated</w:t>
      </w:r>
      <w:r>
        <w:rPr>
          <w:spacing w:val="-2"/>
        </w:rPr>
        <w:t xml:space="preserve"> </w:t>
      </w:r>
      <w:r>
        <w:t>OS results, using</w:t>
      </w:r>
      <w:r>
        <w:rPr>
          <w:spacing w:val="-2"/>
        </w:rPr>
        <w:t xml:space="preserve"> </w:t>
      </w:r>
      <w:r>
        <w:t>a</w:t>
      </w:r>
      <w:r>
        <w:rPr>
          <w:spacing w:val="-2"/>
        </w:rPr>
        <w:t xml:space="preserve"> </w:t>
      </w:r>
      <w:r>
        <w:t>cut-off</w:t>
      </w:r>
      <w:r>
        <w:rPr>
          <w:spacing w:val="1"/>
        </w:rPr>
        <w:t xml:space="preserve"> </w:t>
      </w:r>
      <w:r>
        <w:t>of</w:t>
      </w:r>
      <w:r>
        <w:rPr>
          <w:spacing w:val="-2"/>
        </w:rPr>
        <w:t xml:space="preserve"> </w:t>
      </w:r>
      <w:r>
        <w:t>01 May</w:t>
      </w:r>
      <w:r>
        <w:rPr>
          <w:spacing w:val="-3"/>
        </w:rPr>
        <w:t xml:space="preserve"> </w:t>
      </w:r>
      <w:r>
        <w:t>2018 (84.2 months</w:t>
      </w:r>
      <w:r>
        <w:rPr>
          <w:spacing w:val="1"/>
        </w:rPr>
        <w:t xml:space="preserve"> </w:t>
      </w:r>
      <w:r>
        <w:t>median follow-up for</w:t>
      </w:r>
      <w:r>
        <w:rPr>
          <w:spacing w:val="1"/>
        </w:rPr>
        <w:t xml:space="preserve"> </w:t>
      </w:r>
      <w:r>
        <w:t>surviving</w:t>
      </w:r>
      <w:r>
        <w:rPr>
          <w:spacing w:val="-3"/>
        </w:rPr>
        <w:t xml:space="preserve"> </w:t>
      </w:r>
      <w:r>
        <w:t>subjects)</w:t>
      </w:r>
      <w:r>
        <w:rPr>
          <w:spacing w:val="67"/>
        </w:rPr>
        <w:t xml:space="preserve"> </w:t>
      </w:r>
      <w:r>
        <w:t>continue</w:t>
      </w:r>
      <w:r>
        <w:rPr>
          <w:spacing w:val="-2"/>
        </w:rPr>
        <w:t xml:space="preserve"> </w:t>
      </w:r>
      <w:r>
        <w:t>to</w:t>
      </w:r>
      <w:r>
        <w:rPr>
          <w:spacing w:val="-2"/>
        </w:rPr>
        <w:t xml:space="preserve"> </w:t>
      </w:r>
      <w:r>
        <w:t xml:space="preserve">show an OS </w:t>
      </w:r>
      <w:r>
        <w:rPr>
          <w:spacing w:val="-2"/>
        </w:rPr>
        <w:t>advantage</w:t>
      </w:r>
      <w:r>
        <w:t xml:space="preserve"> favouring</w:t>
      </w:r>
      <w:r>
        <w:rPr>
          <w:spacing w:val="-3"/>
        </w:rPr>
        <w:t xml:space="preserve"> </w:t>
      </w:r>
      <w:r>
        <w:t>RVd:</w:t>
      </w:r>
      <w:r>
        <w:rPr>
          <w:spacing w:val="1"/>
        </w:rPr>
        <w:t xml:space="preserve"> </w:t>
      </w:r>
      <w:r>
        <w:rPr>
          <w:spacing w:val="-2"/>
        </w:rPr>
        <w:t>HR</w:t>
      </w:r>
      <w:r>
        <w:t xml:space="preserve"> = 0.73 (95%</w:t>
      </w:r>
      <w:r>
        <w:rPr>
          <w:spacing w:val="1"/>
        </w:rPr>
        <w:t xml:space="preserve"> </w:t>
      </w:r>
      <w:r>
        <w:t>CI</w:t>
      </w:r>
      <w:r>
        <w:rPr>
          <w:spacing w:val="-4"/>
        </w:rPr>
        <w:t xml:space="preserve"> </w:t>
      </w:r>
      <w:r>
        <w:t>0.57, 0.94;</w:t>
      </w:r>
      <w:r>
        <w:rPr>
          <w:spacing w:val="1"/>
        </w:rPr>
        <w:t xml:space="preserve"> </w:t>
      </w:r>
      <w:r>
        <w:t>p=0.014).</w:t>
      </w:r>
      <w:r>
        <w:rPr>
          <w:spacing w:val="-3"/>
        </w:rPr>
        <w:t xml:space="preserve"> </w:t>
      </w:r>
      <w:r>
        <w:t>The</w:t>
      </w:r>
      <w:r>
        <w:rPr>
          <w:spacing w:val="1"/>
        </w:rPr>
        <w:t xml:space="preserve"> </w:t>
      </w:r>
      <w:r>
        <w:t>proportion</w:t>
      </w:r>
      <w:r>
        <w:rPr>
          <w:spacing w:val="71"/>
        </w:rPr>
        <w:t xml:space="preserve"> </w:t>
      </w:r>
      <w:r>
        <w:t>of</w:t>
      </w:r>
      <w:r>
        <w:rPr>
          <w:spacing w:val="1"/>
        </w:rPr>
        <w:t xml:space="preserve"> </w:t>
      </w:r>
      <w:r>
        <w:t>subjects</w:t>
      </w:r>
      <w:r>
        <w:rPr>
          <w:spacing w:val="-2"/>
        </w:rPr>
        <w:t xml:space="preserve"> </w:t>
      </w:r>
      <w:r>
        <w:t>alive after</w:t>
      </w:r>
      <w:r>
        <w:rPr>
          <w:spacing w:val="-2"/>
        </w:rPr>
        <w:t xml:space="preserve"> </w:t>
      </w:r>
      <w:r>
        <w:t>7 years</w:t>
      </w:r>
      <w:r>
        <w:rPr>
          <w:spacing w:val="1"/>
        </w:rPr>
        <w:t xml:space="preserve"> </w:t>
      </w:r>
      <w:r>
        <w:t>was</w:t>
      </w:r>
      <w:r>
        <w:rPr>
          <w:spacing w:val="-2"/>
        </w:rPr>
        <w:t xml:space="preserve"> </w:t>
      </w:r>
      <w:r>
        <w:t>54.7%</w:t>
      </w:r>
      <w:r>
        <w:rPr>
          <w:spacing w:val="1"/>
        </w:rPr>
        <w:t xml:space="preserve"> </w:t>
      </w:r>
      <w:r>
        <w:t>in</w:t>
      </w:r>
      <w:r>
        <w:rPr>
          <w:spacing w:val="-2"/>
        </w:rPr>
        <w:t xml:space="preserve"> </w:t>
      </w:r>
      <w:r>
        <w:t>the</w:t>
      </w:r>
      <w:r>
        <w:rPr>
          <w:spacing w:val="-2"/>
        </w:rPr>
        <w:t xml:space="preserve"> </w:t>
      </w:r>
      <w:r>
        <w:t>RVd</w:t>
      </w:r>
      <w:r>
        <w:rPr>
          <w:spacing w:val="-3"/>
        </w:rPr>
        <w:t xml:space="preserve"> </w:t>
      </w:r>
      <w:r>
        <w:t>arm versus 44.7%</w:t>
      </w:r>
      <w:r>
        <w:rPr>
          <w:spacing w:val="1"/>
        </w:rPr>
        <w:t xml:space="preserve"> </w:t>
      </w:r>
      <w:r>
        <w:t xml:space="preserve">in the Rd </w:t>
      </w:r>
      <w:r>
        <w:rPr>
          <w:spacing w:val="-2"/>
        </w:rPr>
        <w:t>arm.</w:t>
      </w:r>
    </w:p>
    <w:p w:rsidR="00506994" w:rsidRDefault="00506994" w:rsidP="00AB7A9E">
      <w:pPr>
        <w:ind w:right="820"/>
        <w:rPr>
          <w:rFonts w:eastAsia="Times New Roman"/>
          <w:i/>
          <w:iCs/>
        </w:rPr>
      </w:pPr>
    </w:p>
    <w:p w:rsidR="00506994" w:rsidRPr="004273C8" w:rsidRDefault="00506994" w:rsidP="00AB7A9E">
      <w:pPr>
        <w:pStyle w:val="ListParagraph"/>
        <w:numPr>
          <w:ilvl w:val="0"/>
          <w:numId w:val="59"/>
        </w:numPr>
        <w:ind w:right="820"/>
        <w:rPr>
          <w:u w:val="single"/>
        </w:rPr>
      </w:pPr>
      <w:r w:rsidRPr="004273C8">
        <w:rPr>
          <w:rFonts w:eastAsia="Times New Roman"/>
          <w:iCs/>
          <w:u w:val="single"/>
        </w:rPr>
        <w:t xml:space="preserve">Lenalidomide in combination with dexamethasone in patients who are not </w:t>
      </w:r>
      <w:r w:rsidR="00A10569" w:rsidRPr="004273C8">
        <w:rPr>
          <w:rFonts w:eastAsia="Times New Roman"/>
          <w:iCs/>
          <w:u w:val="single"/>
        </w:rPr>
        <w:t xml:space="preserve">eligible </w:t>
      </w:r>
      <w:r w:rsidRPr="004273C8">
        <w:rPr>
          <w:rFonts w:eastAsia="Times New Roman"/>
          <w:iCs/>
          <w:u w:val="single"/>
        </w:rPr>
        <w:t>for stem cell transplantation</w:t>
      </w:r>
    </w:p>
    <w:p w:rsidR="00AB7A9E" w:rsidRPr="00AB7A9E" w:rsidRDefault="00AB7A9E" w:rsidP="00514498">
      <w:pPr>
        <w:autoSpaceDE w:val="0"/>
        <w:autoSpaceDN w:val="0"/>
        <w:adjustRightInd w:val="0"/>
        <w:rPr>
          <w:rFonts w:eastAsia="Times New Roman"/>
        </w:rPr>
      </w:pPr>
      <w:r w:rsidRPr="00AB7A9E">
        <w:rPr>
          <w:rFonts w:eastAsia="Times New Roman"/>
        </w:rPr>
        <w:t xml:space="preserve">The safety and efficacy of lenalidomide was assessed in a phase </w:t>
      </w:r>
      <w:r w:rsidR="00163C9F">
        <w:rPr>
          <w:rFonts w:eastAsia="Times New Roman"/>
        </w:rPr>
        <w:t>3</w:t>
      </w:r>
      <w:r w:rsidRPr="00AB7A9E">
        <w:rPr>
          <w:rFonts w:eastAsia="Times New Roman"/>
        </w:rPr>
        <w:t>, multicentr</w:t>
      </w:r>
      <w:r w:rsidR="00163C9F">
        <w:rPr>
          <w:rFonts w:eastAsia="Times New Roman"/>
        </w:rPr>
        <w:t>e</w:t>
      </w:r>
      <w:r w:rsidRPr="00AB7A9E">
        <w:rPr>
          <w:rFonts w:eastAsia="Times New Roman"/>
        </w:rPr>
        <w:t>, randomised, open-label,</w:t>
      </w:r>
    </w:p>
    <w:p w:rsidR="00AB7A9E" w:rsidRPr="00AB7A9E" w:rsidRDefault="00AB7A9E" w:rsidP="00514498">
      <w:pPr>
        <w:autoSpaceDE w:val="0"/>
        <w:autoSpaceDN w:val="0"/>
        <w:adjustRightInd w:val="0"/>
        <w:rPr>
          <w:rFonts w:eastAsia="Times New Roman"/>
        </w:rPr>
      </w:pPr>
      <w:r w:rsidRPr="00AB7A9E">
        <w:rPr>
          <w:rFonts w:eastAsia="Times New Roman"/>
        </w:rPr>
        <w:t>3-arm study (MM-020) of patients who were at least 65 years of age or older or, if younger than 65 years of</w:t>
      </w:r>
    </w:p>
    <w:p w:rsidR="00AB7A9E" w:rsidRPr="00AB7A9E" w:rsidRDefault="00AB7A9E" w:rsidP="00514498">
      <w:pPr>
        <w:autoSpaceDE w:val="0"/>
        <w:autoSpaceDN w:val="0"/>
        <w:adjustRightInd w:val="0"/>
        <w:rPr>
          <w:rFonts w:eastAsia="Times New Roman"/>
        </w:rPr>
      </w:pPr>
      <w:r w:rsidRPr="00AB7A9E">
        <w:rPr>
          <w:rFonts w:eastAsia="Times New Roman"/>
        </w:rPr>
        <w:t>age, were not candidates for stem cell transplantation because they declined to undergo stem cell</w:t>
      </w:r>
    </w:p>
    <w:p w:rsidR="00AB7A9E" w:rsidRPr="00AB7A9E" w:rsidRDefault="00AB7A9E" w:rsidP="00514498">
      <w:pPr>
        <w:autoSpaceDE w:val="0"/>
        <w:autoSpaceDN w:val="0"/>
        <w:adjustRightInd w:val="0"/>
        <w:rPr>
          <w:rFonts w:eastAsia="Times New Roman"/>
        </w:rPr>
      </w:pPr>
      <w:r w:rsidRPr="00AB7A9E">
        <w:rPr>
          <w:rFonts w:eastAsia="Times New Roman"/>
        </w:rPr>
        <w:t>transplantation or stem cell transplantation is not available to the patient due to cost or other reason.</w:t>
      </w:r>
      <w:r w:rsidR="008152F9">
        <w:rPr>
          <w:rFonts w:eastAsia="Times New Roman"/>
        </w:rPr>
        <w:t xml:space="preserve"> </w:t>
      </w:r>
      <w:r w:rsidRPr="00AB7A9E">
        <w:rPr>
          <w:rFonts w:eastAsia="Times New Roman"/>
        </w:rPr>
        <w:t>The study</w:t>
      </w:r>
    </w:p>
    <w:p w:rsidR="00AB7A9E" w:rsidRPr="00AB7A9E" w:rsidRDefault="00AB7A9E" w:rsidP="00514498">
      <w:pPr>
        <w:autoSpaceDE w:val="0"/>
        <w:autoSpaceDN w:val="0"/>
        <w:adjustRightInd w:val="0"/>
        <w:rPr>
          <w:rFonts w:eastAsia="Times New Roman"/>
        </w:rPr>
      </w:pPr>
      <w:r w:rsidRPr="00AB7A9E">
        <w:rPr>
          <w:rFonts w:eastAsia="Times New Roman"/>
        </w:rPr>
        <w:t>(MM-020) compared lenalidomide and dexamethasone (Rd) given for 2 different durations of time (i.e., until</w:t>
      </w:r>
    </w:p>
    <w:p w:rsidR="00AB7A9E" w:rsidRPr="00AB7A9E" w:rsidRDefault="00AB7A9E" w:rsidP="00514498">
      <w:pPr>
        <w:autoSpaceDE w:val="0"/>
        <w:autoSpaceDN w:val="0"/>
        <w:adjustRightInd w:val="0"/>
        <w:rPr>
          <w:rFonts w:eastAsia="Times New Roman"/>
        </w:rPr>
      </w:pPr>
      <w:r w:rsidRPr="00AB7A9E">
        <w:rPr>
          <w:rFonts w:eastAsia="Times New Roman"/>
        </w:rPr>
        <w:t>progressive disease [Arm Rd] or for up to eighteen 28-day cycles [72 weeks, Arm Rd18]) to melphalan,</w:t>
      </w:r>
    </w:p>
    <w:p w:rsidR="00AB7A9E" w:rsidRPr="00AB7A9E" w:rsidRDefault="00AB7A9E" w:rsidP="00514498">
      <w:pPr>
        <w:autoSpaceDE w:val="0"/>
        <w:autoSpaceDN w:val="0"/>
        <w:adjustRightInd w:val="0"/>
        <w:rPr>
          <w:rFonts w:eastAsia="Times New Roman"/>
        </w:rPr>
      </w:pPr>
      <w:r w:rsidRPr="00AB7A9E">
        <w:rPr>
          <w:rFonts w:eastAsia="Times New Roman"/>
        </w:rPr>
        <w:t>prednisone and thalidomide (MPT) for a maximum of twelve 42-day cycles (72 weeks). Patients were</w:t>
      </w:r>
    </w:p>
    <w:p w:rsidR="00AB7A9E" w:rsidRPr="00AB7A9E" w:rsidRDefault="00AB7A9E" w:rsidP="00514498">
      <w:pPr>
        <w:autoSpaceDE w:val="0"/>
        <w:autoSpaceDN w:val="0"/>
        <w:adjustRightInd w:val="0"/>
        <w:rPr>
          <w:rFonts w:eastAsia="Times New Roman"/>
        </w:rPr>
      </w:pPr>
      <w:r w:rsidRPr="00AB7A9E">
        <w:rPr>
          <w:rFonts w:eastAsia="TimesNewRomanPSMT"/>
        </w:rPr>
        <w:t xml:space="preserve">randomised (1:1:1) to 1 of 3 treatment arms. Patients were stratified at randomisation by age (≤75 versus &gt;75 </w:t>
      </w:r>
      <w:r w:rsidRPr="00AB7A9E">
        <w:rPr>
          <w:rFonts w:eastAsia="Times New Roman"/>
        </w:rPr>
        <w:t>years), stage (ISS Stages I and II versus Stage III), and country.</w:t>
      </w:r>
    </w:p>
    <w:p w:rsidR="00AB7A9E" w:rsidRPr="00AB7A9E" w:rsidRDefault="00AB7A9E" w:rsidP="00514498">
      <w:pPr>
        <w:autoSpaceDE w:val="0"/>
        <w:autoSpaceDN w:val="0"/>
        <w:adjustRightInd w:val="0"/>
        <w:rPr>
          <w:rFonts w:eastAsia="Times New Roman"/>
        </w:rPr>
      </w:pPr>
    </w:p>
    <w:p w:rsidR="00AB7A9E" w:rsidRPr="00AB7A9E" w:rsidRDefault="00AB7A9E" w:rsidP="00514498">
      <w:pPr>
        <w:autoSpaceDE w:val="0"/>
        <w:autoSpaceDN w:val="0"/>
        <w:adjustRightInd w:val="0"/>
        <w:rPr>
          <w:rFonts w:eastAsia="Times New Roman"/>
        </w:rPr>
      </w:pPr>
      <w:r w:rsidRPr="00AB7A9E">
        <w:rPr>
          <w:rFonts w:eastAsia="Times New Roman"/>
        </w:rPr>
        <w:t>Patients in the Rd and Rd18 arms took lenalidomide 25 mg once daily on days 1 to 21 of 28-day cycles</w:t>
      </w:r>
    </w:p>
    <w:p w:rsidR="00AB7A9E" w:rsidRPr="00AB7A9E" w:rsidRDefault="00AB7A9E" w:rsidP="00514498">
      <w:pPr>
        <w:autoSpaceDE w:val="0"/>
        <w:autoSpaceDN w:val="0"/>
        <w:adjustRightInd w:val="0"/>
        <w:rPr>
          <w:rFonts w:eastAsia="Times New Roman"/>
        </w:rPr>
      </w:pPr>
      <w:r w:rsidRPr="00AB7A9E">
        <w:rPr>
          <w:rFonts w:eastAsia="Times New Roman"/>
        </w:rPr>
        <w:t>according to protocol arm. Dexamethasone 40 mg was dosed once daily on days 1, 8, 15, and 22 of each</w:t>
      </w:r>
    </w:p>
    <w:p w:rsidR="00AB7A9E" w:rsidRPr="00AB7A9E" w:rsidRDefault="00AB7A9E" w:rsidP="00514498">
      <w:pPr>
        <w:autoSpaceDE w:val="0"/>
        <w:autoSpaceDN w:val="0"/>
        <w:adjustRightInd w:val="0"/>
        <w:rPr>
          <w:rFonts w:eastAsia="Times New Roman"/>
        </w:rPr>
      </w:pPr>
      <w:r w:rsidRPr="00AB7A9E">
        <w:rPr>
          <w:rFonts w:eastAsia="Times New Roman"/>
        </w:rPr>
        <w:t>28-day cycle. Initial dose and regimen for Rd and Rd18 were adjusted according to age and renal function</w:t>
      </w:r>
    </w:p>
    <w:p w:rsidR="00AB7A9E" w:rsidRPr="00AB7A9E" w:rsidRDefault="00AB7A9E" w:rsidP="00514498">
      <w:pPr>
        <w:autoSpaceDE w:val="0"/>
        <w:autoSpaceDN w:val="0"/>
        <w:adjustRightInd w:val="0"/>
        <w:rPr>
          <w:rFonts w:eastAsia="Times New Roman"/>
        </w:rPr>
      </w:pPr>
      <w:r w:rsidRPr="00AB7A9E">
        <w:rPr>
          <w:rFonts w:eastAsia="Times New Roman"/>
        </w:rPr>
        <w:t>(see section 4.2). Patients &gt;75 years received a dexamethasone dose of 20 mg once daily on days 1, 8, 15,</w:t>
      </w:r>
    </w:p>
    <w:p w:rsidR="00AB7A9E" w:rsidRPr="00AB7A9E" w:rsidRDefault="00AB7A9E" w:rsidP="00514498">
      <w:pPr>
        <w:autoSpaceDE w:val="0"/>
        <w:autoSpaceDN w:val="0"/>
        <w:adjustRightInd w:val="0"/>
        <w:rPr>
          <w:rFonts w:eastAsia="Times New Roman"/>
        </w:rPr>
      </w:pPr>
      <w:r w:rsidRPr="00AB7A9E">
        <w:rPr>
          <w:rFonts w:eastAsia="Times New Roman"/>
        </w:rPr>
        <w:t>and 22 of each 28-day cycle. All patients received prophylactic anticoagulation (low molecular weight</w:t>
      </w:r>
    </w:p>
    <w:p w:rsidR="00AB7A9E" w:rsidRPr="00AB7A9E" w:rsidRDefault="00AB7A9E" w:rsidP="00514498">
      <w:pPr>
        <w:autoSpaceDE w:val="0"/>
        <w:autoSpaceDN w:val="0"/>
        <w:adjustRightInd w:val="0"/>
        <w:rPr>
          <w:rFonts w:eastAsia="Times New Roman"/>
        </w:rPr>
      </w:pPr>
      <w:r w:rsidRPr="00AB7A9E">
        <w:rPr>
          <w:rFonts w:eastAsia="Times New Roman"/>
        </w:rPr>
        <w:t>heparin, warfarin, heparin, low-dose aspirin) during the study.</w:t>
      </w:r>
    </w:p>
    <w:p w:rsidR="00AB7A9E" w:rsidRPr="00AB7A9E" w:rsidRDefault="00AB7A9E" w:rsidP="00514498">
      <w:pPr>
        <w:autoSpaceDE w:val="0"/>
        <w:autoSpaceDN w:val="0"/>
        <w:adjustRightInd w:val="0"/>
        <w:rPr>
          <w:rFonts w:eastAsia="Times New Roman"/>
        </w:rPr>
      </w:pPr>
      <w:r w:rsidRPr="00AB7A9E">
        <w:rPr>
          <w:rFonts w:eastAsia="Times New Roman"/>
        </w:rPr>
        <w:t>The primary efficacy endpoint in the study was progression free survival (PFS). In total 1623 patients were</w:t>
      </w:r>
    </w:p>
    <w:p w:rsidR="00AB7A9E" w:rsidRPr="00AB7A9E" w:rsidRDefault="00AB7A9E" w:rsidP="00514498">
      <w:pPr>
        <w:autoSpaceDE w:val="0"/>
        <w:autoSpaceDN w:val="0"/>
        <w:adjustRightInd w:val="0"/>
        <w:rPr>
          <w:rFonts w:eastAsia="Times New Roman"/>
        </w:rPr>
      </w:pPr>
      <w:r w:rsidRPr="00AB7A9E">
        <w:rPr>
          <w:rFonts w:eastAsia="Times New Roman"/>
        </w:rPr>
        <w:t>enrolled into the study, with 535 patients randomised to Rd, 541 patients randomised to Rd18 and 547</w:t>
      </w:r>
    </w:p>
    <w:p w:rsidR="00AB7A9E" w:rsidRPr="00AB7A9E" w:rsidRDefault="00AB7A9E" w:rsidP="00514498">
      <w:pPr>
        <w:autoSpaceDE w:val="0"/>
        <w:autoSpaceDN w:val="0"/>
        <w:adjustRightInd w:val="0"/>
        <w:rPr>
          <w:rFonts w:eastAsia="Times New Roman"/>
        </w:rPr>
      </w:pPr>
      <w:r w:rsidRPr="00AB7A9E">
        <w:rPr>
          <w:rFonts w:eastAsia="Times New Roman"/>
        </w:rPr>
        <w:t>patients randomised to MPT. The demographics and disease-related baseline characteristics of the patients</w:t>
      </w:r>
    </w:p>
    <w:p w:rsidR="00AB7A9E" w:rsidRPr="00AB7A9E" w:rsidRDefault="00AB7A9E" w:rsidP="00514498">
      <w:pPr>
        <w:autoSpaceDE w:val="0"/>
        <w:autoSpaceDN w:val="0"/>
        <w:adjustRightInd w:val="0"/>
        <w:rPr>
          <w:rFonts w:eastAsia="Times New Roman"/>
        </w:rPr>
      </w:pPr>
      <w:r w:rsidRPr="00AB7A9E">
        <w:rPr>
          <w:rFonts w:eastAsia="Times New Roman"/>
        </w:rPr>
        <w:t>were well balanced in all 3 arms. In general, study subjects had advanced-stage disease: of the total study</w:t>
      </w:r>
    </w:p>
    <w:p w:rsidR="00AB7A9E" w:rsidRPr="00AB7A9E" w:rsidRDefault="00AB7A9E" w:rsidP="00514498">
      <w:pPr>
        <w:autoSpaceDE w:val="0"/>
        <w:autoSpaceDN w:val="0"/>
        <w:adjustRightInd w:val="0"/>
        <w:rPr>
          <w:rFonts w:eastAsia="Times New Roman"/>
        </w:rPr>
      </w:pPr>
      <w:r w:rsidRPr="00AB7A9E">
        <w:rPr>
          <w:rFonts w:eastAsia="Times New Roman"/>
        </w:rPr>
        <w:t>population, 41% had ISS stage III, 9% had severe renal insufficiency (creatinine clearance [CLcr]</w:t>
      </w:r>
    </w:p>
    <w:p w:rsidR="00AB7A9E" w:rsidRPr="00AB7A9E" w:rsidRDefault="00AB7A9E" w:rsidP="00514498">
      <w:pPr>
        <w:autoSpaceDE w:val="0"/>
        <w:autoSpaceDN w:val="0"/>
        <w:adjustRightInd w:val="0"/>
        <w:rPr>
          <w:rFonts w:eastAsia="Times New Roman"/>
        </w:rPr>
      </w:pPr>
      <w:r w:rsidRPr="00AB7A9E">
        <w:rPr>
          <w:rFonts w:eastAsia="Times New Roman"/>
        </w:rPr>
        <w:t>&lt; 30 mL/min). The median age was 73 in the 3 arms.</w:t>
      </w:r>
    </w:p>
    <w:p w:rsidR="00AB7A9E" w:rsidRPr="00AB7A9E" w:rsidRDefault="00AB7A9E" w:rsidP="00514498">
      <w:pPr>
        <w:autoSpaceDE w:val="0"/>
        <w:autoSpaceDN w:val="0"/>
        <w:adjustRightInd w:val="0"/>
        <w:rPr>
          <w:rFonts w:eastAsia="Times New Roman"/>
        </w:rPr>
      </w:pPr>
    </w:p>
    <w:p w:rsidR="00AB7A9E" w:rsidRPr="00AB7A9E" w:rsidRDefault="00AB7A9E" w:rsidP="00514498">
      <w:pPr>
        <w:autoSpaceDE w:val="0"/>
        <w:autoSpaceDN w:val="0"/>
        <w:adjustRightInd w:val="0"/>
        <w:rPr>
          <w:rFonts w:eastAsia="Times New Roman"/>
        </w:rPr>
      </w:pPr>
      <w:r w:rsidRPr="00AB7A9E">
        <w:rPr>
          <w:rFonts w:eastAsia="Times New Roman"/>
        </w:rPr>
        <w:t>In an updated analysis of PFS, PFS2 and OS using a cut off of 3 March 2014 where the median follow-up</w:t>
      </w:r>
    </w:p>
    <w:p w:rsidR="00506994" w:rsidRPr="00AB7A9E" w:rsidRDefault="00AB7A9E" w:rsidP="00514498">
      <w:pPr>
        <w:ind w:right="360"/>
      </w:pPr>
      <w:r w:rsidRPr="00AB7A9E">
        <w:rPr>
          <w:rFonts w:eastAsia="Times New Roman"/>
        </w:rPr>
        <w:t xml:space="preserve">time for all surviving subjects was 45.5 months, the results of the study are presented in </w:t>
      </w:r>
      <w:r w:rsidR="00506994" w:rsidRPr="00AB7A9E">
        <w:rPr>
          <w:rFonts w:eastAsia="Times New Roman"/>
        </w:rPr>
        <w:t xml:space="preserve">Table </w:t>
      </w:r>
      <w:r w:rsidR="00490442">
        <w:rPr>
          <w:rFonts w:eastAsia="Times New Roman"/>
        </w:rPr>
        <w:t>9</w:t>
      </w:r>
      <w:r w:rsidR="00506994" w:rsidRPr="00AB7A9E">
        <w:rPr>
          <w:rFonts w:eastAsia="Times New Roman"/>
        </w:rPr>
        <w:t>:</w:t>
      </w:r>
    </w:p>
    <w:p w:rsidR="00506994" w:rsidRPr="00335062" w:rsidRDefault="00506994" w:rsidP="00514498"/>
    <w:p w:rsidR="00506994" w:rsidRPr="00335062" w:rsidRDefault="00506994" w:rsidP="00514498">
      <w:r w:rsidRPr="00335062">
        <w:rPr>
          <w:rFonts w:eastAsia="Times New Roman"/>
          <w:b/>
          <w:bCs/>
        </w:rPr>
        <w:t xml:space="preserve">Table </w:t>
      </w:r>
      <w:r w:rsidR="00490442">
        <w:rPr>
          <w:rFonts w:eastAsia="Times New Roman"/>
          <w:b/>
          <w:bCs/>
        </w:rPr>
        <w:t>9</w:t>
      </w:r>
      <w:r w:rsidRPr="00335062">
        <w:rPr>
          <w:rFonts w:eastAsia="Times New Roman"/>
          <w:b/>
          <w:bCs/>
        </w:rPr>
        <w:t>: Summary of overall efficacy data</w:t>
      </w:r>
    </w:p>
    <w:tbl>
      <w:tblPr>
        <w:tblW w:w="0" w:type="auto"/>
        <w:tblInd w:w="10" w:type="dxa"/>
        <w:tblLayout w:type="fixed"/>
        <w:tblCellMar>
          <w:left w:w="0" w:type="dxa"/>
          <w:right w:w="0" w:type="dxa"/>
        </w:tblCellMar>
        <w:tblLook w:val="04A0" w:firstRow="1" w:lastRow="0" w:firstColumn="1" w:lastColumn="0" w:noHBand="0" w:noVBand="1"/>
      </w:tblPr>
      <w:tblGrid>
        <w:gridCol w:w="4140"/>
        <w:gridCol w:w="20"/>
        <w:gridCol w:w="1700"/>
        <w:gridCol w:w="40"/>
        <w:gridCol w:w="1740"/>
        <w:gridCol w:w="15"/>
        <w:gridCol w:w="685"/>
        <w:gridCol w:w="1583"/>
      </w:tblGrid>
      <w:tr w:rsidR="00506994" w:rsidRPr="00335062" w:rsidTr="00847F91">
        <w:trPr>
          <w:trHeight w:val="263"/>
        </w:trPr>
        <w:tc>
          <w:tcPr>
            <w:tcW w:w="4160" w:type="dxa"/>
            <w:gridSpan w:val="2"/>
            <w:tcBorders>
              <w:top w:val="single" w:sz="8" w:space="0" w:color="auto"/>
              <w:left w:val="single" w:sz="8" w:space="0" w:color="auto"/>
              <w:right w:val="single" w:sz="8" w:space="0" w:color="auto"/>
            </w:tcBorders>
            <w:vAlign w:val="bottom"/>
          </w:tcPr>
          <w:p w:rsidR="00506994" w:rsidRPr="00335062" w:rsidRDefault="00506994" w:rsidP="00514498"/>
        </w:tc>
        <w:tc>
          <w:tcPr>
            <w:tcW w:w="1740" w:type="dxa"/>
            <w:gridSpan w:val="2"/>
            <w:tcBorders>
              <w:top w:val="single" w:sz="8" w:space="0" w:color="auto"/>
              <w:right w:val="single" w:sz="8" w:space="0" w:color="auto"/>
            </w:tcBorders>
            <w:vAlign w:val="bottom"/>
          </w:tcPr>
          <w:p w:rsidR="00506994" w:rsidRPr="00E86B71" w:rsidRDefault="00506994" w:rsidP="00514498">
            <w:pPr>
              <w:jc w:val="center"/>
              <w:rPr>
                <w:b/>
              </w:rPr>
            </w:pPr>
            <w:r w:rsidRPr="00E86B71">
              <w:rPr>
                <w:b/>
              </w:rPr>
              <w:t>Rd</w:t>
            </w:r>
          </w:p>
        </w:tc>
        <w:tc>
          <w:tcPr>
            <w:tcW w:w="1740" w:type="dxa"/>
            <w:tcBorders>
              <w:top w:val="single" w:sz="8" w:space="0" w:color="auto"/>
              <w:right w:val="single" w:sz="8" w:space="0" w:color="auto"/>
            </w:tcBorders>
            <w:vAlign w:val="bottom"/>
          </w:tcPr>
          <w:p w:rsidR="00506994" w:rsidRPr="00E86B71" w:rsidRDefault="00506994" w:rsidP="00514498">
            <w:pPr>
              <w:jc w:val="center"/>
              <w:rPr>
                <w:b/>
              </w:rPr>
            </w:pPr>
            <w:r w:rsidRPr="00E86B71">
              <w:rPr>
                <w:b/>
              </w:rPr>
              <w:t>Rd18</w:t>
            </w:r>
          </w:p>
        </w:tc>
        <w:tc>
          <w:tcPr>
            <w:tcW w:w="2283" w:type="dxa"/>
            <w:gridSpan w:val="3"/>
            <w:tcBorders>
              <w:top w:val="single" w:sz="8" w:space="0" w:color="auto"/>
              <w:right w:val="single" w:sz="8" w:space="0" w:color="auto"/>
            </w:tcBorders>
            <w:vAlign w:val="bottom"/>
          </w:tcPr>
          <w:p w:rsidR="00506994" w:rsidRPr="00E86B71" w:rsidRDefault="00506994" w:rsidP="00514498">
            <w:pPr>
              <w:jc w:val="center"/>
              <w:rPr>
                <w:b/>
              </w:rPr>
            </w:pPr>
            <w:r w:rsidRPr="00E86B71">
              <w:rPr>
                <w:b/>
              </w:rPr>
              <w:t>MPT</w:t>
            </w:r>
          </w:p>
        </w:tc>
      </w:tr>
      <w:tr w:rsidR="00506994" w:rsidRPr="00335062" w:rsidTr="00847F91">
        <w:trPr>
          <w:trHeight w:val="266"/>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tc>
        <w:tc>
          <w:tcPr>
            <w:tcW w:w="174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535)</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541)</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547)</w:t>
            </w:r>
          </w:p>
        </w:tc>
      </w:tr>
      <w:tr w:rsidR="00506994" w:rsidRPr="00335062" w:rsidTr="00847F91">
        <w:trPr>
          <w:trHeight w:val="270"/>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 xml:space="preserve">Investigator-assessed PFS </w:t>
            </w:r>
            <w:r>
              <w:rPr>
                <w:rFonts w:eastAsia="Symbol"/>
                <w:b/>
                <w:bCs/>
              </w:rPr>
              <w:t>-</w:t>
            </w:r>
            <w:r w:rsidRPr="00335062">
              <w:rPr>
                <w:rFonts w:eastAsia="Times New Roman"/>
                <w:b/>
                <w:bCs/>
              </w:rPr>
              <w:t xml:space="preserve">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PFS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71"/>
              <w:jc w:val="right"/>
            </w:pPr>
            <w:r w:rsidRPr="00335062">
              <w:rPr>
                <w:rFonts w:eastAsia="Times New Roman"/>
              </w:rPr>
              <w:t>26.0 (20.7, 29.7)</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21.0 (19.7, 22.4)</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21.9 (19.8, 23.9)</w:t>
            </w:r>
          </w:p>
        </w:tc>
      </w:tr>
      <w:tr w:rsidR="00506994" w:rsidRPr="00335062" w:rsidTr="00847F91">
        <w:trPr>
          <w:trHeight w:val="251"/>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3"/>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0.69 (0.59, 0.80);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0.71 (0.61, 0.83);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0.99 (0.86, 1.14); 0.866</w:t>
            </w:r>
          </w:p>
        </w:tc>
      </w:tr>
      <w:tr w:rsidR="00506994" w:rsidRPr="00335062" w:rsidTr="00847F91">
        <w:trPr>
          <w:trHeight w:val="269"/>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PFS2</w:t>
            </w:r>
            <w:r w:rsidRPr="00335062">
              <w:rPr>
                <w:rFonts w:eastAsia="Times New Roman"/>
                <w:b/>
                <w:bCs/>
                <w:vertAlign w:val="superscript"/>
              </w:rPr>
              <w:t>e</w:t>
            </w:r>
            <w:r w:rsidRPr="00335062">
              <w:rPr>
                <w:rFonts w:eastAsia="Times New Roman"/>
                <w:b/>
                <w:bCs/>
              </w:rPr>
              <w:t xml:space="preserve"> </w:t>
            </w:r>
            <w:r>
              <w:rPr>
                <w:rFonts w:eastAsia="Symbol"/>
                <w:b/>
                <w:bCs/>
              </w:rPr>
              <w:t>-</w:t>
            </w:r>
            <w:r w:rsidRPr="00335062">
              <w:rPr>
                <w:rFonts w:eastAsia="Times New Roman"/>
                <w:b/>
                <w:bCs/>
              </w:rPr>
              <w:t xml:space="preserve">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PFS2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51"/>
              <w:jc w:val="right"/>
            </w:pPr>
            <w:r w:rsidRPr="00335062">
              <w:rPr>
                <w:rFonts w:eastAsia="Times New Roman"/>
              </w:rPr>
              <w:t>42.9 (38.1, 47.4)</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40.0 (36.2, 44.2)</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35.0 (30.4, 37.8)</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0"/>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0.74 (0.63, 0.86);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0.92 (0.78, 1.08); 0.316</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0.80 (0.69, 0.93); 0.004</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Overall survival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2"/>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OS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58.9 (56.0, NE)</w:t>
            </w:r>
          </w:p>
        </w:tc>
        <w:tc>
          <w:tcPr>
            <w:tcW w:w="1740" w:type="dxa"/>
            <w:tcBorders>
              <w:bottom w:val="single" w:sz="8" w:space="0" w:color="auto"/>
              <w:right w:val="single" w:sz="8" w:space="0" w:color="auto"/>
            </w:tcBorders>
            <w:vAlign w:val="bottom"/>
          </w:tcPr>
          <w:p w:rsidR="00506994" w:rsidRPr="00335062" w:rsidRDefault="00506994" w:rsidP="00514498">
            <w:pPr>
              <w:ind w:right="10"/>
              <w:jc w:val="center"/>
            </w:pPr>
            <w:r w:rsidRPr="00335062">
              <w:rPr>
                <w:rFonts w:eastAsia="Times New Roman"/>
              </w:rPr>
              <w:t>56.7 (50.1, NE)</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48.5 (44.2, 52.0)</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3"/>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0.75 (0.62, 0.90); 0.002</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0.91 (0.75, 1.09); 0.305</w:t>
            </w:r>
          </w:p>
        </w:tc>
      </w:tr>
      <w:tr w:rsidR="00506994" w:rsidRPr="00335062" w:rsidTr="00847F91">
        <w:trPr>
          <w:trHeight w:val="251"/>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0.83 (0.69, 0.99); 0.034</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Follow-up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f</w:t>
            </w:r>
            <w:r w:rsidRPr="00335062">
              <w:rPr>
                <w:rFonts w:eastAsia="Times New Roman"/>
              </w:rPr>
              <w:t xml:space="preserve"> (min, max): all patients</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111"/>
              <w:jc w:val="right"/>
            </w:pPr>
            <w:r w:rsidRPr="00335062">
              <w:rPr>
                <w:rFonts w:eastAsia="Times New Roman"/>
              </w:rPr>
              <w:t>40.8 (0.0, 65.9)</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40.1 (0.4, 65.7)</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38.7 (0.0, 64.2)</w:t>
            </w:r>
          </w:p>
        </w:tc>
      </w:tr>
      <w:tr w:rsidR="00506994" w:rsidRPr="00335062" w:rsidTr="00847F91">
        <w:trPr>
          <w:trHeight w:val="255"/>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Myeloma response</w:t>
            </w:r>
            <w:r w:rsidRPr="00335062">
              <w:rPr>
                <w:rFonts w:eastAsia="Times New Roman"/>
                <w:vertAlign w:val="superscript"/>
              </w:rPr>
              <w:t>g</w:t>
            </w:r>
            <w:r w:rsidRPr="00335062">
              <w:rPr>
                <w:rFonts w:eastAsia="Times New Roman"/>
                <w:b/>
                <w:bCs/>
              </w:rPr>
              <w:t xml:space="preserve"> n (%)</w:t>
            </w:r>
          </w:p>
        </w:tc>
        <w:tc>
          <w:tcPr>
            <w:tcW w:w="1720" w:type="dxa"/>
            <w:gridSpan w:val="2"/>
            <w:tcBorders>
              <w:bottom w:val="single" w:sz="8" w:space="0" w:color="auto"/>
              <w:right w:val="single" w:sz="8" w:space="0" w:color="auto"/>
            </w:tcBorders>
            <w:vAlign w:val="bottom"/>
          </w:tcPr>
          <w:p w:rsidR="00506994" w:rsidRPr="00335062" w:rsidRDefault="00506994" w:rsidP="00514498"/>
        </w:tc>
        <w:tc>
          <w:tcPr>
            <w:tcW w:w="1795" w:type="dxa"/>
            <w:gridSpan w:val="3"/>
            <w:tcBorders>
              <w:bottom w:val="single" w:sz="8" w:space="0" w:color="auto"/>
              <w:right w:val="single" w:sz="8" w:space="0" w:color="auto"/>
            </w:tcBorders>
            <w:vAlign w:val="bottom"/>
          </w:tcPr>
          <w:p w:rsidR="00506994" w:rsidRPr="00335062" w:rsidRDefault="00506994" w:rsidP="00514498"/>
        </w:tc>
        <w:tc>
          <w:tcPr>
            <w:tcW w:w="685" w:type="dxa"/>
            <w:tcBorders>
              <w:bottom w:val="single" w:sz="8" w:space="0" w:color="auto"/>
            </w:tcBorders>
            <w:vAlign w:val="bottom"/>
          </w:tcPr>
          <w:p w:rsidR="00506994" w:rsidRPr="00335062" w:rsidRDefault="00506994" w:rsidP="00514498"/>
        </w:tc>
        <w:tc>
          <w:tcPr>
            <w:tcW w:w="1583" w:type="dxa"/>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0"/>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CR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81 (15.1)</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77 (14.2)</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51</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(9.3)</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VGPR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152 (28.4)</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154 (28.5)</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103</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(18.8)</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169 (31.6)</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166 (30.7)</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187</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(34.2)</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Overall response: CR, VGPR, or 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402 (75.1)</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397 (73.4)</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341</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(62.3)</w:t>
            </w:r>
          </w:p>
        </w:tc>
      </w:tr>
      <w:tr w:rsidR="00506994" w:rsidRPr="00335062" w:rsidTr="00847F91">
        <w:trPr>
          <w:trHeight w:val="269"/>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 xml:space="preserve">Duration of response </w:t>
            </w:r>
            <w:r>
              <w:rPr>
                <w:rFonts w:eastAsia="Symbol"/>
                <w:b/>
                <w:bCs/>
              </w:rPr>
              <w:t>-</w:t>
            </w:r>
            <w:r w:rsidRPr="00335062">
              <w:rPr>
                <w:rFonts w:eastAsia="Times New Roman"/>
                <w:b/>
                <w:bCs/>
              </w:rPr>
              <w:t xml:space="preserve"> (months)</w:t>
            </w:r>
            <w:r w:rsidRPr="00335062">
              <w:rPr>
                <w:rFonts w:eastAsia="Times New Roman"/>
                <w:vertAlign w:val="superscript"/>
              </w:rPr>
              <w:t>h</w:t>
            </w:r>
          </w:p>
        </w:tc>
        <w:tc>
          <w:tcPr>
            <w:tcW w:w="1720" w:type="dxa"/>
            <w:gridSpan w:val="2"/>
            <w:tcBorders>
              <w:bottom w:val="single" w:sz="8" w:space="0" w:color="auto"/>
              <w:right w:val="single" w:sz="8" w:space="0" w:color="auto"/>
            </w:tcBorders>
            <w:vAlign w:val="bottom"/>
          </w:tcPr>
          <w:p w:rsidR="00506994" w:rsidRPr="00335062" w:rsidRDefault="00506994" w:rsidP="00514498"/>
        </w:tc>
        <w:tc>
          <w:tcPr>
            <w:tcW w:w="1795" w:type="dxa"/>
            <w:gridSpan w:val="3"/>
            <w:tcBorders>
              <w:bottom w:val="single" w:sz="8" w:space="0" w:color="auto"/>
              <w:right w:val="single" w:sz="8" w:space="0" w:color="auto"/>
            </w:tcBorders>
            <w:vAlign w:val="bottom"/>
          </w:tcPr>
          <w:p w:rsidR="00506994" w:rsidRPr="00335062" w:rsidRDefault="00506994" w:rsidP="00514498"/>
        </w:tc>
        <w:tc>
          <w:tcPr>
            <w:tcW w:w="685" w:type="dxa"/>
            <w:tcBorders>
              <w:bottom w:val="single" w:sz="8" w:space="0" w:color="auto"/>
            </w:tcBorders>
            <w:vAlign w:val="bottom"/>
          </w:tcPr>
          <w:p w:rsidR="00506994" w:rsidRPr="00335062" w:rsidRDefault="00506994" w:rsidP="00514498"/>
        </w:tc>
        <w:tc>
          <w:tcPr>
            <w:tcW w:w="1583" w:type="dxa"/>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(95% CI)</w:t>
            </w:r>
            <w:r w:rsidRPr="00335062">
              <w:rPr>
                <w:rFonts w:eastAsia="Times New Roman"/>
                <w:vertAlign w:val="superscript"/>
              </w:rPr>
              <w:t>b</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35.0 (27.9, 43.4)</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22.1 (20.3, 24.0)</w:t>
            </w:r>
          </w:p>
        </w:tc>
        <w:tc>
          <w:tcPr>
            <w:tcW w:w="2268"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22.3 (20.2, 24.9)</w:t>
            </w:r>
          </w:p>
        </w:tc>
      </w:tr>
    </w:tbl>
    <w:p w:rsidR="00506994" w:rsidRPr="004E2CAA" w:rsidRDefault="00506994" w:rsidP="00514498">
      <w:pPr>
        <w:ind w:right="1000"/>
        <w:rPr>
          <w:sz w:val="16"/>
          <w:szCs w:val="16"/>
        </w:rPr>
      </w:pPr>
      <w:r w:rsidRPr="004E2CAA">
        <w:rPr>
          <w:rFonts w:eastAsia="Times New Roman"/>
          <w:sz w:val="16"/>
          <w:szCs w:val="16"/>
        </w:rPr>
        <w:t xml:space="preserve">AMT = antimyeloma therapy; CI = confidence interval; CR = complete response; d = low-dose dexamethasone; HR = hazard ratio; IMWG = International Myeloma Working Group; IRAC = Independent Response Adjudication Committee; M = melphalan; max = maximum; min = minimum; NE = not estimable; OS = overall survival; P = prednisone; PFS = progression-free survival; PR = partial response; R = lenalidomide; Rd = Rd given until documentation of progressive disease; Rd18 = Rd given for </w:t>
      </w:r>
      <w:r w:rsidR="007372DB" w:rsidRPr="004A3A6C">
        <w:rPr>
          <w:rFonts w:eastAsia="Times New Roman"/>
          <w:sz w:val="16"/>
          <w:szCs w:val="16"/>
        </w:rPr>
        <w:t>≤</w:t>
      </w:r>
      <w:r w:rsidRPr="004E2CAA">
        <w:rPr>
          <w:rFonts w:eastAsia="Times New Roman"/>
          <w:sz w:val="16"/>
          <w:szCs w:val="16"/>
        </w:rPr>
        <w:t xml:space="preserve"> 18 cycles; SE = standard error; T = thalidomide; VGPR = very good partial response; vs = versus.</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The median is based on the Kaplan-Meier estimate.</w:t>
      </w:r>
    </w:p>
    <w:p w:rsidR="00506994" w:rsidRPr="004E2CAA" w:rsidRDefault="00506994" w:rsidP="00514498">
      <w:pPr>
        <w:numPr>
          <w:ilvl w:val="0"/>
          <w:numId w:val="33"/>
        </w:numPr>
        <w:tabs>
          <w:tab w:val="left" w:pos="181"/>
        </w:tabs>
        <w:rPr>
          <w:rFonts w:eastAsia="Times New Roman"/>
          <w:sz w:val="16"/>
          <w:szCs w:val="16"/>
          <w:vertAlign w:val="superscript"/>
        </w:rPr>
      </w:pPr>
      <w:r w:rsidRPr="004E2CAA">
        <w:rPr>
          <w:rFonts w:eastAsia="Times New Roman"/>
          <w:sz w:val="16"/>
          <w:szCs w:val="16"/>
        </w:rPr>
        <w:t>The 95% CI about the median.</w:t>
      </w:r>
    </w:p>
    <w:p w:rsidR="00506994" w:rsidRPr="004E2CAA" w:rsidRDefault="00506994" w:rsidP="00514498">
      <w:pPr>
        <w:numPr>
          <w:ilvl w:val="0"/>
          <w:numId w:val="33"/>
        </w:numPr>
        <w:tabs>
          <w:tab w:val="left" w:pos="182"/>
        </w:tabs>
        <w:ind w:right="260"/>
        <w:rPr>
          <w:rFonts w:eastAsia="Times New Roman"/>
          <w:sz w:val="16"/>
          <w:szCs w:val="16"/>
          <w:vertAlign w:val="superscript"/>
        </w:rPr>
      </w:pPr>
      <w:r w:rsidRPr="004E2CAA">
        <w:rPr>
          <w:rFonts w:eastAsia="Times New Roman"/>
          <w:sz w:val="16"/>
          <w:szCs w:val="16"/>
        </w:rPr>
        <w:t>Based on Cox proportional hazards model comparing the hazard functions associated with the indicated treatment arms.</w:t>
      </w:r>
    </w:p>
    <w:p w:rsidR="00506994" w:rsidRPr="004E2CAA" w:rsidRDefault="00506994" w:rsidP="00514498">
      <w:pPr>
        <w:numPr>
          <w:ilvl w:val="0"/>
          <w:numId w:val="33"/>
        </w:numPr>
        <w:tabs>
          <w:tab w:val="left" w:pos="189"/>
        </w:tabs>
        <w:ind w:right="540"/>
        <w:rPr>
          <w:rFonts w:eastAsia="Times New Roman"/>
          <w:sz w:val="16"/>
          <w:szCs w:val="16"/>
          <w:vertAlign w:val="superscript"/>
        </w:rPr>
      </w:pPr>
      <w:r w:rsidRPr="004E2CAA">
        <w:rPr>
          <w:rFonts w:eastAsia="Times New Roman"/>
          <w:sz w:val="16"/>
          <w:szCs w:val="16"/>
        </w:rPr>
        <w:t>The p-value is based on the unstratified log-rank test of Kaplan-Meier curve differences between the indicated treatment arms.</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Exploratory endpoint (PFS2)</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The median is the univariate statistic without adjusting for censoring.</w:t>
      </w:r>
    </w:p>
    <w:p w:rsidR="00506994" w:rsidRPr="004E2CAA" w:rsidRDefault="00506994" w:rsidP="00514498">
      <w:pPr>
        <w:numPr>
          <w:ilvl w:val="0"/>
          <w:numId w:val="33"/>
        </w:numPr>
        <w:tabs>
          <w:tab w:val="left" w:pos="220"/>
        </w:tabs>
        <w:ind w:right="240"/>
        <w:rPr>
          <w:rFonts w:eastAsia="Times New Roman"/>
          <w:sz w:val="16"/>
          <w:szCs w:val="16"/>
          <w:vertAlign w:val="superscript"/>
        </w:rPr>
      </w:pPr>
      <w:r w:rsidRPr="004E2CAA">
        <w:rPr>
          <w:rFonts w:eastAsia="Times New Roman"/>
          <w:sz w:val="16"/>
          <w:szCs w:val="16"/>
        </w:rPr>
        <w:t>Best assessment of adjudicated response during the treatment phase of the study (for definitions of each response category, Data cut</w:t>
      </w:r>
      <w:r w:rsidR="00490442">
        <w:rPr>
          <w:rFonts w:eastAsia="Times New Roman"/>
          <w:sz w:val="16"/>
          <w:szCs w:val="16"/>
        </w:rPr>
        <w:t>-</w:t>
      </w:r>
      <w:r w:rsidRPr="004E2CAA">
        <w:rPr>
          <w:rFonts w:eastAsia="Times New Roman"/>
          <w:sz w:val="16"/>
          <w:szCs w:val="16"/>
        </w:rPr>
        <w:t>off date = 24 May 2013).</w:t>
      </w:r>
    </w:p>
    <w:p w:rsidR="00CB430B" w:rsidRPr="00335062" w:rsidRDefault="00506994" w:rsidP="00CB430B">
      <w:pPr>
        <w:numPr>
          <w:ilvl w:val="0"/>
          <w:numId w:val="33"/>
        </w:numPr>
        <w:tabs>
          <w:tab w:val="left" w:pos="121"/>
        </w:tabs>
      </w:pPr>
      <w:r w:rsidRPr="004E2CAA">
        <w:rPr>
          <w:rFonts w:eastAsia="Times New Roman"/>
          <w:sz w:val="16"/>
          <w:szCs w:val="16"/>
        </w:rPr>
        <w:t>data cut 24 May 2013</w:t>
      </w:r>
    </w:p>
    <w:p w:rsidR="00CB430B" w:rsidRPr="006A4462" w:rsidRDefault="00CB430B" w:rsidP="006A4462">
      <w:pPr>
        <w:pStyle w:val="ListParagraph"/>
        <w:ind w:left="0" w:right="200"/>
        <w:rPr>
          <w:u w:val="single"/>
        </w:rPr>
      </w:pPr>
    </w:p>
    <w:p w:rsidR="00506994" w:rsidRPr="004273C8" w:rsidRDefault="00506994" w:rsidP="00514498">
      <w:pPr>
        <w:pStyle w:val="ListParagraph"/>
        <w:numPr>
          <w:ilvl w:val="0"/>
          <w:numId w:val="59"/>
        </w:numPr>
        <w:ind w:left="0" w:right="200" w:firstLine="0"/>
        <w:rPr>
          <w:u w:val="single"/>
        </w:rPr>
      </w:pPr>
      <w:r w:rsidRPr="004273C8">
        <w:rPr>
          <w:rFonts w:eastAsia="Times New Roman"/>
          <w:iCs/>
          <w:u w:val="single"/>
        </w:rPr>
        <w:t>Lenalidomide in combination with melphalan and prednisone followed by maintenance therapy in patients who are not eligible for transplant</w:t>
      </w:r>
    </w:p>
    <w:p w:rsidR="00506994" w:rsidRPr="00335062" w:rsidRDefault="00506994" w:rsidP="00514498">
      <w:pPr>
        <w:ind w:right="60"/>
      </w:pPr>
      <w:r w:rsidRPr="00335062">
        <w:rPr>
          <w:rFonts w:eastAsia="Times New Roman"/>
        </w:rPr>
        <w:t xml:space="preserve">The safety and efficacy of lenalidomide was assessed in a </w:t>
      </w:r>
      <w:r w:rsidR="00C938ED">
        <w:rPr>
          <w:rFonts w:eastAsia="Times New Roman"/>
        </w:rPr>
        <w:t>p</w:t>
      </w:r>
      <w:r w:rsidRPr="00335062">
        <w:rPr>
          <w:rFonts w:eastAsia="Times New Roman"/>
        </w:rPr>
        <w:t xml:space="preserve">hase </w:t>
      </w:r>
      <w:r w:rsidR="00490442">
        <w:rPr>
          <w:rFonts w:eastAsia="Times New Roman"/>
        </w:rPr>
        <w:t>3</w:t>
      </w:r>
      <w:r w:rsidRPr="00335062">
        <w:rPr>
          <w:rFonts w:eastAsia="Times New Roman"/>
        </w:rPr>
        <w:t xml:space="preserve"> multicentr</w:t>
      </w:r>
      <w:r w:rsidR="00490442">
        <w:rPr>
          <w:rFonts w:eastAsia="Times New Roman"/>
        </w:rPr>
        <w:t>e</w:t>
      </w:r>
      <w:r w:rsidRPr="00335062">
        <w:rPr>
          <w:rFonts w:eastAsia="Times New Roman"/>
        </w:rPr>
        <w:t>, randomi</w:t>
      </w:r>
      <w:r>
        <w:rPr>
          <w:rFonts w:eastAsia="Times New Roman"/>
        </w:rPr>
        <w:t>s</w:t>
      </w:r>
      <w:r w:rsidRPr="00335062">
        <w:rPr>
          <w:rFonts w:eastAsia="Times New Roman"/>
        </w:rPr>
        <w:t>ed double blind 3 arm study (MM-015) of patients who were 65 years or older and had a serum creatinine &lt; 2.5 mg/dL. The study compared lenalidomide in combination with melphalan and prednisone (MPR) with or without lenalidomide maintenance therapy until disease progression, to that of melphalan and prednisone for a maximum of 9 cycles. Patients were randomi</w:t>
      </w:r>
      <w:r>
        <w:rPr>
          <w:rFonts w:eastAsia="Times New Roman"/>
        </w:rPr>
        <w:t>s</w:t>
      </w:r>
      <w:r w:rsidRPr="00335062">
        <w:rPr>
          <w:rFonts w:eastAsia="Times New Roman"/>
        </w:rPr>
        <w:t>ed in a 1:1:1 ratio to one of 3 treatment arms. Patients were stratified at randomisation by age (</w:t>
      </w:r>
      <w:r>
        <w:rPr>
          <w:rFonts w:eastAsia="Symbol"/>
        </w:rPr>
        <w:t>≤</w:t>
      </w:r>
      <w:r w:rsidRPr="00335062">
        <w:rPr>
          <w:rFonts w:eastAsia="Times New Roman"/>
        </w:rPr>
        <w:t xml:space="preserve"> 75 vs. &gt; 75 years) and stage (ISS; Stages I and II vs. stage III).</w:t>
      </w:r>
    </w:p>
    <w:p w:rsidR="00506994" w:rsidRPr="00335062" w:rsidRDefault="00506994" w:rsidP="00514498"/>
    <w:p w:rsidR="00506994" w:rsidRPr="00335062" w:rsidRDefault="00506994" w:rsidP="00514498">
      <w:r w:rsidRPr="00335062">
        <w:rPr>
          <w:rFonts w:eastAsia="Times New Roman"/>
        </w:rPr>
        <w:t>This study investigated the use of combination therapy of MPR (melphalan 0.18 mg/kg orally on days 1</w:t>
      </w:r>
      <w:r w:rsidR="00490442">
        <w:rPr>
          <w:rFonts w:eastAsia="Times New Roman"/>
        </w:rPr>
        <w:t xml:space="preserve"> </w:t>
      </w:r>
      <w:r w:rsidR="00C938ED">
        <w:rPr>
          <w:rFonts w:eastAsia="Times New Roman"/>
        </w:rPr>
        <w:t xml:space="preserve">to </w:t>
      </w:r>
      <w:r w:rsidRPr="00335062">
        <w:rPr>
          <w:rFonts w:eastAsia="Times New Roman"/>
        </w:rPr>
        <w:t>4 of repeated 28-day cycles; prednisone 2 mg/kg orally on days 1</w:t>
      </w:r>
      <w:r w:rsidR="00490442">
        <w:rPr>
          <w:rFonts w:eastAsia="Times New Roman"/>
        </w:rPr>
        <w:t xml:space="preserve"> </w:t>
      </w:r>
      <w:r w:rsidR="00C938ED">
        <w:rPr>
          <w:rFonts w:eastAsia="Times New Roman"/>
        </w:rPr>
        <w:t xml:space="preserve">to </w:t>
      </w:r>
      <w:r w:rsidRPr="00335062">
        <w:rPr>
          <w:rFonts w:eastAsia="Times New Roman"/>
        </w:rPr>
        <w:t>4 of repeated 28-day cycles; and lenalidomide 10 mg/day orally on days 1</w:t>
      </w:r>
      <w:r w:rsidR="00490442">
        <w:rPr>
          <w:rFonts w:eastAsia="Times New Roman"/>
        </w:rPr>
        <w:t xml:space="preserve"> </w:t>
      </w:r>
      <w:r w:rsidR="00C938ED">
        <w:rPr>
          <w:rFonts w:eastAsia="Times New Roman"/>
        </w:rPr>
        <w:t xml:space="preserve">to </w:t>
      </w:r>
      <w:r w:rsidRPr="00335062">
        <w:rPr>
          <w:rFonts w:eastAsia="Times New Roman"/>
        </w:rPr>
        <w:t>21 of repeated 28-day cycles) for induction therapy, up to 9 cycles. Patients who completed 9 cycles or who were unable to complete 9 cycles due to intolerance proceeded to maintenance therapy starting with lenalidomide 10 mg orally on days 1</w:t>
      </w:r>
      <w:r w:rsidR="00490442">
        <w:rPr>
          <w:rFonts w:eastAsia="Times New Roman"/>
        </w:rPr>
        <w:t xml:space="preserve"> </w:t>
      </w:r>
      <w:r w:rsidR="00C938ED">
        <w:rPr>
          <w:rFonts w:eastAsia="Times New Roman"/>
        </w:rPr>
        <w:t xml:space="preserve">to </w:t>
      </w:r>
      <w:r w:rsidRPr="00335062">
        <w:rPr>
          <w:rFonts w:eastAsia="Times New Roman"/>
        </w:rPr>
        <w:t>21 of repeated 28-day cycles until disease progression.</w:t>
      </w:r>
    </w:p>
    <w:p w:rsidR="00506994" w:rsidRPr="00335062" w:rsidRDefault="00506994" w:rsidP="00514498"/>
    <w:p w:rsidR="00506994" w:rsidRPr="00335062" w:rsidRDefault="00506994" w:rsidP="00514498">
      <w:pPr>
        <w:ind w:right="80"/>
      </w:pPr>
      <w:r w:rsidRPr="00335062">
        <w:rPr>
          <w:rFonts w:eastAsia="Times New Roman"/>
        </w:rPr>
        <w:t xml:space="preserve">The primary efficacy endpoint in the study was progression free survival (PFS). In total 459 patients were enrolled into the study, with 152 patients </w:t>
      </w:r>
      <w:r>
        <w:rPr>
          <w:rFonts w:eastAsia="Times New Roman"/>
        </w:rPr>
        <w:t>randomised</w:t>
      </w:r>
      <w:r w:rsidRPr="00335062">
        <w:rPr>
          <w:rFonts w:eastAsia="Times New Roman"/>
        </w:rPr>
        <w:t xml:space="preserve"> to MPR+R, 153 patients </w:t>
      </w:r>
      <w:r>
        <w:rPr>
          <w:rFonts w:eastAsia="Times New Roman"/>
        </w:rPr>
        <w:t>randomised</w:t>
      </w:r>
      <w:r w:rsidRPr="00335062">
        <w:rPr>
          <w:rFonts w:eastAsia="Times New Roman"/>
        </w:rPr>
        <w:t xml:space="preserve"> to MPR+p and 154 patients </w:t>
      </w:r>
      <w:r>
        <w:rPr>
          <w:rFonts w:eastAsia="Times New Roman"/>
        </w:rPr>
        <w:t>randomised</w:t>
      </w:r>
      <w:r w:rsidRPr="00335062">
        <w:rPr>
          <w:rFonts w:eastAsia="Times New Roman"/>
        </w:rPr>
        <w:t xml:space="preserve"> to MPp+p. The demographics and disease-related baseline characteristics of the patients were well balanced in all 3 arms; notably, approximately 50% of the patients enrolled in each arm had the following characteristics; ISS Stage III, and creatinine clearance &lt; 60 mL/min. The median age was 71 in the MPR+R and MPR+p arms and 72 in the MPp+p arm.</w:t>
      </w:r>
    </w:p>
    <w:p w:rsidR="00506994" w:rsidRPr="00335062" w:rsidRDefault="00506994" w:rsidP="00514498"/>
    <w:p w:rsidR="00506994" w:rsidRPr="00335062" w:rsidRDefault="00506994" w:rsidP="00514498">
      <w:pPr>
        <w:rPr>
          <w:rFonts w:eastAsia="Times New Roman"/>
        </w:rPr>
      </w:pPr>
      <w:r w:rsidRPr="00335062">
        <w:rPr>
          <w:rFonts w:eastAsia="Times New Roman"/>
        </w:rPr>
        <w:t xml:space="preserve">In an analysis of PFS, PFS2, OS using a cut </w:t>
      </w:r>
      <w:proofErr w:type="gramStart"/>
      <w:r w:rsidRPr="00335062">
        <w:rPr>
          <w:rFonts w:eastAsia="Times New Roman"/>
        </w:rPr>
        <w:t>off of</w:t>
      </w:r>
      <w:proofErr w:type="gramEnd"/>
      <w:r w:rsidRPr="00335062">
        <w:rPr>
          <w:rFonts w:eastAsia="Times New Roman"/>
        </w:rPr>
        <w:t xml:space="preserve"> April 2013 where the median follow up time for all surviving subjects was 62.4 months, the results of the study are presented in Table</w:t>
      </w:r>
      <w:r w:rsidR="00490442">
        <w:rPr>
          <w:rFonts w:eastAsia="Times New Roman"/>
        </w:rPr>
        <w:t xml:space="preserve"> 10</w:t>
      </w:r>
      <w:r w:rsidRPr="00335062">
        <w:rPr>
          <w:rFonts w:eastAsia="Times New Roman"/>
        </w:rPr>
        <w:t>:</w:t>
      </w:r>
    </w:p>
    <w:p w:rsidR="00506994" w:rsidRDefault="00506994" w:rsidP="00AB7A9E">
      <w:pPr>
        <w:rPr>
          <w:rFonts w:eastAsia="Times New Roman"/>
          <w:b/>
          <w:bCs/>
        </w:rPr>
      </w:pPr>
    </w:p>
    <w:p w:rsidR="00506994" w:rsidRPr="00335062" w:rsidRDefault="00506994" w:rsidP="00AB7A9E">
      <w:r w:rsidRPr="00335062">
        <w:rPr>
          <w:rFonts w:eastAsia="Times New Roman"/>
          <w:b/>
          <w:bCs/>
        </w:rPr>
        <w:t xml:space="preserve">Table </w:t>
      </w:r>
      <w:r w:rsidR="00490442">
        <w:rPr>
          <w:rFonts w:eastAsia="Times New Roman"/>
          <w:b/>
          <w:bCs/>
        </w:rPr>
        <w:t>10</w:t>
      </w:r>
      <w:r w:rsidRPr="00335062">
        <w:rPr>
          <w:rFonts w:eastAsia="Times New Roman"/>
          <w:b/>
          <w:bCs/>
        </w:rPr>
        <w:t>: Summary of overall efficacy data</w:t>
      </w:r>
    </w:p>
    <w:tbl>
      <w:tblPr>
        <w:tblW w:w="0" w:type="auto"/>
        <w:tblInd w:w="10" w:type="dxa"/>
        <w:tblLayout w:type="fixed"/>
        <w:tblCellMar>
          <w:left w:w="0" w:type="dxa"/>
          <w:right w:w="0" w:type="dxa"/>
        </w:tblCellMar>
        <w:tblLook w:val="04A0" w:firstRow="1" w:lastRow="0" w:firstColumn="1" w:lastColumn="0" w:noHBand="0" w:noVBand="1"/>
      </w:tblPr>
      <w:tblGrid>
        <w:gridCol w:w="4160"/>
        <w:gridCol w:w="1580"/>
        <w:gridCol w:w="160"/>
        <w:gridCol w:w="1700"/>
        <w:gridCol w:w="100"/>
        <w:gridCol w:w="2223"/>
      </w:tblGrid>
      <w:tr w:rsidR="00506994" w:rsidRPr="00335062" w:rsidTr="00847F91">
        <w:trPr>
          <w:trHeight w:val="263"/>
        </w:trPr>
        <w:tc>
          <w:tcPr>
            <w:tcW w:w="4160" w:type="dxa"/>
            <w:tcBorders>
              <w:top w:val="single" w:sz="8" w:space="0" w:color="auto"/>
              <w:left w:val="single" w:sz="8" w:space="0" w:color="auto"/>
              <w:right w:val="single" w:sz="8" w:space="0" w:color="auto"/>
            </w:tcBorders>
            <w:vAlign w:val="bottom"/>
          </w:tcPr>
          <w:p w:rsidR="00506994" w:rsidRPr="00335062" w:rsidRDefault="00506994" w:rsidP="00AB7A9E"/>
        </w:tc>
        <w:tc>
          <w:tcPr>
            <w:tcW w:w="1580" w:type="dxa"/>
            <w:tcBorders>
              <w:top w:val="single" w:sz="8" w:space="0" w:color="auto"/>
            </w:tcBorders>
            <w:vAlign w:val="bottom"/>
          </w:tcPr>
          <w:p w:rsidR="00506994" w:rsidRPr="00E7509F" w:rsidRDefault="00506994" w:rsidP="00AB7A9E">
            <w:pPr>
              <w:jc w:val="center"/>
              <w:rPr>
                <w:b/>
              </w:rPr>
            </w:pPr>
            <w:r w:rsidRPr="00E7509F">
              <w:rPr>
                <w:b/>
              </w:rPr>
              <w:t>MPR+R</w:t>
            </w:r>
          </w:p>
        </w:tc>
        <w:tc>
          <w:tcPr>
            <w:tcW w:w="160" w:type="dxa"/>
            <w:tcBorders>
              <w:top w:val="single" w:sz="8" w:space="0" w:color="auto"/>
              <w:right w:val="single" w:sz="8" w:space="0" w:color="auto"/>
            </w:tcBorders>
            <w:vAlign w:val="bottom"/>
          </w:tcPr>
          <w:p w:rsidR="00506994" w:rsidRPr="00E7509F" w:rsidRDefault="00506994" w:rsidP="00AB7A9E">
            <w:pPr>
              <w:jc w:val="center"/>
              <w:rPr>
                <w:b/>
              </w:rPr>
            </w:pPr>
          </w:p>
        </w:tc>
        <w:tc>
          <w:tcPr>
            <w:tcW w:w="1700" w:type="dxa"/>
            <w:tcBorders>
              <w:top w:val="single" w:sz="8" w:space="0" w:color="auto"/>
              <w:right w:val="single" w:sz="8" w:space="0" w:color="auto"/>
            </w:tcBorders>
            <w:vAlign w:val="bottom"/>
          </w:tcPr>
          <w:p w:rsidR="00506994" w:rsidRPr="00E7509F" w:rsidRDefault="00506994" w:rsidP="00AB7A9E">
            <w:pPr>
              <w:jc w:val="center"/>
              <w:rPr>
                <w:b/>
              </w:rPr>
            </w:pPr>
            <w:r w:rsidRPr="00E7509F">
              <w:rPr>
                <w:b/>
              </w:rPr>
              <w:t>MPR+p</w:t>
            </w:r>
          </w:p>
        </w:tc>
        <w:tc>
          <w:tcPr>
            <w:tcW w:w="100" w:type="dxa"/>
            <w:tcBorders>
              <w:top w:val="single" w:sz="8" w:space="0" w:color="auto"/>
            </w:tcBorders>
            <w:vAlign w:val="bottom"/>
          </w:tcPr>
          <w:p w:rsidR="00506994" w:rsidRPr="00E7509F" w:rsidRDefault="00506994" w:rsidP="00AB7A9E">
            <w:pPr>
              <w:jc w:val="center"/>
              <w:rPr>
                <w:b/>
              </w:rPr>
            </w:pPr>
          </w:p>
        </w:tc>
        <w:tc>
          <w:tcPr>
            <w:tcW w:w="2223" w:type="dxa"/>
            <w:tcBorders>
              <w:top w:val="single" w:sz="8" w:space="0" w:color="auto"/>
              <w:right w:val="single" w:sz="8" w:space="0" w:color="auto"/>
            </w:tcBorders>
            <w:vAlign w:val="bottom"/>
          </w:tcPr>
          <w:p w:rsidR="00506994" w:rsidRPr="00E7509F" w:rsidRDefault="00506994" w:rsidP="00AB7A9E">
            <w:pPr>
              <w:jc w:val="center"/>
              <w:rPr>
                <w:b/>
              </w:rPr>
            </w:pPr>
            <w:r w:rsidRPr="00E7509F">
              <w:rPr>
                <w:b/>
              </w:rPr>
              <w:t>MPp +p</w:t>
            </w:r>
          </w:p>
        </w:tc>
      </w:tr>
      <w:tr w:rsidR="00506994" w:rsidRPr="00335062" w:rsidTr="00847F91">
        <w:trPr>
          <w:trHeight w:val="266"/>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b/>
                <w:bCs/>
              </w:rPr>
              <w:t>(N = 152)</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b/>
                <w:bCs/>
              </w:rPr>
              <w:t>(N = 153)</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b/>
                <w:bCs/>
              </w:rPr>
              <w:t>(N = 154)</w:t>
            </w:r>
          </w:p>
        </w:tc>
      </w:tr>
      <w:tr w:rsidR="00506994" w:rsidRPr="00335062" w:rsidTr="00847F91">
        <w:trPr>
          <w:trHeight w:val="270"/>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Investigator-assessed PFS </w:t>
            </w:r>
            <w:r>
              <w:rPr>
                <w:rFonts w:eastAsia="Symbol"/>
                <w:b/>
                <w:bCs/>
              </w:rPr>
              <w:t>-</w:t>
            </w:r>
            <w:r w:rsidRPr="00335062">
              <w:rPr>
                <w:rFonts w:eastAsia="Times New Roman"/>
                <w:b/>
                <w:bCs/>
              </w:rPr>
              <w:t xml:space="preserve">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PFS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w w:val="99"/>
              </w:rPr>
              <w:t>27.4 (21.3, 35.0)</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14.3 (13.2, 15.7)</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13.1 (12.0, 14.8)</w:t>
            </w:r>
          </w:p>
        </w:tc>
      </w:tr>
      <w:tr w:rsidR="00506994" w:rsidRPr="00335062" w:rsidTr="00847F91">
        <w:trPr>
          <w:trHeight w:val="25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0.37 (0.27, 0.50); &lt;0.001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0.47 (0.35, 0.65); &lt;0.001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MPR+p vs MPp +p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0.78 (0.60, 1.01); 0.059</w:t>
            </w:r>
          </w:p>
        </w:tc>
      </w:tr>
      <w:tr w:rsidR="00506994" w:rsidRPr="00335062" w:rsidTr="00847F91">
        <w:trPr>
          <w:trHeight w:val="269"/>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PFS2 </w:t>
            </w:r>
            <w:r>
              <w:rPr>
                <w:rFonts w:eastAsia="Symbol"/>
                <w:b/>
                <w:bCs/>
              </w:rPr>
              <w:t>-</w:t>
            </w:r>
            <w:r w:rsidRPr="00335062">
              <w:rPr>
                <w:rFonts w:eastAsia="Times New Roman"/>
                <w:b/>
                <w:bCs/>
              </w:rPr>
              <w:t xml:space="preserve"> (months) </w:t>
            </w:r>
            <w:r w:rsidRPr="00335062">
              <w:rPr>
                <w:rFonts w:eastAsia="Times New Roman"/>
                <w:vertAlign w:val="superscript"/>
              </w:rPr>
              <w:t>¤</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PFS2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rPr>
              <w:t>39.7 (29.2, 48.4)</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27.8 (23.1, 33.1)</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10"/>
              <w:jc w:val="center"/>
            </w:pPr>
            <w:r w:rsidRPr="00335062">
              <w:rPr>
                <w:rFonts w:eastAsia="Times New Roman"/>
                <w:w w:val="99"/>
              </w:rPr>
              <w:t>28.8 (24.3, 33.8)</w:t>
            </w:r>
          </w:p>
        </w:tc>
      </w:tr>
      <w:tr w:rsidR="00506994" w:rsidRPr="00335062" w:rsidTr="00847F91">
        <w:trPr>
          <w:trHeight w:val="25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0.70 (0.54, 0.92); 0.009</w:t>
            </w: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0.77 (0.59, 1.02); 0.065</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MPR+p vs MPp +p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0.92 (0.71, 1.19); 0.051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Overall survival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5"/>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OS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w w:val="99"/>
              </w:rPr>
              <w:t>55.9 (49.1, 67.5)</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51.9 (43.1, 60.6)</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53.9 (47.3, 64.2)</w:t>
            </w:r>
          </w:p>
        </w:tc>
      </w:tr>
      <w:tr w:rsidR="00506994" w:rsidRPr="00335062" w:rsidTr="00847F91">
        <w:trPr>
          <w:trHeight w:val="250"/>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0.95 (0.70, 1.29); 0.736</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1580" w:type="dxa"/>
            <w:tcBorders>
              <w:bottom w:val="single" w:sz="8" w:space="0" w:color="auto"/>
            </w:tcBorders>
            <w:vAlign w:val="bottom"/>
          </w:tcPr>
          <w:p w:rsidR="00506994" w:rsidRPr="00153D96" w:rsidRDefault="00506994" w:rsidP="00AB7A9E">
            <w:pPr>
              <w:jc w:val="center"/>
              <w:rPr>
                <w:lang w:val="da-DK"/>
              </w:rPr>
            </w:pPr>
          </w:p>
        </w:tc>
        <w:tc>
          <w:tcPr>
            <w:tcW w:w="1960" w:type="dxa"/>
            <w:gridSpan w:val="3"/>
            <w:tcBorders>
              <w:bottom w:val="single" w:sz="8" w:space="0" w:color="auto"/>
            </w:tcBorders>
            <w:vAlign w:val="bottom"/>
          </w:tcPr>
          <w:p w:rsidR="00506994" w:rsidRPr="00E7509F" w:rsidRDefault="00506994" w:rsidP="00AB7A9E">
            <w:pPr>
              <w:jc w:val="center"/>
            </w:pPr>
            <w:r w:rsidRPr="00E7509F">
              <w:t>0.88 (0.65, 1.20); 0.43</w:t>
            </w:r>
          </w:p>
        </w:tc>
        <w:tc>
          <w:tcPr>
            <w:tcW w:w="2223" w:type="dxa"/>
            <w:tcBorders>
              <w:bottom w:val="single" w:sz="8" w:space="0" w:color="auto"/>
              <w:right w:val="single" w:sz="8" w:space="0" w:color="auto"/>
            </w:tcBorders>
            <w:vAlign w:val="bottom"/>
          </w:tcPr>
          <w:p w:rsidR="00506994" w:rsidRPr="00E7509F" w:rsidRDefault="00506994" w:rsidP="00AB7A9E">
            <w:pPr>
              <w:jc w:val="center"/>
            </w:pP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rPr>
                <w:lang w:val="da-DK"/>
              </w:rPr>
            </w:pPr>
            <w:r w:rsidRPr="008A0979">
              <w:rPr>
                <w:rFonts w:eastAsia="Times New Roman"/>
                <w:lang w:val="da-DK"/>
              </w:rPr>
              <w:tab/>
              <w:t>MPR+p vs MPp +p</w:t>
            </w:r>
          </w:p>
        </w:tc>
        <w:tc>
          <w:tcPr>
            <w:tcW w:w="1580" w:type="dxa"/>
            <w:tcBorders>
              <w:bottom w:val="single" w:sz="8" w:space="0" w:color="auto"/>
            </w:tcBorders>
            <w:vAlign w:val="bottom"/>
          </w:tcPr>
          <w:p w:rsidR="00506994" w:rsidRPr="00153D96" w:rsidRDefault="00506994" w:rsidP="00AB7A9E">
            <w:pPr>
              <w:jc w:val="center"/>
              <w:rPr>
                <w:lang w:val="da-DK"/>
              </w:rPr>
            </w:pPr>
          </w:p>
        </w:tc>
        <w:tc>
          <w:tcPr>
            <w:tcW w:w="1960" w:type="dxa"/>
            <w:gridSpan w:val="3"/>
            <w:tcBorders>
              <w:bottom w:val="single" w:sz="8" w:space="0" w:color="auto"/>
            </w:tcBorders>
            <w:vAlign w:val="bottom"/>
          </w:tcPr>
          <w:p w:rsidR="00506994" w:rsidRPr="00E7509F" w:rsidRDefault="00506994" w:rsidP="00AB7A9E">
            <w:pPr>
              <w:jc w:val="center"/>
            </w:pPr>
            <w:r w:rsidRPr="00E7509F">
              <w:t>1.07 (0.79, 1.45); 0.67</w:t>
            </w:r>
          </w:p>
        </w:tc>
        <w:tc>
          <w:tcPr>
            <w:tcW w:w="2223" w:type="dxa"/>
            <w:tcBorders>
              <w:bottom w:val="single" w:sz="8" w:space="0" w:color="auto"/>
              <w:right w:val="single" w:sz="8" w:space="0" w:color="auto"/>
            </w:tcBorders>
            <w:vAlign w:val="bottom"/>
          </w:tcPr>
          <w:p w:rsidR="00506994" w:rsidRPr="00E7509F" w:rsidRDefault="00506994" w:rsidP="00AB7A9E">
            <w:pPr>
              <w:jc w:val="center"/>
            </w:pP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Follow-up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607520" w:rsidP="00AB7A9E">
            <w:r>
              <w:rPr>
                <w:rFonts w:eastAsia="Times New Roman"/>
              </w:rPr>
              <w:tab/>
            </w:r>
            <w:r w:rsidR="00506994" w:rsidRPr="00335062">
              <w:rPr>
                <w:rFonts w:eastAsia="Times New Roman"/>
              </w:rPr>
              <w:t>Median (min, max): all patients</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rPr>
              <w:t>48.4 (0.8, 73.8)</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46.3 (0.5, 71.9)</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50.4 (0.5, 73.3)</w:t>
            </w:r>
          </w:p>
        </w:tc>
      </w:tr>
      <w:tr w:rsidR="00506994" w:rsidRPr="00335062" w:rsidTr="00847F91">
        <w:trPr>
          <w:trHeight w:val="250"/>
        </w:trPr>
        <w:tc>
          <w:tcPr>
            <w:tcW w:w="4160" w:type="dxa"/>
            <w:tcBorders>
              <w:left w:val="single" w:sz="8" w:space="0" w:color="auto"/>
              <w:right w:val="single" w:sz="8" w:space="0" w:color="auto"/>
            </w:tcBorders>
            <w:vAlign w:val="bottom"/>
          </w:tcPr>
          <w:p w:rsidR="00506994" w:rsidRPr="00335062" w:rsidRDefault="00506994" w:rsidP="00AB7A9E">
            <w:r w:rsidRPr="00335062">
              <w:rPr>
                <w:rFonts w:eastAsia="Times New Roman"/>
                <w:b/>
                <w:bCs/>
              </w:rPr>
              <w:t>Investigator-assessed Myeloma response</w:t>
            </w:r>
          </w:p>
        </w:tc>
        <w:tc>
          <w:tcPr>
            <w:tcW w:w="1580" w:type="dxa"/>
            <w:vAlign w:val="bottom"/>
          </w:tcPr>
          <w:p w:rsidR="00506994" w:rsidRPr="00335062" w:rsidRDefault="00506994" w:rsidP="00AB7A9E"/>
        </w:tc>
        <w:tc>
          <w:tcPr>
            <w:tcW w:w="160" w:type="dxa"/>
            <w:vAlign w:val="bottom"/>
          </w:tcPr>
          <w:p w:rsidR="00506994" w:rsidRPr="00335062" w:rsidRDefault="00506994" w:rsidP="00AB7A9E"/>
        </w:tc>
        <w:tc>
          <w:tcPr>
            <w:tcW w:w="1700" w:type="dxa"/>
            <w:vAlign w:val="bottom"/>
          </w:tcPr>
          <w:p w:rsidR="00506994" w:rsidRPr="00335062" w:rsidRDefault="00506994" w:rsidP="00AB7A9E"/>
        </w:tc>
        <w:tc>
          <w:tcPr>
            <w:tcW w:w="100" w:type="dxa"/>
            <w:vAlign w:val="bottom"/>
          </w:tcPr>
          <w:p w:rsidR="00506994" w:rsidRPr="00335062" w:rsidRDefault="00506994" w:rsidP="00AB7A9E"/>
        </w:tc>
        <w:tc>
          <w:tcPr>
            <w:tcW w:w="2223" w:type="dxa"/>
            <w:tcBorders>
              <w:right w:val="single" w:sz="8" w:space="0" w:color="auto"/>
            </w:tcBorders>
            <w:vAlign w:val="bottom"/>
          </w:tcPr>
          <w:p w:rsidR="00506994" w:rsidRPr="00335062" w:rsidRDefault="00506994" w:rsidP="00AB7A9E"/>
        </w:tc>
      </w:tr>
      <w:tr w:rsidR="00506994" w:rsidRPr="00335062" w:rsidTr="00847F91">
        <w:trPr>
          <w:trHeight w:val="256"/>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n (%)</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CR</w:t>
            </w:r>
          </w:p>
        </w:tc>
        <w:tc>
          <w:tcPr>
            <w:tcW w:w="1580" w:type="dxa"/>
            <w:tcBorders>
              <w:bottom w:val="single" w:sz="8" w:space="0" w:color="auto"/>
            </w:tcBorders>
            <w:vAlign w:val="bottom"/>
          </w:tcPr>
          <w:p w:rsidR="00506994" w:rsidRPr="00CD573E" w:rsidRDefault="00506994" w:rsidP="00AB7A9E">
            <w:pPr>
              <w:jc w:val="center"/>
            </w:pPr>
            <w:r w:rsidRPr="00CD573E">
              <w:t>30 (19.7)</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17 (11.1)</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9 (5.8)</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PR</w:t>
            </w:r>
          </w:p>
        </w:tc>
        <w:tc>
          <w:tcPr>
            <w:tcW w:w="1580" w:type="dxa"/>
            <w:tcBorders>
              <w:bottom w:val="single" w:sz="8" w:space="0" w:color="auto"/>
            </w:tcBorders>
            <w:vAlign w:val="bottom"/>
          </w:tcPr>
          <w:p w:rsidR="00506994" w:rsidRPr="00CD573E" w:rsidRDefault="00506994" w:rsidP="00AB7A9E">
            <w:pPr>
              <w:jc w:val="center"/>
            </w:pPr>
            <w:r w:rsidRPr="00CD573E">
              <w:t>90 (59.2)</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99 ( 64.7)</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75 (48.7)</w:t>
            </w: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Stable Disease (SD)</w:t>
            </w:r>
          </w:p>
        </w:tc>
        <w:tc>
          <w:tcPr>
            <w:tcW w:w="1580" w:type="dxa"/>
            <w:tcBorders>
              <w:bottom w:val="single" w:sz="8" w:space="0" w:color="auto"/>
            </w:tcBorders>
            <w:vAlign w:val="bottom"/>
          </w:tcPr>
          <w:p w:rsidR="00506994" w:rsidRPr="00CD573E" w:rsidRDefault="00506994" w:rsidP="00AB7A9E">
            <w:pPr>
              <w:jc w:val="center"/>
            </w:pPr>
            <w:r w:rsidRPr="00CD573E">
              <w:t>24 (15.8)</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31 (20.3)</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63 (40.9)</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Response Not Evaluable (NE)</w:t>
            </w:r>
          </w:p>
        </w:tc>
        <w:tc>
          <w:tcPr>
            <w:tcW w:w="1580" w:type="dxa"/>
            <w:tcBorders>
              <w:bottom w:val="single" w:sz="8" w:space="0" w:color="auto"/>
            </w:tcBorders>
            <w:vAlign w:val="bottom"/>
          </w:tcPr>
          <w:p w:rsidR="00506994" w:rsidRPr="00CD573E" w:rsidRDefault="00506994" w:rsidP="00AB7A9E">
            <w:pPr>
              <w:jc w:val="center"/>
            </w:pPr>
            <w:r w:rsidRPr="00CD573E">
              <w:t>8 (5.3)</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4 (2.6)</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7 (4.5)</w:t>
            </w:r>
          </w:p>
        </w:tc>
      </w:tr>
      <w:tr w:rsidR="00506994" w:rsidRPr="00335062" w:rsidTr="00847F91">
        <w:trPr>
          <w:trHeight w:val="250"/>
        </w:trPr>
        <w:tc>
          <w:tcPr>
            <w:tcW w:w="4160" w:type="dxa"/>
            <w:tcBorders>
              <w:left w:val="single" w:sz="8" w:space="0" w:color="auto"/>
              <w:right w:val="single" w:sz="8" w:space="0" w:color="auto"/>
            </w:tcBorders>
            <w:vAlign w:val="bottom"/>
          </w:tcPr>
          <w:p w:rsidR="00506994" w:rsidRPr="00335062" w:rsidRDefault="00506994" w:rsidP="00AB7A9E">
            <w:r w:rsidRPr="00335062">
              <w:rPr>
                <w:rFonts w:eastAsia="Times New Roman"/>
                <w:b/>
                <w:bCs/>
              </w:rPr>
              <w:t>Investigator-assessed Duration of</w:t>
            </w:r>
          </w:p>
        </w:tc>
        <w:tc>
          <w:tcPr>
            <w:tcW w:w="1580" w:type="dxa"/>
            <w:vAlign w:val="bottom"/>
          </w:tcPr>
          <w:p w:rsidR="00506994" w:rsidRPr="00CD573E" w:rsidRDefault="00506994" w:rsidP="00AB7A9E">
            <w:pPr>
              <w:jc w:val="center"/>
            </w:pPr>
          </w:p>
        </w:tc>
        <w:tc>
          <w:tcPr>
            <w:tcW w:w="160" w:type="dxa"/>
            <w:tcBorders>
              <w:right w:val="single" w:sz="8" w:space="0" w:color="auto"/>
            </w:tcBorders>
            <w:vAlign w:val="bottom"/>
          </w:tcPr>
          <w:p w:rsidR="00506994" w:rsidRPr="00CD573E" w:rsidRDefault="00506994" w:rsidP="00AB7A9E">
            <w:pPr>
              <w:jc w:val="center"/>
            </w:pPr>
          </w:p>
        </w:tc>
        <w:tc>
          <w:tcPr>
            <w:tcW w:w="1700" w:type="dxa"/>
            <w:tcBorders>
              <w:right w:val="single" w:sz="8" w:space="0" w:color="auto"/>
            </w:tcBorders>
            <w:vAlign w:val="bottom"/>
          </w:tcPr>
          <w:p w:rsidR="00506994" w:rsidRPr="00CD573E" w:rsidRDefault="00506994" w:rsidP="00AB7A9E">
            <w:pPr>
              <w:jc w:val="center"/>
            </w:pPr>
          </w:p>
        </w:tc>
        <w:tc>
          <w:tcPr>
            <w:tcW w:w="100" w:type="dxa"/>
            <w:vAlign w:val="bottom"/>
          </w:tcPr>
          <w:p w:rsidR="00506994" w:rsidRPr="00CD573E" w:rsidRDefault="00506994" w:rsidP="00AB7A9E">
            <w:pPr>
              <w:jc w:val="center"/>
            </w:pPr>
          </w:p>
        </w:tc>
        <w:tc>
          <w:tcPr>
            <w:tcW w:w="2223" w:type="dxa"/>
            <w:tcBorders>
              <w:right w:val="single" w:sz="8" w:space="0" w:color="auto"/>
            </w:tcBorders>
            <w:vAlign w:val="bottom"/>
          </w:tcPr>
          <w:p w:rsidR="00506994" w:rsidRPr="00CD573E" w:rsidRDefault="00506994" w:rsidP="00AB7A9E">
            <w:pPr>
              <w:jc w:val="center"/>
            </w:pPr>
          </w:p>
        </w:tc>
      </w:tr>
      <w:tr w:rsidR="00506994" w:rsidRPr="00335062" w:rsidTr="00847F91">
        <w:trPr>
          <w:trHeight w:val="27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response (CR+PR) </w:t>
            </w:r>
            <w:r>
              <w:rPr>
                <w:rFonts w:eastAsia="Symbol"/>
                <w:b/>
                <w:bCs/>
              </w:rPr>
              <w:t>-</w:t>
            </w:r>
            <w:r w:rsidRPr="00335062">
              <w:rPr>
                <w:rFonts w:eastAsia="Times New Roman"/>
                <w:b/>
                <w:bCs/>
              </w:rPr>
              <w:t xml:space="preserve"> (months)</w:t>
            </w:r>
          </w:p>
        </w:tc>
        <w:tc>
          <w:tcPr>
            <w:tcW w:w="1580" w:type="dxa"/>
            <w:tcBorders>
              <w:bottom w:val="single" w:sz="8" w:space="0" w:color="auto"/>
            </w:tcBorders>
            <w:vAlign w:val="bottom"/>
          </w:tcPr>
          <w:p w:rsidR="00506994" w:rsidRPr="00CD573E" w:rsidRDefault="00506994" w:rsidP="00AB7A9E">
            <w:pPr>
              <w:jc w:val="center"/>
            </w:pP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(95% CI)</w:t>
            </w:r>
          </w:p>
        </w:tc>
        <w:tc>
          <w:tcPr>
            <w:tcW w:w="1580" w:type="dxa"/>
            <w:tcBorders>
              <w:bottom w:val="single" w:sz="8" w:space="0" w:color="auto"/>
            </w:tcBorders>
            <w:vAlign w:val="bottom"/>
          </w:tcPr>
          <w:p w:rsidR="00506994" w:rsidRPr="00CD573E" w:rsidRDefault="00506994" w:rsidP="00AB7A9E">
            <w:pPr>
              <w:jc w:val="center"/>
            </w:pPr>
            <w:r w:rsidRPr="00CD573E">
              <w:t>26.5 (19.4, 35.8)</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12.4 (11.2, 13.9)</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12.0 (9.4, 14.5)</w:t>
            </w:r>
          </w:p>
        </w:tc>
      </w:tr>
    </w:tbl>
    <w:p w:rsidR="00506994" w:rsidRPr="004E2CAA" w:rsidRDefault="00506994" w:rsidP="00AB7A9E">
      <w:pPr>
        <w:ind w:right="80"/>
        <w:rPr>
          <w:sz w:val="16"/>
          <w:szCs w:val="16"/>
        </w:rPr>
      </w:pPr>
      <w:r w:rsidRPr="004E2CAA">
        <w:rPr>
          <w:rFonts w:eastAsia="Times New Roman"/>
          <w:sz w:val="16"/>
          <w:szCs w:val="16"/>
        </w:rPr>
        <w:t>CI = confidence interval; CR = complete response; HR = Hazard Rate; M = melphalan; NE = not estimable; OS = overall survival; p = placebo; P = prednisone;</w:t>
      </w:r>
    </w:p>
    <w:p w:rsidR="00506994" w:rsidRPr="004E2CAA" w:rsidRDefault="00506994" w:rsidP="00AB7A9E">
      <w:pPr>
        <w:ind w:right="80"/>
        <w:rPr>
          <w:sz w:val="16"/>
          <w:szCs w:val="16"/>
        </w:rPr>
      </w:pPr>
      <w:r w:rsidRPr="004E2CAA">
        <w:rPr>
          <w:rFonts w:eastAsia="Times New Roman"/>
          <w:sz w:val="16"/>
          <w:szCs w:val="16"/>
        </w:rPr>
        <w:t>PD = progressive disease; PR = partial response; R = lenalidomide; SD = stable disease; VGPR = very good partial response.</w:t>
      </w:r>
    </w:p>
    <w:p w:rsidR="00506994" w:rsidRPr="004E2CAA" w:rsidRDefault="00506994" w:rsidP="00AB7A9E">
      <w:pPr>
        <w:rPr>
          <w:sz w:val="16"/>
          <w:szCs w:val="16"/>
        </w:rPr>
      </w:pPr>
      <w:r w:rsidRPr="004E2CAA">
        <w:rPr>
          <w:rFonts w:eastAsia="Times New Roman"/>
          <w:sz w:val="16"/>
          <w:szCs w:val="16"/>
        </w:rPr>
        <w:t>ª The median is based on the Kaplan-Meier estimate</w:t>
      </w:r>
    </w:p>
    <w:p w:rsidR="00506994" w:rsidRPr="004E2CAA" w:rsidRDefault="00506994" w:rsidP="00AB7A9E">
      <w:pPr>
        <w:ind w:right="40"/>
        <w:rPr>
          <w:sz w:val="16"/>
          <w:szCs w:val="16"/>
        </w:rPr>
      </w:pPr>
      <w:r w:rsidRPr="004E2CAA">
        <w:rPr>
          <w:rFonts w:eastAsia="Times New Roman"/>
          <w:sz w:val="16"/>
          <w:szCs w:val="16"/>
          <w:vertAlign w:val="superscript"/>
        </w:rPr>
        <w:t>¤</w:t>
      </w:r>
      <w:r w:rsidRPr="004E2CAA">
        <w:rPr>
          <w:rFonts w:eastAsia="Times New Roman"/>
          <w:sz w:val="16"/>
          <w:szCs w:val="16"/>
        </w:rPr>
        <w:t>PFS2 (an exploratory endpoint) was defined for all patients (ITT) as time from randomi</w:t>
      </w:r>
      <w:r w:rsidR="00490442">
        <w:rPr>
          <w:rFonts w:eastAsia="Times New Roman"/>
          <w:sz w:val="16"/>
          <w:szCs w:val="16"/>
        </w:rPr>
        <w:t>s</w:t>
      </w:r>
      <w:r w:rsidRPr="004E2CAA">
        <w:rPr>
          <w:rFonts w:eastAsia="Times New Roman"/>
          <w:sz w:val="16"/>
          <w:szCs w:val="16"/>
        </w:rPr>
        <w:t xml:space="preserve">ation to start of 3rd line antimyeloma therapy (AMT) or death for all </w:t>
      </w:r>
      <w:r>
        <w:rPr>
          <w:rFonts w:eastAsia="Times New Roman"/>
          <w:sz w:val="16"/>
          <w:szCs w:val="16"/>
        </w:rPr>
        <w:t>randomised</w:t>
      </w:r>
      <w:r w:rsidRPr="004E2CAA">
        <w:rPr>
          <w:rFonts w:eastAsia="Times New Roman"/>
          <w:sz w:val="16"/>
          <w:szCs w:val="16"/>
        </w:rPr>
        <w:t xml:space="preserve"> patients</w:t>
      </w:r>
    </w:p>
    <w:p w:rsidR="00506994" w:rsidRPr="00335062" w:rsidRDefault="00506994" w:rsidP="00AB7A9E"/>
    <w:p w:rsidR="00506994" w:rsidRPr="00746107" w:rsidRDefault="00506994" w:rsidP="00AB7A9E">
      <w:r w:rsidRPr="00746107">
        <w:rPr>
          <w:rFonts w:eastAsia="Times New Roman"/>
          <w:i/>
          <w:iCs/>
        </w:rPr>
        <w:t>Supportive newly diagnosed multiple myeloma studies</w:t>
      </w:r>
    </w:p>
    <w:p w:rsidR="00506994" w:rsidRPr="00335062" w:rsidRDefault="00506994" w:rsidP="00AB7A9E">
      <w:pPr>
        <w:ind w:right="20"/>
      </w:pPr>
      <w:r w:rsidRPr="00335062">
        <w:rPr>
          <w:rFonts w:eastAsia="Times New Roman"/>
        </w:rPr>
        <w:t xml:space="preserve">An open-label, </w:t>
      </w:r>
      <w:r>
        <w:rPr>
          <w:rFonts w:eastAsia="Times New Roman"/>
        </w:rPr>
        <w:t>randomised</w:t>
      </w:r>
      <w:r w:rsidRPr="00335062">
        <w:rPr>
          <w:rFonts w:eastAsia="Times New Roman"/>
        </w:rPr>
        <w:t>, multicentr</w:t>
      </w:r>
      <w:r w:rsidR="00490442">
        <w:rPr>
          <w:rFonts w:eastAsia="Times New Roman"/>
        </w:rPr>
        <w:t>e</w:t>
      </w:r>
      <w:r w:rsidRPr="00335062">
        <w:rPr>
          <w:rFonts w:eastAsia="Times New Roman"/>
        </w:rPr>
        <w:t xml:space="preserve">, </w:t>
      </w:r>
      <w:r w:rsidR="00C938ED">
        <w:rPr>
          <w:rFonts w:eastAsia="Times New Roman"/>
        </w:rPr>
        <w:t>p</w:t>
      </w:r>
      <w:r w:rsidRPr="00335062">
        <w:rPr>
          <w:rFonts w:eastAsia="Times New Roman"/>
        </w:rPr>
        <w:t xml:space="preserve">hase </w:t>
      </w:r>
      <w:r w:rsidR="00490442">
        <w:rPr>
          <w:rFonts w:eastAsia="Times New Roman"/>
        </w:rPr>
        <w:t>3</w:t>
      </w:r>
      <w:r w:rsidR="00490442" w:rsidRPr="00335062">
        <w:rPr>
          <w:rFonts w:eastAsia="Times New Roman"/>
        </w:rPr>
        <w:t xml:space="preserve"> </w:t>
      </w:r>
      <w:r w:rsidRPr="00335062">
        <w:rPr>
          <w:rFonts w:eastAsia="Times New Roman"/>
        </w:rPr>
        <w:t xml:space="preserve">study (ECOG E4A03) was conducted in 445 patients with newly diagnosed multiple myeloma; 222 patients were </w:t>
      </w:r>
      <w:r>
        <w:rPr>
          <w:rFonts w:eastAsia="Times New Roman"/>
        </w:rPr>
        <w:t>randomised</w:t>
      </w:r>
      <w:r w:rsidRPr="00335062">
        <w:rPr>
          <w:rFonts w:eastAsia="Times New Roman"/>
        </w:rPr>
        <w:t xml:space="preserve"> to the lenalidomide/low dose dexamethasone arm, and 223 were </w:t>
      </w:r>
      <w:r>
        <w:rPr>
          <w:rFonts w:eastAsia="Times New Roman"/>
        </w:rPr>
        <w:t>randomised</w:t>
      </w:r>
      <w:r w:rsidRPr="00335062">
        <w:rPr>
          <w:rFonts w:eastAsia="Times New Roman"/>
        </w:rPr>
        <w:t xml:space="preserve"> to the lenalidomide/standard dose dexamethasone arm. Patients </w:t>
      </w:r>
      <w:r>
        <w:rPr>
          <w:rFonts w:eastAsia="Times New Roman"/>
        </w:rPr>
        <w:t>randomised</w:t>
      </w:r>
      <w:r w:rsidRPr="00335062">
        <w:rPr>
          <w:rFonts w:eastAsia="Times New Roman"/>
        </w:rPr>
        <w:t xml:space="preserve"> to the lenalidomide/standard dose dexamethasone arm received lenalidomide</w:t>
      </w:r>
    </w:p>
    <w:p w:rsidR="00506994" w:rsidRPr="00335062" w:rsidRDefault="00506994" w:rsidP="00AB7A9E">
      <w:r w:rsidRPr="00335062">
        <w:rPr>
          <w:rFonts w:eastAsia="Times New Roman"/>
        </w:rPr>
        <w:t xml:space="preserve">25 mg/day, </w:t>
      </w:r>
      <w:r w:rsidR="00490442">
        <w:rPr>
          <w:rFonts w:eastAsia="Times New Roman"/>
        </w:rPr>
        <w:t>d</w:t>
      </w:r>
      <w:r w:rsidRPr="00335062">
        <w:rPr>
          <w:rFonts w:eastAsia="Times New Roman"/>
        </w:rPr>
        <w:t xml:space="preserve">ays 1 to 21 every 28 days plus dexamethasone 40 mg/day on Days 1 to 4, 9 to 12, and 17 to 20 every 28 days for the first four cycles. Patients </w:t>
      </w:r>
      <w:r>
        <w:rPr>
          <w:rFonts w:eastAsia="Times New Roman"/>
        </w:rPr>
        <w:t>randomised</w:t>
      </w:r>
      <w:r w:rsidRPr="00335062">
        <w:rPr>
          <w:rFonts w:eastAsia="Times New Roman"/>
        </w:rPr>
        <w:t xml:space="preserve"> to the lenalidomide/low dose dexamethasone arm received lenalidomide 25 mg/day, </w:t>
      </w:r>
      <w:r w:rsidR="00490442">
        <w:rPr>
          <w:rFonts w:eastAsia="Times New Roman"/>
        </w:rPr>
        <w:t>d</w:t>
      </w:r>
      <w:r w:rsidRPr="00335062">
        <w:rPr>
          <w:rFonts w:eastAsia="Times New Roman"/>
        </w:rPr>
        <w:t>ays 1 to 21 every 28 days plus low dose dexamethasone – 40 mg/day on Days 1, 8, 15, and 22 every 28 days. In the lenalidomide/low dose dexamethasone group, 20 patients (9.1%) underwent at least one dose interruption compared to 65 patients (29.3%) in the lenalidomide/standard dose dexamethasone arm.</w:t>
      </w:r>
    </w:p>
    <w:p w:rsidR="00506994" w:rsidRPr="00335062" w:rsidRDefault="00506994" w:rsidP="00AB7A9E"/>
    <w:p w:rsidR="00506994" w:rsidRPr="00335062" w:rsidRDefault="00506994" w:rsidP="00AB7A9E">
      <w:pPr>
        <w:ind w:right="40"/>
      </w:pPr>
      <w:r w:rsidRPr="00335062">
        <w:rPr>
          <w:rFonts w:eastAsia="Times New Roman"/>
        </w:rPr>
        <w:t>In a post-hoc analysis, lower mortality was observed in the lenalidomide/low dose dexamethasone arm 6.8% (15/220) compared to the lenalidomide/standard dose dexamethasone arm 19.3% (43/223), in the newly diagnosed multiple myeloma patient population, with a median follow up of 72.3 weeks.</w:t>
      </w:r>
    </w:p>
    <w:p w:rsidR="00506994" w:rsidRPr="00335062" w:rsidRDefault="00506994" w:rsidP="00AB7A9E"/>
    <w:p w:rsidR="00506994" w:rsidRPr="00335062" w:rsidRDefault="00506994" w:rsidP="00AB7A9E">
      <w:pPr>
        <w:ind w:right="520"/>
      </w:pPr>
      <w:proofErr w:type="gramStart"/>
      <w:r w:rsidRPr="00335062">
        <w:rPr>
          <w:rFonts w:eastAsia="Times New Roman"/>
        </w:rPr>
        <w:t>However</w:t>
      </w:r>
      <w:proofErr w:type="gramEnd"/>
      <w:r w:rsidRPr="00335062">
        <w:rPr>
          <w:rFonts w:eastAsia="Times New Roman"/>
        </w:rPr>
        <w:t xml:space="preserve"> with a longer follow-up, the difference in overall survival in favour of lenalidomide/ low dose dexamethasone tends to decrease.</w:t>
      </w:r>
    </w:p>
    <w:p w:rsidR="00506994" w:rsidRPr="00335062" w:rsidRDefault="00506994" w:rsidP="00AB7A9E"/>
    <w:p w:rsidR="00506994" w:rsidRPr="004273C8" w:rsidRDefault="00506994" w:rsidP="00AB7A9E">
      <w:pPr>
        <w:rPr>
          <w:u w:val="single"/>
        </w:rPr>
      </w:pPr>
      <w:r w:rsidRPr="004273C8">
        <w:rPr>
          <w:rFonts w:eastAsia="Times New Roman"/>
          <w:bCs/>
          <w:i/>
          <w:iCs/>
          <w:u w:val="single"/>
        </w:rPr>
        <w:t>Multiple myeloma with at least one prior therapy</w:t>
      </w:r>
    </w:p>
    <w:p w:rsidR="00506994" w:rsidRPr="00335062" w:rsidRDefault="00506994" w:rsidP="00AB7A9E">
      <w:pPr>
        <w:ind w:right="120"/>
      </w:pPr>
      <w:r w:rsidRPr="00335062">
        <w:rPr>
          <w:rFonts w:eastAsia="Times New Roman"/>
        </w:rPr>
        <w:t xml:space="preserve">The efficacy and safety of lenalidomide were evaluated in two </w:t>
      </w:r>
      <w:r w:rsidR="00C938ED">
        <w:rPr>
          <w:rFonts w:eastAsia="Times New Roman"/>
        </w:rPr>
        <w:t>p</w:t>
      </w:r>
      <w:r w:rsidRPr="00335062">
        <w:rPr>
          <w:rFonts w:eastAsia="Times New Roman"/>
        </w:rPr>
        <w:t xml:space="preserve">hase </w:t>
      </w:r>
      <w:r w:rsidR="00490442">
        <w:rPr>
          <w:rFonts w:eastAsia="Times New Roman"/>
        </w:rPr>
        <w:t>3</w:t>
      </w:r>
      <w:r w:rsidR="00CB430B">
        <w:rPr>
          <w:rFonts w:eastAsia="Times New Roman"/>
        </w:rPr>
        <w:t xml:space="preserve"> </w:t>
      </w:r>
      <w:r w:rsidRPr="00335062">
        <w:rPr>
          <w:rFonts w:eastAsia="Times New Roman"/>
        </w:rPr>
        <w:t>multicentre, randomised, double-blind, placebo-controlled, parallel-group controlled studies (MM-009 and MM-010) of lenalidomide plus dexamethasone therapy versus dexamethasone alone in previously treated patients with multiple myeloma. Out of 353 patients in the MM-009 and MM-010 studies who received lenalidomide/dexamethasone, 45.6% were aged 65 or over. Of the 704 patients evaluated in the MM-009 and MM-010 studies, 44.6% were aged 65 or over.</w:t>
      </w:r>
    </w:p>
    <w:p w:rsidR="00506994" w:rsidRPr="00335062" w:rsidRDefault="00506994" w:rsidP="00AB7A9E"/>
    <w:p w:rsidR="00AB7A9E" w:rsidRDefault="00AB7A9E" w:rsidP="00AB7A9E">
      <w:pPr>
        <w:autoSpaceDE w:val="0"/>
        <w:autoSpaceDN w:val="0"/>
        <w:adjustRightInd w:val="0"/>
        <w:rPr>
          <w:rFonts w:eastAsia="Times New Roman"/>
        </w:rPr>
      </w:pPr>
      <w:r>
        <w:rPr>
          <w:rFonts w:eastAsia="Times New Roman"/>
        </w:rPr>
        <w:t>In both studies, patients in the lenalidomide/dexamethasone (len/dex) group took 25 mg of lenalidomide</w:t>
      </w:r>
    </w:p>
    <w:p w:rsidR="00AB7A9E" w:rsidRDefault="00AB7A9E" w:rsidP="00AB7A9E">
      <w:pPr>
        <w:autoSpaceDE w:val="0"/>
        <w:autoSpaceDN w:val="0"/>
        <w:adjustRightInd w:val="0"/>
        <w:rPr>
          <w:rFonts w:eastAsia="Times New Roman"/>
        </w:rPr>
      </w:pPr>
      <w:r>
        <w:rPr>
          <w:rFonts w:eastAsia="Times New Roman"/>
        </w:rPr>
        <w:t>orally once daily on days 1 to 21 and a matching placebo capsule once daily on days 22 to 28 of each</w:t>
      </w:r>
    </w:p>
    <w:p w:rsidR="00AB7A9E" w:rsidRDefault="00AB7A9E" w:rsidP="00AB7A9E">
      <w:pPr>
        <w:autoSpaceDE w:val="0"/>
        <w:autoSpaceDN w:val="0"/>
        <w:adjustRightInd w:val="0"/>
        <w:rPr>
          <w:rFonts w:eastAsia="Times New Roman"/>
        </w:rPr>
      </w:pPr>
      <w:r>
        <w:rPr>
          <w:rFonts w:eastAsia="Times New Roman"/>
        </w:rPr>
        <w:t>28-day cycle. Patients in the placebo/dexamethasone (placebo/dex) group took 1 placebo capsule on days 1</w:t>
      </w:r>
    </w:p>
    <w:p w:rsidR="00AB7A9E" w:rsidRDefault="00AB7A9E" w:rsidP="00AB7A9E">
      <w:pPr>
        <w:autoSpaceDE w:val="0"/>
        <w:autoSpaceDN w:val="0"/>
        <w:adjustRightInd w:val="0"/>
        <w:rPr>
          <w:rFonts w:eastAsia="Times New Roman"/>
        </w:rPr>
      </w:pPr>
      <w:r>
        <w:rPr>
          <w:rFonts w:eastAsia="Times New Roman"/>
        </w:rPr>
        <w:t>to 28 of each 28-day cycle. Patients in both treatment groups took 40 mg of dexamethasone orally once daily</w:t>
      </w:r>
    </w:p>
    <w:p w:rsidR="00AB7A9E" w:rsidRDefault="00AB7A9E" w:rsidP="00AB7A9E">
      <w:pPr>
        <w:autoSpaceDE w:val="0"/>
        <w:autoSpaceDN w:val="0"/>
        <w:adjustRightInd w:val="0"/>
        <w:rPr>
          <w:rFonts w:eastAsia="Times New Roman"/>
        </w:rPr>
      </w:pPr>
      <w:r>
        <w:rPr>
          <w:rFonts w:eastAsia="Times New Roman"/>
        </w:rPr>
        <w:t>on days 1 to 4, 9 to 12, and 17 to 20 of each 28-day cycle for the first 4 cycles of therapy. The dose of</w:t>
      </w:r>
    </w:p>
    <w:p w:rsidR="00AB7A9E" w:rsidRDefault="00AB7A9E" w:rsidP="00AB7A9E">
      <w:pPr>
        <w:autoSpaceDE w:val="0"/>
        <w:autoSpaceDN w:val="0"/>
        <w:adjustRightInd w:val="0"/>
        <w:rPr>
          <w:rFonts w:eastAsia="Times New Roman"/>
        </w:rPr>
      </w:pPr>
      <w:r>
        <w:rPr>
          <w:rFonts w:eastAsia="Times New Roman"/>
        </w:rPr>
        <w:t>dexamethasone was reduced to 40 mg orally once daily on days 1 to 4 of each 28-day cycle after the first</w:t>
      </w:r>
    </w:p>
    <w:p w:rsidR="00AB7A9E" w:rsidRDefault="00AB7A9E" w:rsidP="00AB7A9E">
      <w:pPr>
        <w:autoSpaceDE w:val="0"/>
        <w:autoSpaceDN w:val="0"/>
        <w:adjustRightInd w:val="0"/>
        <w:rPr>
          <w:rFonts w:eastAsia="Times New Roman"/>
        </w:rPr>
      </w:pPr>
      <w:r>
        <w:rPr>
          <w:rFonts w:eastAsia="Times New Roman"/>
        </w:rPr>
        <w:t>4 cycles of therapy. In both studies, treatment was to continue until disease progression. In both studies, dose</w:t>
      </w:r>
    </w:p>
    <w:p w:rsidR="00506994" w:rsidRDefault="00AB7A9E" w:rsidP="00AB7A9E">
      <w:pPr>
        <w:rPr>
          <w:rFonts w:eastAsia="Times New Roman"/>
        </w:rPr>
      </w:pPr>
      <w:r>
        <w:rPr>
          <w:rFonts w:eastAsia="Times New Roman"/>
        </w:rPr>
        <w:t>adjustments were allowed based on clinical and laboratory finding.</w:t>
      </w:r>
    </w:p>
    <w:p w:rsidR="00AB7A9E" w:rsidRPr="00335062" w:rsidRDefault="00AB7A9E" w:rsidP="00AB7A9E"/>
    <w:p w:rsidR="00506994" w:rsidRPr="00335062" w:rsidRDefault="00506994" w:rsidP="00AB7A9E">
      <w:pPr>
        <w:ind w:right="380"/>
      </w:pPr>
      <w:r w:rsidRPr="00335062">
        <w:rPr>
          <w:rFonts w:eastAsia="Times New Roman"/>
        </w:rPr>
        <w:t>The primary efficacy endpoint in both studies was time to progression (TTP). In total, 353 patients were evaluated in the MM-009 study; 177 in the len/dex group and 176 in the placebo/dex group and, in total, 351 patients were evaluated in the MM-010 study; 176 in the len/dex group and 175 in the placebo/dex group.</w:t>
      </w:r>
    </w:p>
    <w:p w:rsidR="00506994" w:rsidRPr="00335062" w:rsidRDefault="00506994" w:rsidP="00AB7A9E"/>
    <w:p w:rsidR="00506994" w:rsidRPr="00335062" w:rsidRDefault="00506994" w:rsidP="00AB7A9E">
      <w:pPr>
        <w:ind w:right="260"/>
      </w:pPr>
      <w:r w:rsidRPr="00335062">
        <w:rPr>
          <w:rFonts w:eastAsia="Times New Roman"/>
        </w:rPr>
        <w:t>In both studies, the baseline demographic and disease-related characteristics were comparable between the len/dex and placebo/dex groups. Both patient populations presented a median age of 63 years, with a comparable male to female ratio. The ECOG performance status was comparable between both groups, as was the number and type of prior therapies.</w:t>
      </w:r>
    </w:p>
    <w:p w:rsidR="00506994" w:rsidRPr="00335062" w:rsidRDefault="00506994" w:rsidP="00AB7A9E"/>
    <w:p w:rsidR="00506994" w:rsidRPr="00335062" w:rsidRDefault="00506994" w:rsidP="00AB7A9E">
      <w:pPr>
        <w:ind w:right="20"/>
      </w:pPr>
      <w:r w:rsidRPr="00335062">
        <w:rPr>
          <w:rFonts w:eastAsia="Times New Roman"/>
        </w:rPr>
        <w:t>Pre-planned interim analyses of both studies showed that len/dex was statistically significantly superior (p &lt; 0.00001) to dexamethasone alone for the primary efficacy endpoint, TTP (median follow-up duration of 98.0 weeks). Complete response and overall response rates in the len/dex arm were also significantly higher than the placebo</w:t>
      </w:r>
      <w:r w:rsidR="00CC7B74">
        <w:rPr>
          <w:rFonts w:eastAsia="Times New Roman"/>
        </w:rPr>
        <w:t>/dex</w:t>
      </w:r>
      <w:r w:rsidRPr="00335062">
        <w:rPr>
          <w:rFonts w:eastAsia="Times New Roman"/>
        </w:rPr>
        <w:t xml:space="preserve"> arm in both studies. Results of these analyses subsequently led to an unblinding in both studies, in order to allow patients in the placebo/dex group to receive treatment with the len/dex combination.</w:t>
      </w:r>
    </w:p>
    <w:p w:rsidR="00506994" w:rsidRPr="00335062" w:rsidRDefault="00506994" w:rsidP="00AB7A9E"/>
    <w:p w:rsidR="00506994" w:rsidRPr="00335062" w:rsidRDefault="00506994" w:rsidP="00AB7A9E">
      <w:pPr>
        <w:ind w:right="320"/>
      </w:pPr>
      <w:r w:rsidRPr="00335062">
        <w:rPr>
          <w:rFonts w:eastAsia="Times New Roman"/>
        </w:rPr>
        <w:t xml:space="preserve">An extended follow-up efficacy analysis was conducted with a median follow-up of 130.7 weeks. Table </w:t>
      </w:r>
      <w:r w:rsidR="00490442">
        <w:rPr>
          <w:rFonts w:eastAsia="Times New Roman"/>
        </w:rPr>
        <w:t>11</w:t>
      </w:r>
      <w:r w:rsidR="004B1AF7" w:rsidRPr="00335062">
        <w:rPr>
          <w:rFonts w:eastAsia="Times New Roman"/>
        </w:rPr>
        <w:t xml:space="preserve"> </w:t>
      </w:r>
      <w:r w:rsidRPr="00335062">
        <w:rPr>
          <w:rFonts w:eastAsia="Times New Roman"/>
        </w:rPr>
        <w:t xml:space="preserve">summarises the results of the follow-up efficacy analyses – pooled </w:t>
      </w:r>
      <w:r w:rsidRPr="00335062">
        <w:rPr>
          <w:rFonts w:eastAsia="Times"/>
        </w:rPr>
        <w:t>studies MM-009 and MM-010.</w:t>
      </w:r>
    </w:p>
    <w:p w:rsidR="00506994" w:rsidRPr="00335062" w:rsidRDefault="00506994" w:rsidP="00AB7A9E"/>
    <w:p w:rsidR="00506994" w:rsidRPr="00335062" w:rsidRDefault="00506994" w:rsidP="00AB7A9E">
      <w:pPr>
        <w:rPr>
          <w:rFonts w:eastAsia="Times New Roman"/>
        </w:rPr>
      </w:pPr>
      <w:r w:rsidRPr="00335062">
        <w:rPr>
          <w:rFonts w:eastAsia="Times New Roman"/>
        </w:rPr>
        <w:t>In this pooled extended follow-up analysis, the median TTP was 60.1 weeks (95% CI: 44.3, 73.1) in patients</w:t>
      </w:r>
      <w:r w:rsidR="00AB7A9E">
        <w:t xml:space="preserve"> </w:t>
      </w:r>
      <w:r w:rsidRPr="00335062">
        <w:rPr>
          <w:rFonts w:eastAsia="Times New Roman"/>
        </w:rPr>
        <w:t>treated with len/dex</w:t>
      </w:r>
      <w:r w:rsidRPr="00AB7A9E">
        <w:rPr>
          <w:rFonts w:eastAsia="Times New Roman"/>
        </w:rPr>
        <w:t xml:space="preserve"> (N = 353) v</w:t>
      </w:r>
      <w:r w:rsidRPr="00335062">
        <w:rPr>
          <w:rFonts w:eastAsia="Times New Roman"/>
        </w:rPr>
        <w:t>ersus 20.1 weeks (95% CI: 17.7, 20.3) in patients treated with placebo/dex (N = 351). The median progression free survival was 48.1 weeks</w:t>
      </w:r>
      <w:r w:rsidR="00AB7A9E">
        <w:rPr>
          <w:rFonts w:eastAsia="Times New Roman"/>
        </w:rPr>
        <w:t xml:space="preserve"> </w:t>
      </w:r>
      <w:r w:rsidRPr="00335062">
        <w:rPr>
          <w:rFonts w:eastAsia="Times New Roman"/>
        </w:rPr>
        <w:t xml:space="preserve">(95% CI: 36.4, 62.1) in patients treated with len/dex versus 20.0 weeks (95% CI: 16.1, 20.1) in patients treated with placebo/dex. The median duration of treatment was 44.0 weeks (min: 0.1, max: 254.9) for len/dex and 23.1 weeks (min: 0.3, max: 238.1) for </w:t>
      </w:r>
      <w:r w:rsidR="006214A0">
        <w:rPr>
          <w:rFonts w:eastAsia="Times New Roman"/>
        </w:rPr>
        <w:t>p</w:t>
      </w:r>
      <w:r w:rsidRPr="00335062">
        <w:rPr>
          <w:rFonts w:eastAsia="Times New Roman"/>
        </w:rPr>
        <w:t>lacebo/dex. Complete response (CR), partial response (PR) and overall response (CR+PR) rates in the len/dex arm remain significantly higher than in the placebo</w:t>
      </w:r>
      <w:r w:rsidR="00CC7B74">
        <w:rPr>
          <w:rFonts w:eastAsia="Times New Roman"/>
        </w:rPr>
        <w:t>/dex</w:t>
      </w:r>
      <w:r w:rsidRPr="00335062">
        <w:rPr>
          <w:rFonts w:eastAsia="Times New Roman"/>
        </w:rPr>
        <w:t xml:space="preserve"> arm in both studies. The median overall survival in the extended follow-up analysis of the pooled studies is 164.3 weeks (95% CI: 145.1, 192.6) in patients treated with len/dex versus 136.4 weeks</w:t>
      </w:r>
      <w:r w:rsidR="006214A0">
        <w:rPr>
          <w:rFonts w:eastAsia="Times New Roman"/>
        </w:rPr>
        <w:t xml:space="preserve"> </w:t>
      </w:r>
      <w:r w:rsidRPr="00335062">
        <w:rPr>
          <w:rFonts w:eastAsia="Times New Roman"/>
        </w:rPr>
        <w:t>(95% CI: 113.1, 161.7) in patients treated with placebo/dex. Despite the fact that 170 out of the 351 patients randomised to placebo/dex received lenalidomide after disease progression or after the studies were unblinded, the pooled analysis of overall survival demonstrated a statistically significant survival advantage for len/dex relative to placebo/dex (</w:t>
      </w:r>
      <w:r w:rsidR="00490442">
        <w:rPr>
          <w:rFonts w:eastAsia="Times New Roman"/>
        </w:rPr>
        <w:t>HR</w:t>
      </w:r>
      <w:r w:rsidRPr="00335062">
        <w:rPr>
          <w:rFonts w:eastAsia="Times New Roman"/>
        </w:rPr>
        <w:t xml:space="preserve"> = 0.833, 95% CI = [0.687, 1.009], p=0.045).</w:t>
      </w:r>
    </w:p>
    <w:p w:rsidR="00506994" w:rsidRPr="00335062" w:rsidRDefault="00506994" w:rsidP="00AB7A9E">
      <w:pPr>
        <w:rPr>
          <w:rFonts w:eastAsia="Times New Roman"/>
        </w:rPr>
      </w:pPr>
    </w:p>
    <w:p w:rsidR="00506994" w:rsidRPr="00335062" w:rsidRDefault="00506994" w:rsidP="00AB7A9E">
      <w:pPr>
        <w:tabs>
          <w:tab w:val="left" w:pos="980"/>
        </w:tabs>
        <w:ind w:right="140"/>
      </w:pPr>
      <w:r w:rsidRPr="00335062">
        <w:rPr>
          <w:rFonts w:eastAsia="Times New Roman"/>
          <w:b/>
          <w:bCs/>
        </w:rPr>
        <w:t xml:space="preserve">Table </w:t>
      </w:r>
      <w:r w:rsidR="00490442">
        <w:rPr>
          <w:rFonts w:eastAsia="Times New Roman"/>
          <w:b/>
          <w:bCs/>
        </w:rPr>
        <w:t>11</w:t>
      </w:r>
      <w:r w:rsidRPr="00335062">
        <w:rPr>
          <w:rFonts w:eastAsia="Times New Roman"/>
          <w:b/>
          <w:bCs/>
        </w:rPr>
        <w:t>:</w:t>
      </w:r>
      <w:r w:rsidRPr="00335062">
        <w:tab/>
      </w:r>
      <w:r w:rsidRPr="00335062">
        <w:rPr>
          <w:rFonts w:eastAsia="Times New Roman"/>
          <w:b/>
          <w:bCs/>
        </w:rPr>
        <w:t>Summary of results of efficacy analyses as of cut-off date for extended follow-up — pooled studies MM-009 and MM-010 (cut-offs 23 July 2008 and 2 March 2008, respectively)</w:t>
      </w:r>
    </w:p>
    <w:tbl>
      <w:tblPr>
        <w:tblW w:w="0" w:type="auto"/>
        <w:jc w:val="center"/>
        <w:tblLayout w:type="fixed"/>
        <w:tblCellMar>
          <w:left w:w="0" w:type="dxa"/>
          <w:right w:w="0" w:type="dxa"/>
        </w:tblCellMar>
        <w:tblLook w:val="04A0" w:firstRow="1" w:lastRow="0" w:firstColumn="1" w:lastColumn="0" w:noHBand="0" w:noVBand="1"/>
      </w:tblPr>
      <w:tblGrid>
        <w:gridCol w:w="3140"/>
        <w:gridCol w:w="1500"/>
        <w:gridCol w:w="1360"/>
        <w:gridCol w:w="3923"/>
      </w:tblGrid>
      <w:tr w:rsidR="00506994" w:rsidRPr="008927FC" w:rsidTr="00847F91">
        <w:trPr>
          <w:trHeight w:val="238"/>
          <w:jc w:val="center"/>
        </w:trPr>
        <w:tc>
          <w:tcPr>
            <w:tcW w:w="3140" w:type="dxa"/>
            <w:tcBorders>
              <w:top w:val="single" w:sz="8" w:space="0" w:color="auto"/>
              <w:left w:val="single" w:sz="8" w:space="0" w:color="auto"/>
              <w:right w:val="single" w:sz="8" w:space="0" w:color="auto"/>
            </w:tcBorders>
            <w:vAlign w:val="bottom"/>
          </w:tcPr>
          <w:p w:rsidR="00506994" w:rsidRPr="008927FC" w:rsidRDefault="00506994" w:rsidP="00AB7A9E">
            <w:pPr>
              <w:jc w:val="center"/>
              <w:rPr>
                <w:b/>
              </w:rPr>
            </w:pPr>
            <w:r w:rsidRPr="008927FC">
              <w:rPr>
                <w:b/>
              </w:rPr>
              <w:t>Endpoint</w:t>
            </w:r>
          </w:p>
        </w:tc>
        <w:tc>
          <w:tcPr>
            <w:tcW w:w="1500" w:type="dxa"/>
            <w:tcBorders>
              <w:top w:val="single" w:sz="8" w:space="0" w:color="auto"/>
              <w:right w:val="single" w:sz="8" w:space="0" w:color="auto"/>
            </w:tcBorders>
            <w:vAlign w:val="bottom"/>
          </w:tcPr>
          <w:p w:rsidR="00506994" w:rsidRPr="008927FC" w:rsidRDefault="00506994" w:rsidP="00AB7A9E">
            <w:pPr>
              <w:jc w:val="center"/>
              <w:rPr>
                <w:b/>
              </w:rPr>
            </w:pPr>
            <w:r w:rsidRPr="008927FC">
              <w:rPr>
                <w:b/>
              </w:rPr>
              <w:t>len/dex</w:t>
            </w:r>
          </w:p>
        </w:tc>
        <w:tc>
          <w:tcPr>
            <w:tcW w:w="1360" w:type="dxa"/>
            <w:tcBorders>
              <w:top w:val="single" w:sz="8" w:space="0" w:color="auto"/>
              <w:right w:val="single" w:sz="8" w:space="0" w:color="auto"/>
            </w:tcBorders>
            <w:vAlign w:val="bottom"/>
          </w:tcPr>
          <w:p w:rsidR="00506994" w:rsidRPr="008927FC" w:rsidRDefault="00506994" w:rsidP="00AB7A9E">
            <w:pPr>
              <w:jc w:val="center"/>
              <w:rPr>
                <w:b/>
              </w:rPr>
            </w:pPr>
            <w:r w:rsidRPr="008927FC">
              <w:rPr>
                <w:b/>
              </w:rPr>
              <w:t>placebo/dex</w:t>
            </w:r>
          </w:p>
        </w:tc>
        <w:tc>
          <w:tcPr>
            <w:tcW w:w="3923" w:type="dxa"/>
            <w:tcBorders>
              <w:top w:val="single" w:sz="8" w:space="0" w:color="auto"/>
              <w:right w:val="single" w:sz="8" w:space="0" w:color="auto"/>
            </w:tcBorders>
            <w:vAlign w:val="bottom"/>
          </w:tcPr>
          <w:p w:rsidR="00506994" w:rsidRPr="008927FC" w:rsidRDefault="00506994" w:rsidP="00AB7A9E">
            <w:pPr>
              <w:jc w:val="center"/>
              <w:rPr>
                <w:b/>
              </w:rPr>
            </w:pPr>
          </w:p>
        </w:tc>
      </w:tr>
      <w:tr w:rsidR="00506994" w:rsidRPr="008927FC" w:rsidTr="00847F91">
        <w:trPr>
          <w:trHeight w:val="253"/>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(N=353)</w:t>
            </w: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(N=351)</w:t>
            </w: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p>
        </w:tc>
      </w:tr>
      <w:tr w:rsidR="00506994" w:rsidRPr="008927FC" w:rsidTr="00847F91">
        <w:trPr>
          <w:trHeight w:val="248"/>
          <w:jc w:val="center"/>
        </w:trPr>
        <w:tc>
          <w:tcPr>
            <w:tcW w:w="3140" w:type="dxa"/>
            <w:tcBorders>
              <w:left w:val="single" w:sz="8" w:space="0" w:color="auto"/>
              <w:right w:val="single" w:sz="8" w:space="0" w:color="auto"/>
            </w:tcBorders>
            <w:vAlign w:val="bottom"/>
          </w:tcPr>
          <w:p w:rsidR="00506994" w:rsidRPr="008927FC" w:rsidRDefault="00506994" w:rsidP="00AB7A9E">
            <w:pPr>
              <w:jc w:val="center"/>
              <w:rPr>
                <w:b/>
              </w:rPr>
            </w:pPr>
            <w:r w:rsidRPr="008927FC">
              <w:rPr>
                <w:b/>
              </w:rPr>
              <w:t>Time to event</w:t>
            </w:r>
          </w:p>
        </w:tc>
        <w:tc>
          <w:tcPr>
            <w:tcW w:w="1500" w:type="dxa"/>
            <w:tcBorders>
              <w:right w:val="single" w:sz="8" w:space="0" w:color="auto"/>
            </w:tcBorders>
            <w:vAlign w:val="bottom"/>
          </w:tcPr>
          <w:p w:rsidR="00506994" w:rsidRPr="008927FC" w:rsidRDefault="00506994" w:rsidP="00AB7A9E">
            <w:pPr>
              <w:jc w:val="center"/>
              <w:rPr>
                <w:b/>
              </w:rPr>
            </w:pPr>
          </w:p>
        </w:tc>
        <w:tc>
          <w:tcPr>
            <w:tcW w:w="1360" w:type="dxa"/>
            <w:tcBorders>
              <w:right w:val="single" w:sz="8" w:space="0" w:color="auto"/>
            </w:tcBorders>
            <w:vAlign w:val="bottom"/>
          </w:tcPr>
          <w:p w:rsidR="00506994" w:rsidRPr="008927FC" w:rsidRDefault="00506994" w:rsidP="00AB7A9E">
            <w:pPr>
              <w:jc w:val="center"/>
              <w:rPr>
                <w:b/>
              </w:rPr>
            </w:pPr>
          </w:p>
        </w:tc>
        <w:tc>
          <w:tcPr>
            <w:tcW w:w="3923" w:type="dxa"/>
            <w:tcBorders>
              <w:right w:val="single" w:sz="8" w:space="0" w:color="auto"/>
            </w:tcBorders>
            <w:vAlign w:val="bottom"/>
          </w:tcPr>
          <w:p w:rsidR="00506994" w:rsidRPr="008927FC" w:rsidRDefault="00506994" w:rsidP="00AB7A9E">
            <w:pPr>
              <w:jc w:val="center"/>
              <w:rPr>
                <w:b/>
              </w:rPr>
            </w:pPr>
            <w:r w:rsidRPr="008927FC">
              <w:rPr>
                <w:b/>
              </w:rPr>
              <w:t>Hazard ratio [95% CI],</w:t>
            </w:r>
          </w:p>
        </w:tc>
      </w:tr>
      <w:tr w:rsidR="00506994" w:rsidRPr="008927FC" w:rsidTr="00847F91">
        <w:trPr>
          <w:trHeight w:val="254"/>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 xml:space="preserve">p-value </w:t>
            </w:r>
            <w:r w:rsidRPr="008927FC">
              <w:rPr>
                <w:b/>
                <w:vertAlign w:val="superscript"/>
              </w:rPr>
              <w:t>a</w:t>
            </w:r>
          </w:p>
        </w:tc>
      </w:tr>
      <w:tr w:rsidR="00506994" w:rsidRPr="008927FC" w:rsidTr="00847F91">
        <w:trPr>
          <w:trHeight w:val="24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Time to progression</w:t>
            </w:r>
          </w:p>
        </w:tc>
        <w:tc>
          <w:tcPr>
            <w:tcW w:w="1500" w:type="dxa"/>
            <w:tcBorders>
              <w:right w:val="single" w:sz="8" w:space="0" w:color="auto"/>
            </w:tcBorders>
            <w:vAlign w:val="bottom"/>
          </w:tcPr>
          <w:p w:rsidR="00506994" w:rsidRPr="008927FC" w:rsidRDefault="00506994" w:rsidP="00AB7A9E">
            <w:pPr>
              <w:jc w:val="center"/>
            </w:pPr>
            <w:r w:rsidRPr="008927FC">
              <w:t>60.1 [44.3,</w:t>
            </w:r>
          </w:p>
        </w:tc>
        <w:tc>
          <w:tcPr>
            <w:tcW w:w="1360" w:type="dxa"/>
            <w:tcBorders>
              <w:right w:val="single" w:sz="8" w:space="0" w:color="auto"/>
            </w:tcBorders>
            <w:vAlign w:val="bottom"/>
          </w:tcPr>
          <w:p w:rsidR="00506994" w:rsidRPr="008927FC" w:rsidRDefault="00506994" w:rsidP="00AB7A9E">
            <w:pPr>
              <w:jc w:val="center"/>
            </w:pPr>
            <w:r w:rsidRPr="008927FC">
              <w:t>20.1 [17.7,</w:t>
            </w:r>
          </w:p>
        </w:tc>
        <w:tc>
          <w:tcPr>
            <w:tcW w:w="3923" w:type="dxa"/>
            <w:tcBorders>
              <w:right w:val="single" w:sz="8" w:space="0" w:color="auto"/>
            </w:tcBorders>
            <w:vAlign w:val="bottom"/>
          </w:tcPr>
          <w:p w:rsidR="00506994" w:rsidRPr="008927FC" w:rsidRDefault="00506994" w:rsidP="00AB7A9E">
            <w:pPr>
              <w:jc w:val="center"/>
            </w:pPr>
            <w:r w:rsidRPr="008927FC">
              <w:t>0.350 [0.287, 0.426], p &lt; 0.001</w:t>
            </w:r>
          </w:p>
        </w:tc>
      </w:tr>
      <w:tr w:rsidR="00506994" w:rsidRPr="008927FC" w:rsidTr="00847F91">
        <w:trPr>
          <w:trHeight w:val="25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right w:val="single" w:sz="8" w:space="0" w:color="auto"/>
            </w:tcBorders>
            <w:vAlign w:val="bottom"/>
          </w:tcPr>
          <w:p w:rsidR="00506994" w:rsidRPr="008927FC" w:rsidRDefault="00506994" w:rsidP="00AB7A9E">
            <w:pPr>
              <w:jc w:val="center"/>
            </w:pPr>
            <w:r w:rsidRPr="008927FC">
              <w:t>73.1]</w:t>
            </w:r>
          </w:p>
        </w:tc>
        <w:tc>
          <w:tcPr>
            <w:tcW w:w="1360" w:type="dxa"/>
            <w:tcBorders>
              <w:right w:val="single" w:sz="8" w:space="0" w:color="auto"/>
            </w:tcBorders>
            <w:vAlign w:val="bottom"/>
          </w:tcPr>
          <w:p w:rsidR="00506994" w:rsidRPr="008927FC" w:rsidRDefault="00506994" w:rsidP="00AB7A9E">
            <w:pPr>
              <w:jc w:val="center"/>
            </w:pPr>
            <w:r w:rsidRPr="008927FC">
              <w:t>20.3]</w:t>
            </w:r>
          </w:p>
        </w:tc>
        <w:tc>
          <w:tcPr>
            <w:tcW w:w="3923" w:type="dxa"/>
            <w:tcBorders>
              <w:right w:val="single" w:sz="8" w:space="0" w:color="auto"/>
            </w:tcBorders>
            <w:vAlign w:val="bottom"/>
          </w:tcPr>
          <w:p w:rsidR="00506994" w:rsidRPr="008927FC" w:rsidRDefault="00506994" w:rsidP="00AB7A9E">
            <w:pPr>
              <w:jc w:val="center"/>
            </w:pPr>
          </w:p>
        </w:tc>
      </w:tr>
      <w:tr w:rsidR="00506994" w:rsidRPr="008927FC" w:rsidTr="00847F91">
        <w:trPr>
          <w:trHeight w:val="261"/>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r w:rsidR="00506994" w:rsidRPr="008927FC" w:rsidTr="00847F91">
        <w:trPr>
          <w:trHeight w:val="240"/>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Progression free survival</w:t>
            </w:r>
          </w:p>
        </w:tc>
        <w:tc>
          <w:tcPr>
            <w:tcW w:w="1500" w:type="dxa"/>
            <w:tcBorders>
              <w:right w:val="single" w:sz="8" w:space="0" w:color="auto"/>
            </w:tcBorders>
            <w:vAlign w:val="bottom"/>
          </w:tcPr>
          <w:p w:rsidR="00506994" w:rsidRPr="008927FC" w:rsidRDefault="00506994" w:rsidP="00AB7A9E">
            <w:pPr>
              <w:jc w:val="center"/>
            </w:pPr>
            <w:r w:rsidRPr="008927FC">
              <w:t>48.1</w:t>
            </w:r>
          </w:p>
        </w:tc>
        <w:tc>
          <w:tcPr>
            <w:tcW w:w="1360" w:type="dxa"/>
            <w:tcBorders>
              <w:right w:val="single" w:sz="8" w:space="0" w:color="auto"/>
            </w:tcBorders>
            <w:vAlign w:val="bottom"/>
          </w:tcPr>
          <w:p w:rsidR="00506994" w:rsidRPr="008927FC" w:rsidRDefault="00506994" w:rsidP="00AB7A9E">
            <w:pPr>
              <w:jc w:val="center"/>
            </w:pPr>
            <w:r w:rsidRPr="008927FC">
              <w:t>20.0 [16.1,</w:t>
            </w:r>
          </w:p>
        </w:tc>
        <w:tc>
          <w:tcPr>
            <w:tcW w:w="3923" w:type="dxa"/>
            <w:tcBorders>
              <w:right w:val="single" w:sz="8" w:space="0" w:color="auto"/>
            </w:tcBorders>
            <w:vAlign w:val="bottom"/>
          </w:tcPr>
          <w:p w:rsidR="00506994" w:rsidRPr="008927FC" w:rsidRDefault="00506994" w:rsidP="00AB7A9E">
            <w:pPr>
              <w:jc w:val="center"/>
            </w:pPr>
            <w:r w:rsidRPr="008927FC">
              <w:t>0.393 [0.326, 0.473]</w:t>
            </w:r>
            <w:r w:rsidR="00CC7B74">
              <w:t>,</w:t>
            </w:r>
          </w:p>
        </w:tc>
      </w:tr>
      <w:tr w:rsidR="00506994" w:rsidRPr="008927FC" w:rsidTr="00847F91">
        <w:trPr>
          <w:trHeight w:val="258"/>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bottom w:val="single" w:sz="8" w:space="0" w:color="auto"/>
              <w:right w:val="single" w:sz="8" w:space="0" w:color="auto"/>
            </w:tcBorders>
            <w:vAlign w:val="bottom"/>
          </w:tcPr>
          <w:p w:rsidR="00506994" w:rsidRPr="008927FC" w:rsidRDefault="00506994" w:rsidP="00AB7A9E">
            <w:pPr>
              <w:jc w:val="center"/>
            </w:pPr>
            <w:r w:rsidRPr="008927FC">
              <w:t>[36.4, 62.1]</w:t>
            </w:r>
          </w:p>
        </w:tc>
        <w:tc>
          <w:tcPr>
            <w:tcW w:w="1360" w:type="dxa"/>
            <w:tcBorders>
              <w:bottom w:val="single" w:sz="8" w:space="0" w:color="auto"/>
              <w:right w:val="single" w:sz="8" w:space="0" w:color="auto"/>
            </w:tcBorders>
            <w:vAlign w:val="bottom"/>
          </w:tcPr>
          <w:p w:rsidR="00506994" w:rsidRPr="008927FC" w:rsidRDefault="00506994" w:rsidP="00AB7A9E">
            <w:pPr>
              <w:jc w:val="center"/>
            </w:pPr>
            <w:r w:rsidRPr="008927FC">
              <w:t>20.1]</w:t>
            </w:r>
          </w:p>
        </w:tc>
        <w:tc>
          <w:tcPr>
            <w:tcW w:w="3923" w:type="dxa"/>
            <w:tcBorders>
              <w:bottom w:val="single" w:sz="8" w:space="0" w:color="auto"/>
              <w:right w:val="single" w:sz="8" w:space="0" w:color="auto"/>
            </w:tcBorders>
            <w:vAlign w:val="bottom"/>
          </w:tcPr>
          <w:p w:rsidR="00506994" w:rsidRPr="008927FC" w:rsidRDefault="00506994" w:rsidP="00AB7A9E">
            <w:pPr>
              <w:jc w:val="center"/>
            </w:pPr>
            <w:r w:rsidRPr="008927FC">
              <w:t>p &lt; 0.001</w:t>
            </w:r>
          </w:p>
        </w:tc>
      </w:tr>
      <w:tr w:rsidR="00506994" w:rsidRPr="008927FC" w:rsidTr="00847F91">
        <w:trPr>
          <w:trHeight w:val="243"/>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Overall survival</w:t>
            </w:r>
          </w:p>
        </w:tc>
        <w:tc>
          <w:tcPr>
            <w:tcW w:w="1500" w:type="dxa"/>
            <w:tcBorders>
              <w:right w:val="single" w:sz="8" w:space="0" w:color="auto"/>
            </w:tcBorders>
            <w:vAlign w:val="bottom"/>
          </w:tcPr>
          <w:p w:rsidR="00506994" w:rsidRPr="008927FC" w:rsidRDefault="00506994" w:rsidP="00AB7A9E">
            <w:pPr>
              <w:jc w:val="center"/>
            </w:pPr>
            <w:r w:rsidRPr="008927FC">
              <w:t>164.3 [145.1,</w:t>
            </w:r>
          </w:p>
        </w:tc>
        <w:tc>
          <w:tcPr>
            <w:tcW w:w="1360" w:type="dxa"/>
            <w:tcBorders>
              <w:right w:val="single" w:sz="8" w:space="0" w:color="auto"/>
            </w:tcBorders>
            <w:vAlign w:val="bottom"/>
          </w:tcPr>
          <w:p w:rsidR="00506994" w:rsidRPr="008927FC" w:rsidRDefault="00506994" w:rsidP="00AB7A9E">
            <w:pPr>
              <w:jc w:val="center"/>
            </w:pPr>
            <w:r w:rsidRPr="008927FC">
              <w:t>136.4</w:t>
            </w:r>
          </w:p>
        </w:tc>
        <w:tc>
          <w:tcPr>
            <w:tcW w:w="3923" w:type="dxa"/>
            <w:tcBorders>
              <w:right w:val="single" w:sz="8" w:space="0" w:color="auto"/>
            </w:tcBorders>
            <w:vAlign w:val="bottom"/>
          </w:tcPr>
          <w:p w:rsidR="00506994" w:rsidRPr="008927FC" w:rsidRDefault="00506994" w:rsidP="00AB7A9E">
            <w:pPr>
              <w:jc w:val="center"/>
            </w:pPr>
            <w:r w:rsidRPr="008927FC">
              <w:t>0.833 [0.687, 1.009]</w:t>
            </w:r>
            <w:r w:rsidR="00CC7B74">
              <w:t>,</w:t>
            </w:r>
          </w:p>
        </w:tc>
      </w:tr>
      <w:tr w:rsidR="00506994" w:rsidRPr="008927FC" w:rsidTr="00847F91">
        <w:trPr>
          <w:trHeight w:val="254"/>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right w:val="single" w:sz="8" w:space="0" w:color="auto"/>
            </w:tcBorders>
            <w:vAlign w:val="bottom"/>
          </w:tcPr>
          <w:p w:rsidR="00506994" w:rsidRPr="008927FC" w:rsidRDefault="00506994" w:rsidP="00AB7A9E">
            <w:pPr>
              <w:jc w:val="center"/>
            </w:pPr>
            <w:r w:rsidRPr="008927FC">
              <w:t>192.6]</w:t>
            </w:r>
          </w:p>
        </w:tc>
        <w:tc>
          <w:tcPr>
            <w:tcW w:w="1360" w:type="dxa"/>
            <w:tcBorders>
              <w:right w:val="single" w:sz="8" w:space="0" w:color="auto"/>
            </w:tcBorders>
            <w:vAlign w:val="bottom"/>
          </w:tcPr>
          <w:p w:rsidR="00506994" w:rsidRPr="008927FC" w:rsidRDefault="00506994" w:rsidP="00AB7A9E">
            <w:pPr>
              <w:jc w:val="center"/>
            </w:pPr>
            <w:r w:rsidRPr="008927FC">
              <w:t>[113.1,</w:t>
            </w:r>
          </w:p>
        </w:tc>
        <w:tc>
          <w:tcPr>
            <w:tcW w:w="3923" w:type="dxa"/>
            <w:tcBorders>
              <w:right w:val="single" w:sz="8" w:space="0" w:color="auto"/>
            </w:tcBorders>
            <w:vAlign w:val="bottom"/>
          </w:tcPr>
          <w:p w:rsidR="00506994" w:rsidRPr="008927FC" w:rsidRDefault="00506994" w:rsidP="00AB7A9E">
            <w:pPr>
              <w:jc w:val="center"/>
            </w:pPr>
            <w:r w:rsidRPr="008927FC">
              <w:t>p = 0.045</w:t>
            </w:r>
          </w:p>
        </w:tc>
      </w:tr>
      <w:tr w:rsidR="00506994" w:rsidRPr="008927FC" w:rsidTr="00847F91">
        <w:trPr>
          <w:trHeight w:val="25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1-year Overall survival rate</w:t>
            </w:r>
          </w:p>
        </w:tc>
        <w:tc>
          <w:tcPr>
            <w:tcW w:w="1500" w:type="dxa"/>
            <w:tcBorders>
              <w:right w:val="single" w:sz="8" w:space="0" w:color="auto"/>
            </w:tcBorders>
            <w:vAlign w:val="bottom"/>
          </w:tcPr>
          <w:p w:rsidR="00506994" w:rsidRPr="008927FC" w:rsidRDefault="00506994" w:rsidP="00AB7A9E">
            <w:pPr>
              <w:jc w:val="center"/>
            </w:pPr>
            <w:r w:rsidRPr="008927FC">
              <w:t>82%</w:t>
            </w:r>
          </w:p>
        </w:tc>
        <w:tc>
          <w:tcPr>
            <w:tcW w:w="1360" w:type="dxa"/>
            <w:tcBorders>
              <w:right w:val="single" w:sz="8" w:space="0" w:color="auto"/>
            </w:tcBorders>
            <w:vAlign w:val="bottom"/>
          </w:tcPr>
          <w:p w:rsidR="00506994" w:rsidRPr="008927FC" w:rsidRDefault="00506994" w:rsidP="00AB7A9E">
            <w:pPr>
              <w:jc w:val="center"/>
            </w:pPr>
            <w:r w:rsidRPr="008927FC">
              <w:t>161.7]</w:t>
            </w:r>
          </w:p>
        </w:tc>
        <w:tc>
          <w:tcPr>
            <w:tcW w:w="3923" w:type="dxa"/>
            <w:tcBorders>
              <w:right w:val="single" w:sz="8" w:space="0" w:color="auto"/>
            </w:tcBorders>
            <w:vAlign w:val="bottom"/>
          </w:tcPr>
          <w:p w:rsidR="00506994" w:rsidRPr="008927FC" w:rsidRDefault="00506994" w:rsidP="00AB7A9E">
            <w:pPr>
              <w:jc w:val="center"/>
            </w:pPr>
          </w:p>
        </w:tc>
      </w:tr>
      <w:tr w:rsidR="00506994" w:rsidRPr="008927FC" w:rsidTr="00847F91">
        <w:trPr>
          <w:trHeight w:val="257"/>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r w:rsidRPr="008927FC">
              <w:t>75%</w:t>
            </w: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r w:rsidR="00506994" w:rsidRPr="008927FC" w:rsidTr="00847F91">
        <w:trPr>
          <w:trHeight w:val="253"/>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r w:rsidRPr="008927FC">
              <w:rPr>
                <w:b/>
              </w:rPr>
              <w:t>Response rate</w:t>
            </w: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Odds ratio [95% CI], p-value b</w:t>
            </w:r>
          </w:p>
        </w:tc>
      </w:tr>
      <w:tr w:rsidR="00506994" w:rsidRPr="008927FC" w:rsidTr="00847F91">
        <w:trPr>
          <w:trHeight w:val="240"/>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Overall response [n, %]</w:t>
            </w:r>
          </w:p>
        </w:tc>
        <w:tc>
          <w:tcPr>
            <w:tcW w:w="1500" w:type="dxa"/>
            <w:tcBorders>
              <w:right w:val="single" w:sz="8" w:space="0" w:color="auto"/>
            </w:tcBorders>
            <w:vAlign w:val="bottom"/>
          </w:tcPr>
          <w:p w:rsidR="00506994" w:rsidRPr="008927FC" w:rsidRDefault="00506994" w:rsidP="00AB7A9E">
            <w:pPr>
              <w:jc w:val="center"/>
            </w:pPr>
            <w:r w:rsidRPr="008927FC">
              <w:t>212 (60.1)</w:t>
            </w:r>
          </w:p>
        </w:tc>
        <w:tc>
          <w:tcPr>
            <w:tcW w:w="1360" w:type="dxa"/>
            <w:tcBorders>
              <w:right w:val="single" w:sz="8" w:space="0" w:color="auto"/>
            </w:tcBorders>
            <w:vAlign w:val="bottom"/>
          </w:tcPr>
          <w:p w:rsidR="00506994" w:rsidRPr="008927FC" w:rsidRDefault="00506994" w:rsidP="00AB7A9E">
            <w:pPr>
              <w:jc w:val="center"/>
            </w:pPr>
            <w:r w:rsidRPr="008927FC">
              <w:t>75 (21.4)</w:t>
            </w:r>
          </w:p>
        </w:tc>
        <w:tc>
          <w:tcPr>
            <w:tcW w:w="3923" w:type="dxa"/>
            <w:tcBorders>
              <w:right w:val="single" w:sz="8" w:space="0" w:color="auto"/>
            </w:tcBorders>
            <w:vAlign w:val="bottom"/>
          </w:tcPr>
          <w:p w:rsidR="00506994" w:rsidRPr="008927FC" w:rsidRDefault="00506994" w:rsidP="00AB7A9E">
            <w:pPr>
              <w:jc w:val="center"/>
            </w:pPr>
            <w:r w:rsidRPr="008927FC">
              <w:t>5.53 [3.97, 7.71], p &lt; 0.001</w:t>
            </w:r>
          </w:p>
        </w:tc>
      </w:tr>
      <w:tr w:rsidR="00506994" w:rsidRPr="008927FC" w:rsidTr="00847F91">
        <w:trPr>
          <w:trHeight w:val="253"/>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Complete response [n, %]</w:t>
            </w:r>
          </w:p>
        </w:tc>
        <w:tc>
          <w:tcPr>
            <w:tcW w:w="1500" w:type="dxa"/>
            <w:tcBorders>
              <w:right w:val="single" w:sz="8" w:space="0" w:color="auto"/>
            </w:tcBorders>
            <w:vAlign w:val="bottom"/>
          </w:tcPr>
          <w:p w:rsidR="00506994" w:rsidRPr="008927FC" w:rsidRDefault="00506994" w:rsidP="00AB7A9E">
            <w:pPr>
              <w:jc w:val="center"/>
            </w:pPr>
            <w:r w:rsidRPr="008927FC">
              <w:t>58 (16.4)</w:t>
            </w:r>
          </w:p>
        </w:tc>
        <w:tc>
          <w:tcPr>
            <w:tcW w:w="1360" w:type="dxa"/>
            <w:tcBorders>
              <w:right w:val="single" w:sz="8" w:space="0" w:color="auto"/>
            </w:tcBorders>
            <w:vAlign w:val="bottom"/>
          </w:tcPr>
          <w:p w:rsidR="00506994" w:rsidRPr="008927FC" w:rsidRDefault="00506994" w:rsidP="00AB7A9E">
            <w:pPr>
              <w:jc w:val="center"/>
            </w:pPr>
            <w:r w:rsidRPr="008927FC">
              <w:t>11 (3.1)</w:t>
            </w:r>
          </w:p>
        </w:tc>
        <w:tc>
          <w:tcPr>
            <w:tcW w:w="3923" w:type="dxa"/>
            <w:tcBorders>
              <w:right w:val="single" w:sz="8" w:space="0" w:color="auto"/>
            </w:tcBorders>
            <w:vAlign w:val="bottom"/>
          </w:tcPr>
          <w:p w:rsidR="00506994" w:rsidRPr="008927FC" w:rsidRDefault="00506994" w:rsidP="00AB7A9E">
            <w:pPr>
              <w:jc w:val="center"/>
            </w:pPr>
            <w:r w:rsidRPr="008927FC">
              <w:t>6.08 [3.13, 11.80], p &lt; 0.001</w:t>
            </w:r>
          </w:p>
        </w:tc>
      </w:tr>
      <w:tr w:rsidR="00506994" w:rsidRPr="008927FC" w:rsidTr="00847F91">
        <w:trPr>
          <w:trHeight w:val="261"/>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bl>
    <w:p w:rsidR="00506994" w:rsidRPr="006F0CD6" w:rsidRDefault="00506994" w:rsidP="00514498">
      <w:pPr>
        <w:numPr>
          <w:ilvl w:val="0"/>
          <w:numId w:val="34"/>
        </w:numPr>
        <w:tabs>
          <w:tab w:val="left" w:pos="720"/>
        </w:tabs>
        <w:rPr>
          <w:rFonts w:eastAsia="Times New Roman"/>
          <w:sz w:val="16"/>
          <w:szCs w:val="16"/>
        </w:rPr>
      </w:pPr>
      <w:r w:rsidRPr="006F0CD6">
        <w:rPr>
          <w:rFonts w:eastAsia="Times New Roman"/>
          <w:sz w:val="16"/>
          <w:szCs w:val="16"/>
        </w:rPr>
        <w:t>Two-tailed log rank test comparing survival curves between treatment groups.</w:t>
      </w:r>
    </w:p>
    <w:p w:rsidR="00506994" w:rsidRPr="006F0CD6" w:rsidRDefault="00506994" w:rsidP="00514498">
      <w:pPr>
        <w:numPr>
          <w:ilvl w:val="0"/>
          <w:numId w:val="34"/>
        </w:numPr>
        <w:tabs>
          <w:tab w:val="left" w:pos="720"/>
        </w:tabs>
        <w:rPr>
          <w:rFonts w:eastAsia="Times New Roman"/>
          <w:sz w:val="16"/>
          <w:szCs w:val="16"/>
        </w:rPr>
      </w:pPr>
      <w:r w:rsidRPr="006F0CD6">
        <w:rPr>
          <w:rFonts w:eastAsia="Times New Roman"/>
          <w:sz w:val="16"/>
          <w:szCs w:val="16"/>
        </w:rPr>
        <w:t>Two-tailed continuity-corrected chi-square test.</w:t>
      </w:r>
    </w:p>
    <w:p w:rsidR="00506994" w:rsidRDefault="00506994" w:rsidP="00514498"/>
    <w:p w:rsidR="00F72327" w:rsidRDefault="00F72327" w:rsidP="00B2301B">
      <w:pPr>
        <w:shd w:val="clear" w:color="auto" w:fill="FDE9D9" w:themeFill="accent6" w:themeFillTint="33"/>
        <w:rPr>
          <w:rFonts w:eastAsia="Times New Roman"/>
        </w:rPr>
      </w:pPr>
      <w:r>
        <w:rPr>
          <w:i/>
          <w:spacing w:val="-1"/>
          <w:u w:val="single" w:color="000000"/>
        </w:rPr>
        <w:t>Myelodysplastic</w:t>
      </w:r>
      <w:r>
        <w:rPr>
          <w:i/>
          <w:spacing w:val="-3"/>
          <w:u w:val="single" w:color="000000"/>
        </w:rPr>
        <w:t xml:space="preserve"> </w:t>
      </w:r>
      <w:r>
        <w:rPr>
          <w:i/>
          <w:spacing w:val="-1"/>
          <w:u w:val="single" w:color="000000"/>
        </w:rPr>
        <w:t>syndromes</w:t>
      </w:r>
    </w:p>
    <w:p w:rsidR="00F72327" w:rsidRDefault="00F72327" w:rsidP="00B2301B">
      <w:pPr>
        <w:pStyle w:val="BodyText"/>
        <w:shd w:val="clear" w:color="auto" w:fill="FDE9D9" w:themeFill="accent6" w:themeFillTint="33"/>
        <w:spacing w:before="1"/>
        <w:ind w:right="380"/>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were</w:t>
      </w:r>
      <w:r>
        <w:t xml:space="preserve"> </w:t>
      </w:r>
      <w:r>
        <w:rPr>
          <w:spacing w:val="-2"/>
        </w:rPr>
        <w:t>evaluated</w:t>
      </w:r>
      <w:r>
        <w:t xml:space="preserve"> in </w:t>
      </w:r>
      <w:r>
        <w:rPr>
          <w:spacing w:val="-1"/>
        </w:rPr>
        <w:t>patients</w:t>
      </w:r>
      <w:r>
        <w:t xml:space="preserve"> </w:t>
      </w:r>
      <w:r>
        <w:rPr>
          <w:spacing w:val="-1"/>
        </w:rPr>
        <w:t>with</w:t>
      </w:r>
      <w:r>
        <w:rPr>
          <w:spacing w:val="-2"/>
        </w:rPr>
        <w:t xml:space="preserve"> </w:t>
      </w:r>
      <w:r>
        <w:rPr>
          <w:spacing w:val="-1"/>
        </w:rPr>
        <w:t>transfusion-dependent</w:t>
      </w:r>
      <w:r>
        <w:rPr>
          <w:spacing w:val="1"/>
        </w:rPr>
        <w:t xml:space="preserve"> </w:t>
      </w:r>
      <w:r>
        <w:rPr>
          <w:spacing w:val="-1"/>
        </w:rPr>
        <w:t>anaemia</w:t>
      </w:r>
      <w:r>
        <w:t xml:space="preserve"> due</w:t>
      </w:r>
      <w:r>
        <w:rPr>
          <w:spacing w:val="79"/>
        </w:rPr>
        <w:t xml:space="preserve"> </w:t>
      </w:r>
      <w:r>
        <w:t>to low-</w:t>
      </w:r>
      <w:r>
        <w:rPr>
          <w:spacing w:val="-4"/>
        </w:rPr>
        <w:t xml:space="preserve"> </w:t>
      </w:r>
      <w:r>
        <w:t>or</w:t>
      </w:r>
      <w:r>
        <w:rPr>
          <w:spacing w:val="1"/>
        </w:rPr>
        <w:t xml:space="preserve"> </w:t>
      </w:r>
      <w:r>
        <w:rPr>
          <w:spacing w:val="-1"/>
        </w:rPr>
        <w:t>intermediate-1-risk</w:t>
      </w:r>
      <w:r>
        <w:t xml:space="preserve"> </w:t>
      </w:r>
      <w:r>
        <w:rPr>
          <w:spacing w:val="-1"/>
        </w:rPr>
        <w:t>myelodysplastic</w:t>
      </w:r>
      <w:r>
        <w:t xml:space="preserve"> </w:t>
      </w:r>
      <w:r>
        <w:rPr>
          <w:spacing w:val="-1"/>
        </w:rPr>
        <w:t>syndromes</w:t>
      </w:r>
      <w:r>
        <w:rPr>
          <w:spacing w:val="1"/>
        </w:rPr>
        <w:t xml:space="preserve"> </w:t>
      </w:r>
      <w:r>
        <w:rPr>
          <w:spacing w:val="-1"/>
        </w:rPr>
        <w:t>associated</w:t>
      </w:r>
      <w:r>
        <w:t xml:space="preserve"> </w:t>
      </w:r>
      <w:r>
        <w:rPr>
          <w:spacing w:val="-1"/>
        </w:rPr>
        <w:t>with</w:t>
      </w:r>
      <w:r>
        <w:t xml:space="preserve"> a </w:t>
      </w:r>
      <w:r>
        <w:rPr>
          <w:spacing w:val="-2"/>
        </w:rPr>
        <w:t>deletion</w:t>
      </w:r>
      <w:r>
        <w:t xml:space="preserve"> 5q </w:t>
      </w:r>
      <w:r>
        <w:rPr>
          <w:spacing w:val="-1"/>
        </w:rPr>
        <w:t>cytogenetic</w:t>
      </w:r>
      <w:r>
        <w:rPr>
          <w:spacing w:val="77"/>
        </w:rPr>
        <w:t xml:space="preserve"> </w:t>
      </w:r>
      <w:r>
        <w:rPr>
          <w:spacing w:val="-1"/>
        </w:rPr>
        <w:t>abnormality,</w:t>
      </w:r>
      <w:r>
        <w:t xml:space="preserve"> with </w:t>
      </w:r>
      <w:r>
        <w:rPr>
          <w:spacing w:val="-2"/>
        </w:rPr>
        <w:t>or</w:t>
      </w:r>
      <w:r>
        <w:rPr>
          <w:spacing w:val="1"/>
        </w:rPr>
        <w:t xml:space="preserve"> </w:t>
      </w:r>
      <w:r>
        <w:rPr>
          <w:spacing w:val="-1"/>
        </w:rPr>
        <w:t>without</w:t>
      </w:r>
      <w:r>
        <w:rPr>
          <w:spacing w:val="1"/>
        </w:rPr>
        <w:t xml:space="preserve"> </w:t>
      </w:r>
      <w:r>
        <w:rPr>
          <w:spacing w:val="-1"/>
        </w:rPr>
        <w:t>additional cytogenetic</w:t>
      </w:r>
      <w:r>
        <w:t xml:space="preserve"> </w:t>
      </w:r>
      <w:r>
        <w:rPr>
          <w:spacing w:val="-1"/>
        </w:rPr>
        <w:t>abnormalities,</w:t>
      </w:r>
      <w:r>
        <w:t xml:space="preserve"> in</w:t>
      </w:r>
      <w:r>
        <w:rPr>
          <w:spacing w:val="-3"/>
        </w:rPr>
        <w:t xml:space="preserve"> </w:t>
      </w:r>
      <w:r>
        <w:rPr>
          <w:spacing w:val="-1"/>
        </w:rPr>
        <w:t>two</w:t>
      </w:r>
      <w:r>
        <w:t xml:space="preserve"> </w:t>
      </w:r>
      <w:r>
        <w:rPr>
          <w:spacing w:val="-1"/>
        </w:rPr>
        <w:t>main</w:t>
      </w:r>
      <w:r>
        <w:t xml:space="preserve"> </w:t>
      </w:r>
      <w:r>
        <w:rPr>
          <w:spacing w:val="-1"/>
        </w:rPr>
        <w:t>studies:</w:t>
      </w:r>
      <w:r>
        <w:rPr>
          <w:spacing w:val="1"/>
        </w:rPr>
        <w:t xml:space="preserve"> </w:t>
      </w:r>
      <w:r>
        <w:t>a</w:t>
      </w:r>
      <w:r>
        <w:rPr>
          <w:spacing w:val="-2"/>
        </w:rPr>
        <w:t xml:space="preserve"> </w:t>
      </w:r>
      <w:r>
        <w:rPr>
          <w:spacing w:val="-1"/>
        </w:rPr>
        <w:t>phase</w:t>
      </w:r>
      <w:r>
        <w:t xml:space="preserve"> 3,</w:t>
      </w:r>
      <w:r>
        <w:rPr>
          <w:spacing w:val="69"/>
        </w:rPr>
        <w:t xml:space="preserve"> </w:t>
      </w:r>
      <w:r>
        <w:rPr>
          <w:spacing w:val="-1"/>
        </w:rPr>
        <w:t>multicentre,</w:t>
      </w:r>
      <w:r>
        <w:t xml:space="preserve"> </w:t>
      </w:r>
      <w:r>
        <w:rPr>
          <w:spacing w:val="-1"/>
        </w:rPr>
        <w:t>randomised,</w:t>
      </w:r>
      <w:r>
        <w:t xml:space="preserve"> </w:t>
      </w:r>
      <w:r>
        <w:rPr>
          <w:spacing w:val="-1"/>
        </w:rPr>
        <w:t>double-blind,</w:t>
      </w:r>
      <w:r>
        <w:rPr>
          <w:spacing w:val="-3"/>
        </w:rPr>
        <w:t xml:space="preserve"> </w:t>
      </w:r>
      <w:r>
        <w:rPr>
          <w:spacing w:val="-1"/>
        </w:rPr>
        <w:t>placebo-controlled,</w:t>
      </w:r>
      <w:r>
        <w:t xml:space="preserve"> </w:t>
      </w:r>
      <w:r>
        <w:rPr>
          <w:spacing w:val="-1"/>
        </w:rPr>
        <w:t>3-arm</w:t>
      </w:r>
      <w:r>
        <w:rPr>
          <w:spacing w:val="-4"/>
        </w:rPr>
        <w:t xml:space="preserve"> </w:t>
      </w:r>
      <w:r>
        <w:t>study</w:t>
      </w:r>
      <w:r>
        <w:rPr>
          <w:spacing w:val="-2"/>
        </w:rPr>
        <w:t xml:space="preserve"> </w:t>
      </w:r>
      <w:r>
        <w:t>of</w:t>
      </w:r>
      <w:r>
        <w:rPr>
          <w:spacing w:val="1"/>
        </w:rPr>
        <w:t xml:space="preserve"> </w:t>
      </w:r>
      <w:r>
        <w:rPr>
          <w:spacing w:val="-1"/>
        </w:rPr>
        <w:t>two</w:t>
      </w:r>
      <w:r>
        <w:t xml:space="preserve"> </w:t>
      </w:r>
      <w:r>
        <w:rPr>
          <w:spacing w:val="-1"/>
        </w:rPr>
        <w:t>doses</w:t>
      </w:r>
      <w:r>
        <w:rPr>
          <w:spacing w:val="1"/>
        </w:rPr>
        <w:t xml:space="preserve"> </w:t>
      </w:r>
      <w:r>
        <w:rPr>
          <w:spacing w:val="-2"/>
        </w:rPr>
        <w:t>of</w:t>
      </w:r>
      <w:r>
        <w:rPr>
          <w:spacing w:val="1"/>
        </w:rPr>
        <w:t xml:space="preserve"> </w:t>
      </w:r>
      <w:r>
        <w:rPr>
          <w:spacing w:val="-1"/>
        </w:rPr>
        <w:t>oral lenalidomide</w:t>
      </w:r>
      <w:r>
        <w:rPr>
          <w:spacing w:val="87"/>
        </w:rPr>
        <w:t xml:space="preserve"> </w:t>
      </w:r>
      <w:r>
        <w:t xml:space="preserve">(10 </w:t>
      </w:r>
      <w:r>
        <w:rPr>
          <w:spacing w:val="-2"/>
        </w:rPr>
        <w:t>mg</w:t>
      </w:r>
      <w:r>
        <w:rPr>
          <w:spacing w:val="-3"/>
        </w:rPr>
        <w:t xml:space="preserve"> </w:t>
      </w:r>
      <w:r>
        <w:t>and 5</w:t>
      </w:r>
      <w:r>
        <w:rPr>
          <w:spacing w:val="3"/>
        </w:rPr>
        <w:t xml:space="preserve"> </w:t>
      </w:r>
      <w:r>
        <w:rPr>
          <w:spacing w:val="-3"/>
        </w:rPr>
        <w:t>mg)</w:t>
      </w:r>
      <w:r>
        <w:rPr>
          <w:spacing w:val="3"/>
        </w:rPr>
        <w:t xml:space="preserve"> </w:t>
      </w:r>
      <w:r>
        <w:rPr>
          <w:spacing w:val="-1"/>
        </w:rPr>
        <w:t>versus</w:t>
      </w:r>
      <w:r>
        <w:rPr>
          <w:spacing w:val="1"/>
        </w:rPr>
        <w:t xml:space="preserve"> </w:t>
      </w:r>
      <w:r>
        <w:rPr>
          <w:spacing w:val="-1"/>
        </w:rPr>
        <w:t>placebo</w:t>
      </w:r>
      <w:r>
        <w:rPr>
          <w:spacing w:val="-2"/>
        </w:rPr>
        <w:t xml:space="preserve"> </w:t>
      </w:r>
      <w:r>
        <w:rPr>
          <w:spacing w:val="-1"/>
        </w:rPr>
        <w:t>(MDS-004);</w:t>
      </w:r>
      <w:r>
        <w:rPr>
          <w:spacing w:val="1"/>
        </w:rPr>
        <w:t xml:space="preserve"> </w:t>
      </w:r>
      <w:r>
        <w:rPr>
          <w:spacing w:val="-1"/>
        </w:rPr>
        <w:t>and</w:t>
      </w:r>
      <w:r>
        <w:t xml:space="preserve"> a </w:t>
      </w:r>
      <w:r>
        <w:rPr>
          <w:spacing w:val="-1"/>
        </w:rPr>
        <w:t>phase</w:t>
      </w:r>
      <w:r>
        <w:t xml:space="preserve"> 2,</w:t>
      </w:r>
      <w:r>
        <w:rPr>
          <w:spacing w:val="-3"/>
        </w:rPr>
        <w:t xml:space="preserve"> </w:t>
      </w:r>
      <w:r>
        <w:t xml:space="preserve">a </w:t>
      </w:r>
      <w:r>
        <w:rPr>
          <w:spacing w:val="-1"/>
        </w:rPr>
        <w:t>multicentre,</w:t>
      </w:r>
      <w:r>
        <w:rPr>
          <w:spacing w:val="-3"/>
        </w:rPr>
        <w:t xml:space="preserve"> </w:t>
      </w:r>
      <w:r>
        <w:rPr>
          <w:spacing w:val="-1"/>
        </w:rPr>
        <w:t>single-arm,</w:t>
      </w:r>
      <w:r>
        <w:t xml:space="preserve"> </w:t>
      </w:r>
      <w:r>
        <w:rPr>
          <w:spacing w:val="-1"/>
        </w:rPr>
        <w:t>open-label</w:t>
      </w:r>
      <w:r>
        <w:rPr>
          <w:spacing w:val="1"/>
        </w:rPr>
        <w:t xml:space="preserve"> </w:t>
      </w:r>
      <w:r>
        <w:rPr>
          <w:spacing w:val="-1"/>
        </w:rPr>
        <w:t>study</w:t>
      </w:r>
      <w:r>
        <w:rPr>
          <w:spacing w:val="-2"/>
        </w:rPr>
        <w:t xml:space="preserve"> </w:t>
      </w:r>
      <w:r>
        <w:t>of</w:t>
      </w:r>
      <w:r>
        <w:rPr>
          <w:spacing w:val="59"/>
        </w:rPr>
        <w:t xml:space="preserve"> </w:t>
      </w:r>
      <w:r>
        <w:rPr>
          <w:spacing w:val="-1"/>
        </w:rPr>
        <w:t>lenalidomide</w:t>
      </w:r>
      <w:r>
        <w:t xml:space="preserve"> (10 </w:t>
      </w:r>
      <w:r>
        <w:rPr>
          <w:spacing w:val="-3"/>
        </w:rPr>
        <w:t>mg)</w:t>
      </w:r>
      <w:r>
        <w:rPr>
          <w:spacing w:val="1"/>
        </w:rPr>
        <w:t xml:space="preserve"> </w:t>
      </w:r>
      <w:r>
        <w:rPr>
          <w:spacing w:val="-1"/>
        </w:rPr>
        <w:t>(MDS-003).</w:t>
      </w:r>
    </w:p>
    <w:p w:rsidR="00F72327" w:rsidRDefault="00F72327" w:rsidP="00B2301B">
      <w:pPr>
        <w:shd w:val="clear" w:color="auto" w:fill="FDE9D9" w:themeFill="accent6" w:themeFillTint="33"/>
        <w:spacing w:before="10"/>
        <w:rPr>
          <w:rFonts w:eastAsia="Times New Roman"/>
          <w:sz w:val="21"/>
          <w:szCs w:val="21"/>
        </w:rPr>
      </w:pPr>
    </w:p>
    <w:p w:rsidR="00F72327" w:rsidRDefault="00F72327" w:rsidP="00B2301B">
      <w:pPr>
        <w:pStyle w:val="BodyText"/>
        <w:shd w:val="clear" w:color="auto" w:fill="FDE9D9" w:themeFill="accent6" w:themeFillTint="33"/>
        <w:ind w:right="310"/>
      </w:pPr>
      <w:r>
        <w:t>The</w:t>
      </w:r>
      <w:r>
        <w:rPr>
          <w:spacing w:val="-2"/>
        </w:rPr>
        <w:t xml:space="preserve"> </w:t>
      </w:r>
      <w:r>
        <w:rPr>
          <w:spacing w:val="-1"/>
        </w:rPr>
        <w:t>results</w:t>
      </w:r>
      <w:r>
        <w:t xml:space="preserve"> </w:t>
      </w:r>
      <w:r>
        <w:rPr>
          <w:spacing w:val="-1"/>
        </w:rPr>
        <w:t>presented</w:t>
      </w:r>
      <w:r>
        <w:t xml:space="preserve"> </w:t>
      </w:r>
      <w:r>
        <w:rPr>
          <w:spacing w:val="-2"/>
        </w:rPr>
        <w:t>below</w:t>
      </w:r>
      <w:r>
        <w:rPr>
          <w:spacing w:val="-1"/>
        </w:rPr>
        <w:t xml:space="preserve"> represent</w:t>
      </w:r>
      <w:r>
        <w:rPr>
          <w:spacing w:val="-2"/>
        </w:rPr>
        <w:t xml:space="preserve"> </w:t>
      </w:r>
      <w:r>
        <w:t>the</w:t>
      </w:r>
      <w:r>
        <w:rPr>
          <w:spacing w:val="-2"/>
        </w:rPr>
        <w:t xml:space="preserve"> </w:t>
      </w:r>
      <w:r>
        <w:rPr>
          <w:spacing w:val="-1"/>
        </w:rPr>
        <w:t>intent-to-treat</w:t>
      </w:r>
      <w:r>
        <w:rPr>
          <w:spacing w:val="1"/>
        </w:rPr>
        <w:t xml:space="preserve"> </w:t>
      </w:r>
      <w:r>
        <w:rPr>
          <w:spacing w:val="-1"/>
        </w:rPr>
        <w:t>population</w:t>
      </w:r>
      <w:r>
        <w:t xml:space="preserve"> </w:t>
      </w:r>
      <w:r>
        <w:rPr>
          <w:spacing w:val="-1"/>
        </w:rPr>
        <w:t>studied</w:t>
      </w:r>
      <w:r>
        <w:rPr>
          <w:spacing w:val="-2"/>
        </w:rPr>
        <w:t xml:space="preserve"> </w:t>
      </w:r>
      <w:r>
        <w:t xml:space="preserve">in </w:t>
      </w:r>
      <w:r>
        <w:rPr>
          <w:spacing w:val="-1"/>
        </w:rPr>
        <w:t>MDS-003</w:t>
      </w:r>
      <w:r>
        <w:t xml:space="preserve"> and </w:t>
      </w:r>
      <w:r>
        <w:rPr>
          <w:spacing w:val="-1"/>
        </w:rPr>
        <w:t>MDS-004;</w:t>
      </w:r>
      <w:r>
        <w:rPr>
          <w:spacing w:val="1"/>
        </w:rPr>
        <w:t xml:space="preserve"> </w:t>
      </w:r>
      <w:r>
        <w:rPr>
          <w:spacing w:val="-1"/>
        </w:rPr>
        <w:t>with</w:t>
      </w:r>
      <w:r>
        <w:rPr>
          <w:spacing w:val="77"/>
        </w:rPr>
        <w:t xml:space="preserve"> </w:t>
      </w:r>
      <w:r>
        <w:t>the</w:t>
      </w:r>
      <w:r>
        <w:rPr>
          <w:spacing w:val="-2"/>
        </w:rPr>
        <w:t xml:space="preserve"> </w:t>
      </w:r>
      <w:r>
        <w:rPr>
          <w:spacing w:val="-1"/>
        </w:rPr>
        <w:t>results</w:t>
      </w:r>
      <w:r>
        <w:t xml:space="preserve"> </w:t>
      </w:r>
      <w:r>
        <w:rPr>
          <w:spacing w:val="-1"/>
        </w:rPr>
        <w:t>in</w:t>
      </w:r>
      <w:r>
        <w:t xml:space="preserve"> </w:t>
      </w:r>
      <w:r>
        <w:rPr>
          <w:spacing w:val="-1"/>
        </w:rPr>
        <w:t>the</w:t>
      </w:r>
      <w:r>
        <w:t xml:space="preserve"> </w:t>
      </w:r>
      <w:r>
        <w:rPr>
          <w:spacing w:val="-1"/>
        </w:rPr>
        <w:t>isolated</w:t>
      </w:r>
      <w:r>
        <w:t xml:space="preserve"> </w:t>
      </w:r>
      <w:r>
        <w:rPr>
          <w:spacing w:val="-1"/>
        </w:rPr>
        <w:t>Del</w:t>
      </w:r>
      <w:r>
        <w:rPr>
          <w:spacing w:val="1"/>
        </w:rPr>
        <w:t xml:space="preserve"> </w:t>
      </w:r>
      <w:r>
        <w:rPr>
          <w:spacing w:val="-1"/>
        </w:rPr>
        <w:t>(5q)</w:t>
      </w:r>
      <w:r>
        <w:rPr>
          <w:spacing w:val="-2"/>
        </w:rPr>
        <w:t xml:space="preserve"> </w:t>
      </w:r>
      <w:r>
        <w:rPr>
          <w:spacing w:val="-1"/>
        </w:rPr>
        <w:t>sub-population</w:t>
      </w:r>
      <w:r>
        <w:rPr>
          <w:spacing w:val="-2"/>
        </w:rPr>
        <w:t xml:space="preserve"> </w:t>
      </w:r>
      <w:r>
        <w:rPr>
          <w:spacing w:val="-1"/>
        </w:rPr>
        <w:t>also</w:t>
      </w:r>
      <w:r>
        <w:rPr>
          <w:spacing w:val="-2"/>
        </w:rPr>
        <w:t xml:space="preserve"> </w:t>
      </w:r>
      <w:r>
        <w:rPr>
          <w:spacing w:val="-1"/>
        </w:rPr>
        <w:t>shown</w:t>
      </w:r>
      <w:r>
        <w:t xml:space="preserve"> </w:t>
      </w:r>
      <w:r>
        <w:rPr>
          <w:spacing w:val="-1"/>
        </w:rPr>
        <w:t>separately.</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10"/>
      </w:pPr>
      <w:r>
        <w:rPr>
          <w:spacing w:val="-3"/>
        </w:rPr>
        <w:t>In</w:t>
      </w:r>
      <w:r>
        <w:t xml:space="preserve"> study</w:t>
      </w:r>
      <w:r>
        <w:rPr>
          <w:spacing w:val="-2"/>
        </w:rPr>
        <w:t xml:space="preserve"> </w:t>
      </w:r>
      <w:r>
        <w:rPr>
          <w:spacing w:val="-1"/>
        </w:rPr>
        <w:t>MDS-004,</w:t>
      </w:r>
      <w:r>
        <w:t xml:space="preserve"> in </w:t>
      </w:r>
      <w:r>
        <w:rPr>
          <w:spacing w:val="-1"/>
        </w:rPr>
        <w:t>which</w:t>
      </w:r>
      <w:r>
        <w:t xml:space="preserve"> 205 </w:t>
      </w:r>
      <w:r>
        <w:rPr>
          <w:spacing w:val="-1"/>
        </w:rPr>
        <w:t>patients</w:t>
      </w:r>
      <w:r>
        <w:t xml:space="preserve"> </w:t>
      </w:r>
      <w:r>
        <w:rPr>
          <w:spacing w:val="-1"/>
        </w:rPr>
        <w:t>were</w:t>
      </w:r>
      <w:r>
        <w:t xml:space="preserve"> </w:t>
      </w:r>
      <w:r>
        <w:rPr>
          <w:spacing w:val="-1"/>
        </w:rPr>
        <w:t>equally</w:t>
      </w:r>
      <w:r>
        <w:rPr>
          <w:spacing w:val="-2"/>
        </w:rPr>
        <w:t xml:space="preserve"> </w:t>
      </w:r>
      <w:r>
        <w:rPr>
          <w:spacing w:val="-1"/>
        </w:rPr>
        <w:t>randomised</w:t>
      </w:r>
      <w:r>
        <w:rPr>
          <w:spacing w:val="-3"/>
        </w:rPr>
        <w:t xml:space="preserve"> </w:t>
      </w:r>
      <w:r>
        <w:t>to</w:t>
      </w:r>
      <w:r>
        <w:rPr>
          <w:spacing w:val="-2"/>
        </w:rPr>
        <w:t xml:space="preserve"> </w:t>
      </w:r>
      <w:r>
        <w:rPr>
          <w:spacing w:val="-1"/>
        </w:rPr>
        <w:t>receive</w:t>
      </w:r>
      <w:r>
        <w:t xml:space="preserve"> </w:t>
      </w:r>
      <w:r>
        <w:rPr>
          <w:spacing w:val="-1"/>
        </w:rPr>
        <w:t>lenalidomide</w:t>
      </w:r>
      <w:r>
        <w:rPr>
          <w:spacing w:val="1"/>
        </w:rPr>
        <w:t xml:space="preserve"> </w:t>
      </w:r>
      <w:r>
        <w:t>10</w:t>
      </w:r>
      <w:r>
        <w:rPr>
          <w:spacing w:val="-3"/>
        </w:rPr>
        <w:t xml:space="preserve"> </w:t>
      </w:r>
      <w:r>
        <w:rPr>
          <w:spacing w:val="-2"/>
        </w:rPr>
        <w:t>mg,</w:t>
      </w:r>
      <w:r>
        <w:t xml:space="preserve"> 5 </w:t>
      </w:r>
      <w:r>
        <w:rPr>
          <w:spacing w:val="-1"/>
        </w:rPr>
        <w:t>mg</w:t>
      </w:r>
      <w:r>
        <w:rPr>
          <w:spacing w:val="-3"/>
        </w:rPr>
        <w:t xml:space="preserve"> </w:t>
      </w:r>
      <w:r>
        <w:t>or</w:t>
      </w:r>
      <w:r>
        <w:rPr>
          <w:spacing w:val="67"/>
        </w:rPr>
        <w:t xml:space="preserve"> </w:t>
      </w:r>
      <w:r>
        <w:rPr>
          <w:spacing w:val="-1"/>
        </w:rPr>
        <w:t>placebo,</w:t>
      </w:r>
      <w:r>
        <w:rPr>
          <w:spacing w:val="-2"/>
        </w:rPr>
        <w:t xml:space="preserve"> </w:t>
      </w:r>
      <w:r>
        <w:t xml:space="preserve">the </w:t>
      </w:r>
      <w:r>
        <w:rPr>
          <w:spacing w:val="-1"/>
        </w:rPr>
        <w:t>primary</w:t>
      </w:r>
      <w:r>
        <w:rPr>
          <w:spacing w:val="-2"/>
        </w:rPr>
        <w:t xml:space="preserve"> </w:t>
      </w:r>
      <w:r>
        <w:rPr>
          <w:spacing w:val="-1"/>
        </w:rPr>
        <w:t>efficacy</w:t>
      </w:r>
      <w:r>
        <w:rPr>
          <w:spacing w:val="-2"/>
        </w:rPr>
        <w:t xml:space="preserve"> </w:t>
      </w:r>
      <w:r>
        <w:rPr>
          <w:spacing w:val="-1"/>
        </w:rPr>
        <w:t>analysis</w:t>
      </w:r>
      <w:r>
        <w:rPr>
          <w:spacing w:val="-2"/>
        </w:rPr>
        <w:t xml:space="preserve"> </w:t>
      </w:r>
      <w:r>
        <w:rPr>
          <w:spacing w:val="-1"/>
        </w:rPr>
        <w:t>consisted</w:t>
      </w:r>
      <w:r>
        <w:t xml:space="preserve"> </w:t>
      </w:r>
      <w:r>
        <w:rPr>
          <w:spacing w:val="-2"/>
        </w:rPr>
        <w:t>of</w:t>
      </w:r>
      <w:r>
        <w:rPr>
          <w:spacing w:val="1"/>
        </w:rPr>
        <w:t xml:space="preserve"> </w:t>
      </w:r>
      <w:r>
        <w:t>a</w:t>
      </w:r>
      <w:r>
        <w:rPr>
          <w:spacing w:val="-2"/>
        </w:rPr>
        <w:t xml:space="preserve"> </w:t>
      </w:r>
      <w:r>
        <w:rPr>
          <w:spacing w:val="-1"/>
        </w:rPr>
        <w:t>comparison</w:t>
      </w:r>
      <w:r>
        <w:t xml:space="preserve"> </w:t>
      </w:r>
      <w:r>
        <w:rPr>
          <w:spacing w:val="-2"/>
        </w:rPr>
        <w:t>of</w:t>
      </w:r>
      <w:r>
        <w:rPr>
          <w:spacing w:val="1"/>
        </w:rPr>
        <w:t xml:space="preserve"> </w:t>
      </w:r>
      <w:r>
        <w:rPr>
          <w:spacing w:val="-1"/>
        </w:rPr>
        <w:t>the</w:t>
      </w:r>
      <w:r>
        <w:t xml:space="preserve"> </w:t>
      </w:r>
      <w:r>
        <w:rPr>
          <w:spacing w:val="-1"/>
        </w:rPr>
        <w:t>transfusion-independence</w:t>
      </w:r>
      <w:r>
        <w:t xml:space="preserve"> </w:t>
      </w:r>
      <w:r>
        <w:rPr>
          <w:spacing w:val="-1"/>
        </w:rPr>
        <w:t>response</w:t>
      </w:r>
      <w:r>
        <w:rPr>
          <w:spacing w:val="89"/>
        </w:rPr>
        <w:t xml:space="preserve"> </w:t>
      </w:r>
      <w:r>
        <w:rPr>
          <w:spacing w:val="-1"/>
        </w:rPr>
        <w:t>rates</w:t>
      </w:r>
      <w:r>
        <w:t xml:space="preserve"> </w:t>
      </w:r>
      <w:r>
        <w:rPr>
          <w:spacing w:val="-2"/>
        </w:rPr>
        <w:t>of</w:t>
      </w:r>
      <w:r>
        <w:rPr>
          <w:spacing w:val="1"/>
        </w:rPr>
        <w:t xml:space="preserve"> </w:t>
      </w:r>
      <w:r>
        <w:rPr>
          <w:spacing w:val="-1"/>
        </w:rPr>
        <w:t>the</w:t>
      </w:r>
      <w:r>
        <w:t xml:space="preserve"> 10 </w:t>
      </w:r>
      <w:r>
        <w:rPr>
          <w:spacing w:val="-2"/>
        </w:rPr>
        <w:t xml:space="preserve">mg </w:t>
      </w:r>
      <w:r>
        <w:t xml:space="preserve">and 5 </w:t>
      </w:r>
      <w:r>
        <w:rPr>
          <w:spacing w:val="-1"/>
        </w:rPr>
        <w:t>mg</w:t>
      </w:r>
      <w:r>
        <w:rPr>
          <w:spacing w:val="-2"/>
        </w:rPr>
        <w:t xml:space="preserve"> </w:t>
      </w:r>
      <w:r>
        <w:rPr>
          <w:spacing w:val="-1"/>
        </w:rPr>
        <w:t>lenalidomide</w:t>
      </w:r>
      <w:r>
        <w:rPr>
          <w:spacing w:val="1"/>
        </w:rPr>
        <w:t xml:space="preserve"> </w:t>
      </w:r>
      <w:r>
        <w:rPr>
          <w:spacing w:val="-2"/>
        </w:rPr>
        <w:t>arms</w:t>
      </w:r>
      <w:r>
        <w:t xml:space="preserve"> </w:t>
      </w:r>
      <w:r>
        <w:rPr>
          <w:spacing w:val="-1"/>
        </w:rPr>
        <w:t>versus</w:t>
      </w:r>
      <w:r>
        <w:t xml:space="preserve"> the </w:t>
      </w:r>
      <w:r>
        <w:rPr>
          <w:spacing w:val="-1"/>
        </w:rPr>
        <w:t>placebo</w:t>
      </w:r>
      <w:r>
        <w:rPr>
          <w:spacing w:val="-2"/>
        </w:rPr>
        <w:t xml:space="preserve"> </w:t>
      </w:r>
      <w:r>
        <w:t>arm</w:t>
      </w:r>
      <w:r>
        <w:rPr>
          <w:spacing w:val="-4"/>
        </w:rPr>
        <w:t xml:space="preserve"> </w:t>
      </w:r>
      <w:r>
        <w:rPr>
          <w:spacing w:val="-1"/>
        </w:rPr>
        <w:t>(double-blind</w:t>
      </w:r>
      <w:r>
        <w:t xml:space="preserve"> </w:t>
      </w:r>
      <w:r>
        <w:rPr>
          <w:spacing w:val="-1"/>
        </w:rPr>
        <w:t>phase</w:t>
      </w:r>
      <w:r>
        <w:t xml:space="preserve"> </w:t>
      </w:r>
      <w:r>
        <w:rPr>
          <w:spacing w:val="-2"/>
        </w:rPr>
        <w:t>16</w:t>
      </w:r>
      <w:r>
        <w:t xml:space="preserve"> to</w:t>
      </w:r>
      <w:r>
        <w:rPr>
          <w:spacing w:val="-2"/>
        </w:rPr>
        <w:t xml:space="preserve"> </w:t>
      </w:r>
      <w:r>
        <w:t xml:space="preserve">52 </w:t>
      </w:r>
      <w:r>
        <w:rPr>
          <w:spacing w:val="-1"/>
        </w:rPr>
        <w:t>weeks</w:t>
      </w:r>
      <w:r>
        <w:rPr>
          <w:spacing w:val="75"/>
        </w:rPr>
        <w:t xml:space="preserve"> </w:t>
      </w:r>
      <w:r>
        <w:t xml:space="preserve">and </w:t>
      </w:r>
      <w:r>
        <w:rPr>
          <w:spacing w:val="-1"/>
        </w:rPr>
        <w:t>open-label</w:t>
      </w:r>
      <w:r>
        <w:rPr>
          <w:spacing w:val="1"/>
        </w:rPr>
        <w:t xml:space="preserve"> </w:t>
      </w:r>
      <w:r>
        <w:t>up</w:t>
      </w:r>
      <w:r>
        <w:rPr>
          <w:spacing w:val="-2"/>
        </w:rPr>
        <w:t xml:space="preserve"> </w:t>
      </w:r>
      <w:r>
        <w:t>to a</w:t>
      </w:r>
      <w:r>
        <w:rPr>
          <w:spacing w:val="-2"/>
        </w:rPr>
        <w:t xml:space="preserve"> </w:t>
      </w:r>
      <w:r>
        <w:rPr>
          <w:spacing w:val="-1"/>
        </w:rPr>
        <w:t>total</w:t>
      </w:r>
      <w:r>
        <w:rPr>
          <w:spacing w:val="-2"/>
        </w:rPr>
        <w:t xml:space="preserve"> </w:t>
      </w:r>
      <w:r>
        <w:t>of</w:t>
      </w:r>
      <w:r>
        <w:rPr>
          <w:spacing w:val="1"/>
        </w:rPr>
        <w:t xml:space="preserve"> </w:t>
      </w:r>
      <w:r>
        <w:t xml:space="preserve">156 </w:t>
      </w:r>
      <w:r>
        <w:rPr>
          <w:spacing w:val="-1"/>
        </w:rPr>
        <w:t>weeks).</w:t>
      </w:r>
      <w:r>
        <w:t xml:space="preserve"> </w:t>
      </w:r>
      <w:r>
        <w:rPr>
          <w:spacing w:val="-1"/>
        </w:rPr>
        <w:t>Patients</w:t>
      </w:r>
      <w:r>
        <w:t xml:space="preserve"> </w:t>
      </w:r>
      <w:r>
        <w:rPr>
          <w:spacing w:val="-2"/>
        </w:rPr>
        <w:t>who</w:t>
      </w:r>
      <w:r>
        <w:t xml:space="preserve"> did </w:t>
      </w:r>
      <w:r>
        <w:rPr>
          <w:spacing w:val="-1"/>
        </w:rPr>
        <w:t>not</w:t>
      </w:r>
      <w:r>
        <w:rPr>
          <w:spacing w:val="1"/>
        </w:rPr>
        <w:t xml:space="preserve"> </w:t>
      </w:r>
      <w:r>
        <w:rPr>
          <w:spacing w:val="-2"/>
        </w:rPr>
        <w:t>have</w:t>
      </w:r>
      <w:r>
        <w:t xml:space="preserve"> </w:t>
      </w:r>
      <w:r>
        <w:rPr>
          <w:spacing w:val="-1"/>
        </w:rPr>
        <w:t>evidence</w:t>
      </w:r>
      <w:r>
        <w:rPr>
          <w:spacing w:val="-2"/>
        </w:rPr>
        <w:t xml:space="preserve"> </w:t>
      </w:r>
      <w:r>
        <w:t>of</w:t>
      </w:r>
      <w:r>
        <w:rPr>
          <w:spacing w:val="-2"/>
        </w:rPr>
        <w:t xml:space="preserve"> </w:t>
      </w:r>
      <w:r>
        <w:t>at</w:t>
      </w:r>
      <w:r>
        <w:rPr>
          <w:spacing w:val="1"/>
        </w:rPr>
        <w:t xml:space="preserve"> </w:t>
      </w:r>
      <w:r>
        <w:rPr>
          <w:spacing w:val="-1"/>
        </w:rPr>
        <w:t>least</w:t>
      </w:r>
      <w:r>
        <w:rPr>
          <w:spacing w:val="1"/>
        </w:rPr>
        <w:t xml:space="preserve"> </w:t>
      </w:r>
      <w:r>
        <w:t xml:space="preserve">a </w:t>
      </w:r>
      <w:r>
        <w:rPr>
          <w:spacing w:val="-1"/>
        </w:rPr>
        <w:t>minor</w:t>
      </w:r>
      <w:r>
        <w:rPr>
          <w:spacing w:val="-2"/>
        </w:rPr>
        <w:t xml:space="preserve"> </w:t>
      </w:r>
      <w:r>
        <w:rPr>
          <w:spacing w:val="-1"/>
        </w:rPr>
        <w:t>erythroid</w:t>
      </w:r>
      <w:r>
        <w:rPr>
          <w:spacing w:val="53"/>
        </w:rPr>
        <w:t xml:space="preserve"> </w:t>
      </w:r>
      <w:r>
        <w:rPr>
          <w:spacing w:val="-1"/>
        </w:rPr>
        <w:t>response</w:t>
      </w:r>
      <w:r>
        <w:rPr>
          <w:spacing w:val="-2"/>
        </w:rPr>
        <w:t xml:space="preserve"> </w:t>
      </w:r>
      <w:r>
        <w:rPr>
          <w:spacing w:val="-1"/>
        </w:rPr>
        <w:t>after</w:t>
      </w:r>
      <w:r>
        <w:rPr>
          <w:spacing w:val="-2"/>
        </w:rPr>
        <w:t xml:space="preserve"> </w:t>
      </w:r>
      <w:r>
        <w:t xml:space="preserve">16 </w:t>
      </w:r>
      <w:r>
        <w:rPr>
          <w:spacing w:val="-1"/>
        </w:rPr>
        <w:t>weeks</w:t>
      </w:r>
      <w:r>
        <w:t xml:space="preserve"> </w:t>
      </w:r>
      <w:r>
        <w:rPr>
          <w:spacing w:val="-1"/>
        </w:rPr>
        <w:t>were</w:t>
      </w:r>
      <w:r>
        <w:t xml:space="preserve"> </w:t>
      </w:r>
      <w:r>
        <w:rPr>
          <w:spacing w:val="-1"/>
        </w:rPr>
        <w:t>to</w:t>
      </w:r>
      <w:r>
        <w:t xml:space="preserve"> be </w:t>
      </w:r>
      <w:r>
        <w:rPr>
          <w:spacing w:val="-1"/>
        </w:rPr>
        <w:t>discontinued</w:t>
      </w:r>
      <w:r>
        <w:t xml:space="preserve"> </w:t>
      </w:r>
      <w:r>
        <w:rPr>
          <w:spacing w:val="-1"/>
        </w:rPr>
        <w:t>from</w:t>
      </w:r>
      <w:r>
        <w:rPr>
          <w:spacing w:val="-4"/>
        </w:rPr>
        <w:t xml:space="preserve"> </w:t>
      </w:r>
      <w:r>
        <w:rPr>
          <w:spacing w:val="-1"/>
        </w:rPr>
        <w:t>treatment.</w:t>
      </w:r>
      <w:r>
        <w:t xml:space="preserve"> </w:t>
      </w:r>
      <w:r>
        <w:rPr>
          <w:spacing w:val="-1"/>
        </w:rPr>
        <w:t>Patients</w:t>
      </w:r>
      <w:r>
        <w:t xml:space="preserve"> </w:t>
      </w:r>
      <w:r>
        <w:rPr>
          <w:spacing w:val="-1"/>
        </w:rPr>
        <w:t>who</w:t>
      </w:r>
      <w:r>
        <w:rPr>
          <w:spacing w:val="-2"/>
        </w:rPr>
        <w:t xml:space="preserve"> </w:t>
      </w:r>
      <w:r>
        <w:t>had</w:t>
      </w:r>
      <w:r>
        <w:rPr>
          <w:spacing w:val="-2"/>
        </w:rPr>
        <w:t xml:space="preserve"> </w:t>
      </w:r>
      <w:r>
        <w:rPr>
          <w:spacing w:val="-1"/>
        </w:rPr>
        <w:t>evidence</w:t>
      </w:r>
      <w:r>
        <w:rPr>
          <w:spacing w:val="-2"/>
        </w:rPr>
        <w:t xml:space="preserve"> </w:t>
      </w:r>
      <w:r>
        <w:t>of</w:t>
      </w:r>
      <w:r>
        <w:rPr>
          <w:spacing w:val="1"/>
        </w:rPr>
        <w:t xml:space="preserve"> </w:t>
      </w:r>
      <w:r>
        <w:rPr>
          <w:spacing w:val="-2"/>
        </w:rPr>
        <w:t>at</w:t>
      </w:r>
      <w:r>
        <w:rPr>
          <w:spacing w:val="-1"/>
        </w:rPr>
        <w:t xml:space="preserve"> least</w:t>
      </w:r>
      <w:r>
        <w:rPr>
          <w:spacing w:val="1"/>
        </w:rPr>
        <w:t xml:space="preserve"> </w:t>
      </w:r>
      <w:r>
        <w:t>a</w:t>
      </w:r>
      <w:r>
        <w:rPr>
          <w:spacing w:val="79"/>
        </w:rPr>
        <w:t xml:space="preserve"> </w:t>
      </w:r>
      <w:r>
        <w:rPr>
          <w:spacing w:val="-1"/>
        </w:rPr>
        <w:t>minor</w:t>
      </w:r>
      <w:r>
        <w:rPr>
          <w:spacing w:val="1"/>
        </w:rPr>
        <w:t xml:space="preserve"> </w:t>
      </w:r>
      <w:r>
        <w:rPr>
          <w:spacing w:val="-1"/>
        </w:rPr>
        <w:t>erythroid</w:t>
      </w:r>
      <w:r>
        <w:rPr>
          <w:spacing w:val="-2"/>
        </w:rPr>
        <w:t xml:space="preserve"> </w:t>
      </w:r>
      <w:r>
        <w:rPr>
          <w:spacing w:val="-1"/>
        </w:rPr>
        <w:t>response</w:t>
      </w:r>
      <w:r>
        <w:rPr>
          <w:spacing w:val="-2"/>
        </w:rPr>
        <w:t xml:space="preserve"> </w:t>
      </w:r>
      <w:r>
        <w:rPr>
          <w:spacing w:val="-1"/>
        </w:rPr>
        <w:t>could</w:t>
      </w:r>
      <w:r>
        <w:t xml:space="preserve"> </w:t>
      </w:r>
      <w:r>
        <w:rPr>
          <w:spacing w:val="-1"/>
        </w:rPr>
        <w:t>continue</w:t>
      </w:r>
      <w:r>
        <w:rPr>
          <w:spacing w:val="-2"/>
        </w:rPr>
        <w:t xml:space="preserve"> </w:t>
      </w:r>
      <w:r>
        <w:rPr>
          <w:spacing w:val="-1"/>
        </w:rPr>
        <w:t>therapy</w:t>
      </w:r>
      <w:r>
        <w:rPr>
          <w:spacing w:val="-2"/>
        </w:rPr>
        <w:t xml:space="preserve"> </w:t>
      </w:r>
      <w:r>
        <w:rPr>
          <w:spacing w:val="-1"/>
        </w:rPr>
        <w:t>until</w:t>
      </w:r>
      <w:r>
        <w:rPr>
          <w:spacing w:val="-2"/>
        </w:rPr>
        <w:t xml:space="preserve"> </w:t>
      </w:r>
      <w:r>
        <w:rPr>
          <w:spacing w:val="-1"/>
        </w:rPr>
        <w:t>erythroid</w:t>
      </w:r>
      <w:r>
        <w:rPr>
          <w:spacing w:val="-2"/>
        </w:rPr>
        <w:t xml:space="preserve"> </w:t>
      </w:r>
      <w:r>
        <w:rPr>
          <w:spacing w:val="-1"/>
        </w:rPr>
        <w:t>relapse,</w:t>
      </w:r>
      <w:r>
        <w:t xml:space="preserve"> </w:t>
      </w:r>
      <w:r>
        <w:rPr>
          <w:spacing w:val="-1"/>
        </w:rPr>
        <w:t>disease</w:t>
      </w:r>
      <w:r>
        <w:t xml:space="preserve"> </w:t>
      </w:r>
      <w:r>
        <w:rPr>
          <w:spacing w:val="-1"/>
        </w:rPr>
        <w:t>progression</w:t>
      </w:r>
      <w:r>
        <w:t xml:space="preserve"> </w:t>
      </w:r>
      <w:r>
        <w:rPr>
          <w:spacing w:val="-2"/>
        </w:rPr>
        <w:t>or</w:t>
      </w:r>
      <w:r>
        <w:rPr>
          <w:spacing w:val="1"/>
        </w:rPr>
        <w:t xml:space="preserve"> </w:t>
      </w:r>
      <w:r>
        <w:rPr>
          <w:spacing w:val="-1"/>
        </w:rPr>
        <w:t>unacceptable</w:t>
      </w:r>
      <w:r>
        <w:rPr>
          <w:spacing w:val="109"/>
        </w:rPr>
        <w:t xml:space="preserve"> </w:t>
      </w:r>
      <w:r>
        <w:rPr>
          <w:spacing w:val="-1"/>
        </w:rPr>
        <w:t>toxicity.</w:t>
      </w:r>
      <w:r>
        <w:t xml:space="preserve"> </w:t>
      </w:r>
      <w:r>
        <w:rPr>
          <w:spacing w:val="-1"/>
        </w:rPr>
        <w:t>Patients,</w:t>
      </w:r>
      <w:r>
        <w:t xml:space="preserve"> </w:t>
      </w:r>
      <w:r>
        <w:rPr>
          <w:spacing w:val="-1"/>
        </w:rPr>
        <w:t>who</w:t>
      </w:r>
      <w:r>
        <w:rPr>
          <w:spacing w:val="-3"/>
        </w:rPr>
        <w:t xml:space="preserve"> </w:t>
      </w:r>
      <w:r>
        <w:rPr>
          <w:spacing w:val="-1"/>
        </w:rPr>
        <w:t>initially</w:t>
      </w:r>
      <w:r>
        <w:rPr>
          <w:spacing w:val="-3"/>
        </w:rPr>
        <w:t xml:space="preserve"> </w:t>
      </w:r>
      <w:r>
        <w:rPr>
          <w:spacing w:val="-1"/>
        </w:rPr>
        <w:t>received</w:t>
      </w:r>
      <w:r>
        <w:t xml:space="preserve"> </w:t>
      </w:r>
      <w:r>
        <w:rPr>
          <w:spacing w:val="-1"/>
        </w:rPr>
        <w:t>placebo</w:t>
      </w:r>
      <w:r>
        <w:t xml:space="preserve"> </w:t>
      </w:r>
      <w:r>
        <w:rPr>
          <w:spacing w:val="-2"/>
        </w:rPr>
        <w:t>or</w:t>
      </w:r>
      <w:r>
        <w:rPr>
          <w:spacing w:val="1"/>
        </w:rPr>
        <w:t xml:space="preserve"> </w:t>
      </w:r>
      <w:r>
        <w:t>5</w:t>
      </w:r>
      <w:r>
        <w:rPr>
          <w:spacing w:val="-3"/>
        </w:rPr>
        <w:t xml:space="preserve"> </w:t>
      </w:r>
      <w:r>
        <w:rPr>
          <w:spacing w:val="-1"/>
        </w:rPr>
        <w:t>mg</w:t>
      </w:r>
      <w:r>
        <w:rPr>
          <w:spacing w:val="-3"/>
        </w:rPr>
        <w:t xml:space="preserve"> </w:t>
      </w:r>
      <w:r>
        <w:rPr>
          <w:spacing w:val="-1"/>
        </w:rPr>
        <w:t>lenalidomide</w:t>
      </w:r>
      <w:r>
        <w:t xml:space="preserve"> and </w:t>
      </w:r>
      <w:r>
        <w:rPr>
          <w:spacing w:val="-1"/>
        </w:rPr>
        <w:t>did</w:t>
      </w:r>
      <w:r>
        <w:t xml:space="preserve"> </w:t>
      </w:r>
      <w:r>
        <w:rPr>
          <w:spacing w:val="-1"/>
        </w:rPr>
        <w:t>not</w:t>
      </w:r>
      <w:r>
        <w:rPr>
          <w:spacing w:val="1"/>
        </w:rPr>
        <w:t xml:space="preserve"> </w:t>
      </w:r>
      <w:r>
        <w:rPr>
          <w:spacing w:val="-1"/>
        </w:rPr>
        <w:t>achieve</w:t>
      </w:r>
      <w:r>
        <w:t xml:space="preserve"> </w:t>
      </w:r>
      <w:r>
        <w:rPr>
          <w:spacing w:val="-1"/>
        </w:rPr>
        <w:t>at</w:t>
      </w:r>
      <w:r>
        <w:rPr>
          <w:spacing w:val="1"/>
        </w:rPr>
        <w:t xml:space="preserve"> </w:t>
      </w:r>
      <w:r>
        <w:rPr>
          <w:spacing w:val="-1"/>
        </w:rPr>
        <w:t>least</w:t>
      </w:r>
      <w:r>
        <w:rPr>
          <w:spacing w:val="1"/>
        </w:rPr>
        <w:t xml:space="preserve"> </w:t>
      </w:r>
      <w:r>
        <w:t xml:space="preserve">a </w:t>
      </w:r>
      <w:r>
        <w:rPr>
          <w:spacing w:val="-1"/>
        </w:rPr>
        <w:t>minor</w:t>
      </w:r>
      <w:r>
        <w:rPr>
          <w:spacing w:val="83"/>
        </w:rPr>
        <w:t xml:space="preserve"> </w:t>
      </w:r>
      <w:r>
        <w:rPr>
          <w:spacing w:val="-1"/>
        </w:rPr>
        <w:t>erythroid</w:t>
      </w:r>
      <w:r>
        <w:rPr>
          <w:spacing w:val="-2"/>
        </w:rPr>
        <w:t xml:space="preserve"> </w:t>
      </w:r>
      <w:r>
        <w:rPr>
          <w:spacing w:val="-1"/>
        </w:rPr>
        <w:t>response</w:t>
      </w:r>
      <w:r>
        <w:rPr>
          <w:spacing w:val="-2"/>
        </w:rPr>
        <w:t xml:space="preserve"> </w:t>
      </w:r>
      <w:r>
        <w:t>after</w:t>
      </w:r>
      <w:r>
        <w:rPr>
          <w:spacing w:val="-2"/>
        </w:rPr>
        <w:t xml:space="preserve"> </w:t>
      </w:r>
      <w:r>
        <w:t>16</w:t>
      </w:r>
      <w:r>
        <w:rPr>
          <w:spacing w:val="-3"/>
        </w:rPr>
        <w:t xml:space="preserve"> </w:t>
      </w:r>
      <w:r>
        <w:rPr>
          <w:spacing w:val="-1"/>
        </w:rPr>
        <w:t>weeks</w:t>
      </w:r>
      <w:r>
        <w:t xml:space="preserve"> of</w:t>
      </w:r>
      <w:r>
        <w:rPr>
          <w:spacing w:val="1"/>
        </w:rPr>
        <w:t xml:space="preserve"> </w:t>
      </w:r>
      <w:r>
        <w:rPr>
          <w:spacing w:val="-1"/>
        </w:rPr>
        <w:t>treatment</w:t>
      </w:r>
      <w:r>
        <w:rPr>
          <w:spacing w:val="1"/>
        </w:rPr>
        <w:t xml:space="preserve"> </w:t>
      </w:r>
      <w:r>
        <w:rPr>
          <w:spacing w:val="-1"/>
        </w:rPr>
        <w:t>were</w:t>
      </w:r>
      <w:r>
        <w:t xml:space="preserve"> </w:t>
      </w:r>
      <w:r>
        <w:rPr>
          <w:spacing w:val="-1"/>
        </w:rPr>
        <w:t>permitted</w:t>
      </w:r>
      <w:r>
        <w:rPr>
          <w:spacing w:val="-3"/>
        </w:rPr>
        <w:t xml:space="preserve"> </w:t>
      </w:r>
      <w:r>
        <w:t xml:space="preserve">to </w:t>
      </w:r>
      <w:r>
        <w:rPr>
          <w:spacing w:val="-1"/>
        </w:rPr>
        <w:t>switch</w:t>
      </w:r>
      <w:r>
        <w:t xml:space="preserve"> </w:t>
      </w:r>
      <w:r>
        <w:rPr>
          <w:spacing w:val="-1"/>
        </w:rPr>
        <w:t>from</w:t>
      </w:r>
      <w:r>
        <w:rPr>
          <w:spacing w:val="-4"/>
        </w:rPr>
        <w:t xml:space="preserve"> </w:t>
      </w:r>
      <w:r>
        <w:rPr>
          <w:spacing w:val="-1"/>
        </w:rPr>
        <w:t>placebo</w:t>
      </w:r>
      <w:r>
        <w:t xml:space="preserve"> to</w:t>
      </w:r>
      <w:r>
        <w:rPr>
          <w:spacing w:val="-2"/>
        </w:rPr>
        <w:t xml:space="preserve"> </w:t>
      </w:r>
      <w:r>
        <w:t xml:space="preserve">5 </w:t>
      </w:r>
      <w:r>
        <w:rPr>
          <w:spacing w:val="-2"/>
        </w:rPr>
        <w:t>mg</w:t>
      </w:r>
      <w:r>
        <w:rPr>
          <w:spacing w:val="-3"/>
        </w:rPr>
        <w:t xml:space="preserve"> </w:t>
      </w:r>
      <w:r>
        <w:rPr>
          <w:spacing w:val="-1"/>
        </w:rPr>
        <w:t>lenalidomide</w:t>
      </w:r>
      <w:r>
        <w:rPr>
          <w:spacing w:val="73"/>
        </w:rPr>
        <w:t xml:space="preserve"> </w:t>
      </w:r>
      <w:r>
        <w:t>or</w:t>
      </w:r>
      <w:r>
        <w:rPr>
          <w:spacing w:val="1"/>
        </w:rPr>
        <w:t xml:space="preserve"> </w:t>
      </w:r>
      <w:r>
        <w:rPr>
          <w:spacing w:val="-1"/>
        </w:rPr>
        <w:t>continue</w:t>
      </w:r>
      <w:r>
        <w:rPr>
          <w:spacing w:val="-2"/>
        </w:rPr>
        <w:t xml:space="preserve"> </w:t>
      </w:r>
      <w:r>
        <w:rPr>
          <w:spacing w:val="-1"/>
        </w:rPr>
        <w:t>lenalidomide</w:t>
      </w:r>
      <w:r>
        <w:rPr>
          <w:spacing w:val="1"/>
        </w:rPr>
        <w:t xml:space="preserve"> </w:t>
      </w:r>
      <w:r>
        <w:rPr>
          <w:spacing w:val="-1"/>
        </w:rPr>
        <w:t>treatment</w:t>
      </w:r>
      <w:r>
        <w:rPr>
          <w:spacing w:val="1"/>
        </w:rPr>
        <w:t xml:space="preserve"> </w:t>
      </w:r>
      <w:r>
        <w:rPr>
          <w:spacing w:val="-1"/>
        </w:rPr>
        <w:t>at</w:t>
      </w:r>
      <w:r>
        <w:rPr>
          <w:spacing w:val="1"/>
        </w:rPr>
        <w:t xml:space="preserve"> </w:t>
      </w:r>
      <w:r>
        <w:rPr>
          <w:spacing w:val="-1"/>
        </w:rPr>
        <w:t>higher</w:t>
      </w:r>
      <w:r>
        <w:rPr>
          <w:spacing w:val="1"/>
        </w:rPr>
        <w:t xml:space="preserve"> </w:t>
      </w:r>
      <w:r>
        <w:rPr>
          <w:spacing w:val="-1"/>
        </w:rPr>
        <w:t>dose</w:t>
      </w:r>
      <w:r>
        <w:t xml:space="preserve"> (5 </w:t>
      </w:r>
      <w:r>
        <w:rPr>
          <w:spacing w:val="-2"/>
        </w:rPr>
        <w:t xml:space="preserve">mg </w:t>
      </w:r>
      <w:r>
        <w:t xml:space="preserve">to 10 </w:t>
      </w:r>
      <w:r>
        <w:rPr>
          <w:spacing w:val="-2"/>
        </w:rPr>
        <w:t>mg).</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80"/>
      </w:pPr>
      <w:r>
        <w:rPr>
          <w:spacing w:val="-2"/>
        </w:rPr>
        <w:t>In,</w:t>
      </w:r>
      <w:r>
        <w:t xml:space="preserve"> study</w:t>
      </w:r>
      <w:r>
        <w:rPr>
          <w:spacing w:val="-3"/>
        </w:rPr>
        <w:t xml:space="preserve"> </w:t>
      </w:r>
      <w:r>
        <w:rPr>
          <w:spacing w:val="-1"/>
        </w:rPr>
        <w:t>MDS-003,</w:t>
      </w:r>
      <w:r>
        <w:t xml:space="preserve"> in </w:t>
      </w:r>
      <w:r>
        <w:rPr>
          <w:spacing w:val="-1"/>
        </w:rPr>
        <w:t>which</w:t>
      </w:r>
      <w:r>
        <w:t xml:space="preserve"> 148 </w:t>
      </w:r>
      <w:r>
        <w:rPr>
          <w:spacing w:val="-1"/>
        </w:rPr>
        <w:t>patients</w:t>
      </w:r>
      <w:r>
        <w:rPr>
          <w:spacing w:val="-2"/>
        </w:rPr>
        <w:t xml:space="preserve"> </w:t>
      </w:r>
      <w:r>
        <w:rPr>
          <w:spacing w:val="-1"/>
        </w:rPr>
        <w:t>received</w:t>
      </w:r>
      <w:r>
        <w:t xml:space="preserve"> </w:t>
      </w:r>
      <w:r>
        <w:rPr>
          <w:spacing w:val="-1"/>
        </w:rPr>
        <w:t>lenalidomide</w:t>
      </w:r>
      <w:r>
        <w:rPr>
          <w:spacing w:val="1"/>
        </w:rPr>
        <w:t xml:space="preserve"> </w:t>
      </w:r>
      <w:r>
        <w:t>at</w:t>
      </w:r>
      <w:r>
        <w:rPr>
          <w:spacing w:val="-2"/>
        </w:rPr>
        <w:t xml:space="preserve"> </w:t>
      </w:r>
      <w:r>
        <w:t xml:space="preserve">a </w:t>
      </w:r>
      <w:r>
        <w:rPr>
          <w:spacing w:val="-1"/>
        </w:rPr>
        <w:t>dose</w:t>
      </w:r>
      <w:r>
        <w:t xml:space="preserve"> of</w:t>
      </w:r>
      <w:r>
        <w:rPr>
          <w:spacing w:val="-2"/>
        </w:rPr>
        <w:t xml:space="preserve"> </w:t>
      </w:r>
      <w:r>
        <w:t xml:space="preserve">10 </w:t>
      </w:r>
      <w:r>
        <w:rPr>
          <w:spacing w:val="-3"/>
        </w:rPr>
        <w:t>mg,</w:t>
      </w:r>
      <w:r>
        <w:t xml:space="preserve"> the </w:t>
      </w:r>
      <w:r>
        <w:rPr>
          <w:spacing w:val="-1"/>
        </w:rPr>
        <w:t>primary</w:t>
      </w:r>
      <w:r>
        <w:rPr>
          <w:spacing w:val="-3"/>
        </w:rPr>
        <w:t xml:space="preserve"> </w:t>
      </w:r>
      <w:r>
        <w:rPr>
          <w:spacing w:val="-1"/>
        </w:rPr>
        <w:t>efficacy</w:t>
      </w:r>
      <w:r>
        <w:rPr>
          <w:spacing w:val="61"/>
        </w:rPr>
        <w:t xml:space="preserve"> </w:t>
      </w:r>
      <w:r>
        <w:rPr>
          <w:spacing w:val="-1"/>
        </w:rPr>
        <w:t>analysis</w:t>
      </w:r>
      <w:r>
        <w:t xml:space="preserve"> </w:t>
      </w:r>
      <w:r>
        <w:rPr>
          <w:spacing w:val="-1"/>
        </w:rPr>
        <w:t>consisted</w:t>
      </w:r>
      <w:r>
        <w:t xml:space="preserve"> of</w:t>
      </w:r>
      <w:r>
        <w:rPr>
          <w:spacing w:val="-1"/>
        </w:rPr>
        <w:t xml:space="preserve"> </w:t>
      </w:r>
      <w:r>
        <w:t xml:space="preserve">an </w:t>
      </w:r>
      <w:r>
        <w:rPr>
          <w:spacing w:val="-1"/>
        </w:rPr>
        <w:t>evaluation</w:t>
      </w:r>
      <w:r>
        <w:rPr>
          <w:spacing w:val="-2"/>
        </w:rPr>
        <w:t xml:space="preserve"> </w:t>
      </w:r>
      <w:r>
        <w:t>of</w:t>
      </w:r>
      <w:r>
        <w:rPr>
          <w:spacing w:val="-2"/>
        </w:rPr>
        <w:t xml:space="preserve"> </w:t>
      </w:r>
      <w:r>
        <w:t>the</w:t>
      </w:r>
      <w:r>
        <w:rPr>
          <w:spacing w:val="-2"/>
        </w:rPr>
        <w:t xml:space="preserve"> </w:t>
      </w:r>
      <w:r>
        <w:rPr>
          <w:spacing w:val="-1"/>
        </w:rPr>
        <w:t>efficacy</w:t>
      </w:r>
      <w:r>
        <w:rPr>
          <w:spacing w:val="-2"/>
        </w:rPr>
        <w:t xml:space="preserve"> </w:t>
      </w:r>
      <w:r>
        <w:t>of</w:t>
      </w:r>
      <w:r>
        <w:rPr>
          <w:spacing w:val="1"/>
        </w:rPr>
        <w:t xml:space="preserve"> </w:t>
      </w:r>
      <w:r>
        <w:rPr>
          <w:spacing w:val="-1"/>
        </w:rPr>
        <w:t>lenalidomide</w:t>
      </w:r>
      <w:r>
        <w:t xml:space="preserve"> </w:t>
      </w:r>
      <w:r>
        <w:rPr>
          <w:spacing w:val="-1"/>
        </w:rPr>
        <w:t>treatments</w:t>
      </w:r>
      <w:r>
        <w:t xml:space="preserve"> </w:t>
      </w:r>
      <w:r>
        <w:rPr>
          <w:spacing w:val="-1"/>
        </w:rPr>
        <w:t>to</w:t>
      </w:r>
      <w:r>
        <w:t xml:space="preserve"> </w:t>
      </w:r>
      <w:r>
        <w:rPr>
          <w:spacing w:val="-1"/>
        </w:rPr>
        <w:t>achieve</w:t>
      </w:r>
      <w:r>
        <w:t xml:space="preserve"> </w:t>
      </w:r>
      <w:r>
        <w:rPr>
          <w:spacing w:val="-1"/>
        </w:rPr>
        <w:t>haematopoietic</w:t>
      </w:r>
      <w:r>
        <w:rPr>
          <w:spacing w:val="61"/>
        </w:rPr>
        <w:t xml:space="preserve"> </w:t>
      </w:r>
      <w:r>
        <w:rPr>
          <w:spacing w:val="-1"/>
        </w:rPr>
        <w:t>improvement</w:t>
      </w:r>
      <w:r>
        <w:rPr>
          <w:spacing w:val="1"/>
        </w:rPr>
        <w:t xml:space="preserve"> </w:t>
      </w:r>
      <w:r>
        <w:t xml:space="preserve">in </w:t>
      </w:r>
      <w:r>
        <w:rPr>
          <w:spacing w:val="-1"/>
        </w:rPr>
        <w:t>subjects</w:t>
      </w:r>
      <w:r>
        <w:t xml:space="preserve"> </w:t>
      </w:r>
      <w:r>
        <w:rPr>
          <w:spacing w:val="-1"/>
        </w:rPr>
        <w:t>with</w:t>
      </w:r>
      <w:r>
        <w:t xml:space="preserve"> low-</w:t>
      </w:r>
      <w:r>
        <w:rPr>
          <w:spacing w:val="-4"/>
        </w:rPr>
        <w:t xml:space="preserve"> </w:t>
      </w:r>
      <w:r>
        <w:t>or</w:t>
      </w:r>
      <w:r>
        <w:rPr>
          <w:spacing w:val="1"/>
        </w:rPr>
        <w:t xml:space="preserve"> </w:t>
      </w:r>
      <w:r>
        <w:rPr>
          <w:spacing w:val="-1"/>
        </w:rPr>
        <w:t>intermediate-1</w:t>
      </w:r>
      <w:r>
        <w:t xml:space="preserve"> </w:t>
      </w:r>
      <w:r>
        <w:rPr>
          <w:spacing w:val="-1"/>
        </w:rPr>
        <w:t>risk</w:t>
      </w:r>
      <w:r>
        <w:t xml:space="preserve"> </w:t>
      </w:r>
      <w:r>
        <w:rPr>
          <w:spacing w:val="-1"/>
        </w:rPr>
        <w:t>myelodysplastic</w:t>
      </w:r>
      <w:r>
        <w:t xml:space="preserve"> </w:t>
      </w:r>
      <w:r>
        <w:rPr>
          <w:spacing w:val="-1"/>
        </w:rPr>
        <w:t>syndromes.</w:t>
      </w:r>
    </w:p>
    <w:p w:rsidR="00F72327" w:rsidRDefault="00F72327" w:rsidP="00F72327">
      <w:pPr>
        <w:sectPr w:rsidR="00F72327" w:rsidSect="00257A15">
          <w:headerReference w:type="default" r:id="rId13"/>
          <w:footerReference w:type="default" r:id="rId14"/>
          <w:pgSz w:w="11910" w:h="16840"/>
          <w:pgMar w:top="2693" w:right="851" w:bottom="1588" w:left="1134" w:header="0" w:footer="702" w:gutter="0"/>
          <w:cols w:space="708"/>
          <w:docGrid w:linePitch="299"/>
        </w:sectPr>
      </w:pPr>
    </w:p>
    <w:p w:rsidR="00F72327" w:rsidRDefault="00F72327" w:rsidP="00B2301B">
      <w:pPr>
        <w:pStyle w:val="Heading1"/>
        <w:numPr>
          <w:ilvl w:val="0"/>
          <w:numId w:val="0"/>
        </w:numPr>
        <w:shd w:val="clear" w:color="auto" w:fill="FDE9D9" w:themeFill="accent6" w:themeFillTint="33"/>
        <w:spacing w:before="51"/>
        <w:ind w:left="218" w:right="421"/>
        <w:rPr>
          <w:b w:val="0"/>
          <w:bCs w:val="0"/>
        </w:rPr>
      </w:pPr>
      <w:r>
        <w:rPr>
          <w:spacing w:val="-1"/>
        </w:rPr>
        <w:t>Table</w:t>
      </w:r>
      <w:r>
        <w:t xml:space="preserve"> 12. </w:t>
      </w:r>
      <w:r>
        <w:rPr>
          <w:spacing w:val="-1"/>
        </w:rPr>
        <w:t>Summary</w:t>
      </w:r>
      <w:r>
        <w:rPr>
          <w:spacing w:val="-3"/>
        </w:rPr>
        <w:t xml:space="preserve"> </w:t>
      </w:r>
      <w:r>
        <w:rPr>
          <w:spacing w:val="-2"/>
        </w:rPr>
        <w:t>of</w:t>
      </w:r>
      <w:r>
        <w:rPr>
          <w:spacing w:val="3"/>
        </w:rPr>
        <w:t xml:space="preserve"> </w:t>
      </w:r>
      <w:r>
        <w:rPr>
          <w:spacing w:val="-1"/>
        </w:rPr>
        <w:t>efficacy</w:t>
      </w:r>
      <w:r>
        <w:t xml:space="preserve"> </w:t>
      </w:r>
      <w:r>
        <w:rPr>
          <w:spacing w:val="-1"/>
        </w:rPr>
        <w:t>results</w:t>
      </w:r>
      <w:r>
        <w:rPr>
          <w:spacing w:val="-2"/>
        </w:rPr>
        <w:t xml:space="preserve"> </w:t>
      </w:r>
      <w:r>
        <w:t xml:space="preserve">– </w:t>
      </w:r>
      <w:r>
        <w:rPr>
          <w:spacing w:val="-1"/>
        </w:rPr>
        <w:t>studies</w:t>
      </w:r>
      <w:r>
        <w:t xml:space="preserve"> </w:t>
      </w:r>
      <w:r>
        <w:rPr>
          <w:spacing w:val="-1"/>
        </w:rPr>
        <w:t>MDS-004</w:t>
      </w:r>
      <w:r>
        <w:rPr>
          <w:spacing w:val="-2"/>
        </w:rPr>
        <w:t xml:space="preserve"> </w:t>
      </w:r>
      <w:r>
        <w:rPr>
          <w:spacing w:val="-1"/>
        </w:rPr>
        <w:t>(double-blind phase)</w:t>
      </w:r>
      <w:r>
        <w:rPr>
          <w:spacing w:val="1"/>
        </w:rPr>
        <w:t xml:space="preserve"> </w:t>
      </w:r>
      <w:r>
        <w:rPr>
          <w:spacing w:val="-1"/>
        </w:rPr>
        <w:t>and MDS-003,</w:t>
      </w:r>
      <w:r>
        <w:rPr>
          <w:spacing w:val="-2"/>
        </w:rPr>
        <w:t xml:space="preserve"> </w:t>
      </w:r>
      <w:r>
        <w:rPr>
          <w:spacing w:val="-1"/>
        </w:rPr>
        <w:t>intent-</w:t>
      </w:r>
      <w:r>
        <w:rPr>
          <w:spacing w:val="67"/>
        </w:rPr>
        <w:t xml:space="preserve"> </w:t>
      </w:r>
      <w:r>
        <w:rPr>
          <w:spacing w:val="-1"/>
        </w:rPr>
        <w:t>to-treat</w:t>
      </w:r>
      <w:r>
        <w:rPr>
          <w:spacing w:val="1"/>
        </w:rPr>
        <w:t xml:space="preserve"> </w:t>
      </w:r>
      <w:r>
        <w:rPr>
          <w:spacing w:val="-1"/>
        </w:rPr>
        <w:t>populationEndpoint</w:t>
      </w:r>
    </w:p>
    <w:tbl>
      <w:tblPr>
        <w:tblW w:w="0" w:type="auto"/>
        <w:tblInd w:w="104" w:type="dxa"/>
        <w:tblLayout w:type="fixed"/>
        <w:tblCellMar>
          <w:left w:w="0" w:type="dxa"/>
          <w:right w:w="0" w:type="dxa"/>
        </w:tblCellMar>
        <w:tblLook w:val="01E0" w:firstRow="1" w:lastRow="1" w:firstColumn="1" w:lastColumn="1" w:noHBand="0" w:noVBand="0"/>
      </w:tblPr>
      <w:tblGrid>
        <w:gridCol w:w="3631"/>
        <w:gridCol w:w="1438"/>
        <w:gridCol w:w="1435"/>
        <w:gridCol w:w="1437"/>
        <w:gridCol w:w="1913"/>
      </w:tblGrid>
      <w:tr w:rsidR="00F72327" w:rsidTr="00F72327">
        <w:trPr>
          <w:trHeight w:hRule="exact" w:val="516"/>
        </w:trPr>
        <w:tc>
          <w:tcPr>
            <w:tcW w:w="3631" w:type="dxa"/>
            <w:vMerge w:val="restart"/>
            <w:tcBorders>
              <w:top w:val="single" w:sz="5" w:space="0" w:color="000000"/>
              <w:left w:val="single" w:sz="5" w:space="0" w:color="000000"/>
              <w:right w:val="single" w:sz="5" w:space="0" w:color="000000"/>
            </w:tcBorders>
          </w:tcPr>
          <w:p w:rsidR="00F72327" w:rsidRDefault="00F72327" w:rsidP="00B2301B">
            <w:pPr>
              <w:shd w:val="clear" w:color="auto" w:fill="FDE9D9" w:themeFill="accent6" w:themeFillTint="33"/>
            </w:pPr>
          </w:p>
        </w:tc>
        <w:tc>
          <w:tcPr>
            <w:tcW w:w="4310" w:type="dxa"/>
            <w:gridSpan w:val="3"/>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700" w:right="1700"/>
              <w:jc w:val="center"/>
              <w:rPr>
                <w:rFonts w:ascii="Times New Roman" w:eastAsia="Times New Roman" w:hAnsi="Times New Roman" w:cs="Times New Roman"/>
              </w:rPr>
            </w:pPr>
            <w:r>
              <w:rPr>
                <w:rFonts w:ascii="Times New Roman"/>
                <w:b/>
                <w:spacing w:val="-1"/>
              </w:rPr>
              <w:t>MDS-004</w:t>
            </w:r>
            <w:r>
              <w:rPr>
                <w:rFonts w:ascii="Times New Roman"/>
                <w:b/>
                <w:spacing w:val="26"/>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205</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586" w:right="501" w:hanging="84"/>
              <w:rPr>
                <w:rFonts w:ascii="Times New Roman" w:eastAsia="Times New Roman" w:hAnsi="Times New Roman" w:cs="Times New Roman"/>
              </w:rPr>
            </w:pPr>
            <w:r>
              <w:rPr>
                <w:rFonts w:ascii="Times New Roman"/>
                <w:b/>
                <w:spacing w:val="-1"/>
              </w:rPr>
              <w:t>MDS-003</w:t>
            </w:r>
            <w:r>
              <w:rPr>
                <w:rFonts w:ascii="Times New Roman"/>
                <w:b/>
                <w:spacing w:val="24"/>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148</w:t>
            </w:r>
          </w:p>
        </w:tc>
      </w:tr>
      <w:tr w:rsidR="00F72327" w:rsidTr="00F72327">
        <w:trPr>
          <w:trHeight w:hRule="exact" w:val="516"/>
        </w:trPr>
        <w:tc>
          <w:tcPr>
            <w:tcW w:w="3631" w:type="dxa"/>
            <w:vMerge/>
            <w:tcBorders>
              <w:left w:val="single" w:sz="5" w:space="0" w:color="000000"/>
              <w:bottom w:val="single" w:sz="5" w:space="0" w:color="000000"/>
              <w:right w:val="single" w:sz="5" w:space="0" w:color="000000"/>
            </w:tcBorders>
          </w:tcPr>
          <w:p w:rsidR="00F72327" w:rsidRDefault="00F72327" w:rsidP="00B2301B">
            <w:pPr>
              <w:shd w:val="clear" w:color="auto" w:fill="FDE9D9" w:themeFill="accent6" w:themeFillTint="33"/>
            </w:pP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92"/>
              <w:rPr>
                <w:rFonts w:ascii="Times New Roman" w:eastAsia="Times New Roman" w:hAnsi="Times New Roman" w:cs="Times New Roman"/>
                <w:sz w:val="14"/>
                <w:szCs w:val="14"/>
              </w:rPr>
            </w:pPr>
            <w:r>
              <w:rPr>
                <w:rFonts w:ascii="Times New Roman" w:eastAsia="Times New Roman" w:hAnsi="Times New Roman" w:cs="Times New Roman"/>
                <w:b/>
                <w:bCs/>
              </w:rPr>
              <w:t>10</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mg</w:t>
            </w:r>
            <w:r>
              <w:rPr>
                <w:rFonts w:ascii="Times New Roman" w:eastAsia="Times New Roman" w:hAnsi="Times New Roman" w:cs="Times New Roman"/>
                <w:b/>
                <w:bCs/>
                <w:position w:val="8"/>
                <w:sz w:val="14"/>
                <w:szCs w:val="14"/>
              </w:rPr>
              <w:t>†</w:t>
            </w:r>
          </w:p>
          <w:p w:rsidR="00F72327" w:rsidRDefault="00F72327" w:rsidP="00B2301B">
            <w:pPr>
              <w:pStyle w:val="TableParagraph"/>
              <w:shd w:val="clear" w:color="auto" w:fill="FDE9D9" w:themeFill="accent6" w:themeFillTint="33"/>
              <w:spacing w:before="1" w:line="252" w:lineRule="exact"/>
              <w:ind w:left="404"/>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69</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11"/>
              <w:rPr>
                <w:rFonts w:ascii="Times New Roman" w:eastAsia="Times New Roman" w:hAnsi="Times New Roman" w:cs="Times New Roman"/>
                <w:sz w:val="14"/>
                <w:szCs w:val="14"/>
              </w:rPr>
            </w:pPr>
            <w:r>
              <w:rPr>
                <w:rFonts w:ascii="Times New Roman" w:eastAsia="Times New Roman" w:hAnsi="Times New Roman" w:cs="Times New Roman"/>
                <w:b/>
                <w:bCs/>
              </w:rPr>
              <w:t>5</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mg</w:t>
            </w:r>
            <w:r>
              <w:rPr>
                <w:rFonts w:ascii="Times New Roman" w:eastAsia="Times New Roman" w:hAnsi="Times New Roman" w:cs="Times New Roman"/>
                <w:b/>
                <w:bCs/>
                <w:position w:val="8"/>
                <w:sz w:val="14"/>
                <w:szCs w:val="14"/>
              </w:rPr>
              <w:t>††</w:t>
            </w:r>
          </w:p>
          <w:p w:rsidR="00F72327" w:rsidRDefault="00F72327" w:rsidP="00B2301B">
            <w:pPr>
              <w:pStyle w:val="TableParagraph"/>
              <w:shd w:val="clear" w:color="auto" w:fill="FDE9D9" w:themeFill="accent6" w:themeFillTint="33"/>
              <w:spacing w:before="1" w:line="252" w:lineRule="exact"/>
              <w:ind w:left="404"/>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69</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404" w:right="287" w:hanging="113"/>
              <w:rPr>
                <w:rFonts w:ascii="Times New Roman" w:eastAsia="Times New Roman" w:hAnsi="Times New Roman" w:cs="Times New Roman"/>
              </w:rPr>
            </w:pPr>
            <w:r>
              <w:rPr>
                <w:rFonts w:ascii="Times New Roman"/>
                <w:b/>
                <w:spacing w:val="-1"/>
              </w:rPr>
              <w:t>Placebo*</w:t>
            </w:r>
            <w:r>
              <w:rPr>
                <w:rFonts w:ascii="Times New Roman"/>
                <w:b/>
                <w:spacing w:val="25"/>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67</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
              <w:jc w:val="center"/>
              <w:rPr>
                <w:rFonts w:ascii="Times New Roman" w:eastAsia="Times New Roman" w:hAnsi="Times New Roman" w:cs="Times New Roman"/>
              </w:rPr>
            </w:pPr>
            <w:r>
              <w:rPr>
                <w:rFonts w:ascii="Times New Roman"/>
                <w:b/>
              </w:rPr>
              <w:t>10 mg</w:t>
            </w:r>
          </w:p>
          <w:p w:rsidR="00F72327" w:rsidRDefault="00F72327" w:rsidP="00B2301B">
            <w:pPr>
              <w:pStyle w:val="TableParagraph"/>
              <w:shd w:val="clear" w:color="auto" w:fill="FDE9D9" w:themeFill="accent6" w:themeFillTint="33"/>
              <w:spacing w:before="1" w:line="252" w:lineRule="exact"/>
              <w:jc w:val="center"/>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148</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36" w:lineRule="auto"/>
              <w:ind w:left="102" w:right="1184"/>
              <w:rPr>
                <w:rFonts w:ascii="Times New Roman" w:eastAsia="Times New Roman" w:hAnsi="Times New Roman" w:cs="Times New Roman"/>
                <w:sz w:val="14"/>
                <w:szCs w:val="14"/>
              </w:rPr>
            </w:pPr>
            <w:r>
              <w:rPr>
                <w:rFonts w:ascii="Times New Roman" w:eastAsia="Times New Roman" w:hAnsi="Times New Roman" w:cs="Times New Roman"/>
                <w:spacing w:val="-1"/>
              </w:rPr>
              <w:t>Transfusion</w:t>
            </w:r>
            <w:r>
              <w:rPr>
                <w:rFonts w:ascii="Times New Roman" w:eastAsia="Times New Roman" w:hAnsi="Times New Roman" w:cs="Times New Roman"/>
              </w:rPr>
              <w:t xml:space="preserve"> </w:t>
            </w:r>
            <w:r>
              <w:rPr>
                <w:rFonts w:ascii="Times New Roman" w:eastAsia="Times New Roman" w:hAnsi="Times New Roman" w:cs="Times New Roman"/>
                <w:spacing w:val="-1"/>
              </w:rPr>
              <w:t>Independence</w:t>
            </w:r>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182</w:t>
            </w:r>
            <w:r>
              <w:rPr>
                <w:rFonts w:ascii="Times New Roman" w:eastAsia="Times New Roman" w:hAnsi="Times New Roman" w:cs="Times New Roman"/>
              </w:rPr>
              <w:t xml:space="preserve"> </w:t>
            </w:r>
            <w:r>
              <w:rPr>
                <w:rFonts w:ascii="Times New Roman" w:eastAsia="Times New Roman" w:hAnsi="Times New Roman" w:cs="Times New Roman"/>
                <w:spacing w:val="-1"/>
              </w:rPr>
              <w:t>days)</w:t>
            </w:r>
            <w:r>
              <w:rPr>
                <w:rFonts w:ascii="Times New Roman" w:eastAsia="Times New Roman" w:hAnsi="Times New Roman" w:cs="Times New Roman"/>
                <w:spacing w:val="-21"/>
              </w:rPr>
              <w:t xml:space="preserve"> </w:t>
            </w:r>
            <w:r>
              <w:rPr>
                <w:rFonts w:ascii="Times New Roman" w:eastAsia="Times New Roman" w:hAnsi="Times New Roman" w:cs="Times New Roman"/>
                <w:position w:val="8"/>
                <w:sz w:val="14"/>
                <w:szCs w:val="14"/>
              </w:rPr>
              <w:t>#</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38 </w:t>
            </w:r>
            <w:r>
              <w:rPr>
                <w:rFonts w:ascii="Times New Roman"/>
                <w:spacing w:val="-1"/>
              </w:rPr>
              <w:t>(55.1%)</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24 </w:t>
            </w:r>
            <w:r>
              <w:rPr>
                <w:rFonts w:ascii="Times New Roman"/>
                <w:spacing w:val="-1"/>
              </w:rPr>
              <w:t>(34.8%)</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27"/>
              <w:rPr>
                <w:rFonts w:ascii="Times New Roman" w:eastAsia="Times New Roman" w:hAnsi="Times New Roman" w:cs="Times New Roman"/>
              </w:rPr>
            </w:pPr>
            <w:r>
              <w:rPr>
                <w:rFonts w:ascii="Times New Roman"/>
              </w:rPr>
              <w:t xml:space="preserve">4 </w:t>
            </w:r>
            <w:r>
              <w:rPr>
                <w:rFonts w:ascii="Times New Roman"/>
                <w:spacing w:val="-1"/>
              </w:rPr>
              <w:t>(6.0%)</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55"/>
              <w:rPr>
                <w:rFonts w:ascii="Times New Roman" w:eastAsia="Times New Roman" w:hAnsi="Times New Roman" w:cs="Times New Roman"/>
              </w:rPr>
            </w:pPr>
            <w:r>
              <w:rPr>
                <w:rFonts w:ascii="Times New Roman"/>
              </w:rPr>
              <w:t xml:space="preserve">86 </w:t>
            </w:r>
            <w:r>
              <w:rPr>
                <w:rFonts w:ascii="Times New Roman"/>
                <w:spacing w:val="-1"/>
              </w:rPr>
              <w:t>(58.1%)</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36" w:lineRule="auto"/>
              <w:ind w:left="102" w:right="1184"/>
              <w:rPr>
                <w:rFonts w:ascii="Times New Roman" w:eastAsia="Times New Roman" w:hAnsi="Times New Roman" w:cs="Times New Roman"/>
                <w:sz w:val="14"/>
                <w:szCs w:val="14"/>
              </w:rPr>
            </w:pPr>
            <w:r>
              <w:rPr>
                <w:rFonts w:ascii="Times New Roman" w:eastAsia="Times New Roman" w:hAnsi="Times New Roman" w:cs="Times New Roman"/>
                <w:spacing w:val="-1"/>
              </w:rPr>
              <w:t>Transfusion</w:t>
            </w:r>
            <w:r>
              <w:rPr>
                <w:rFonts w:ascii="Times New Roman" w:eastAsia="Times New Roman" w:hAnsi="Times New Roman" w:cs="Times New Roman"/>
              </w:rPr>
              <w:t xml:space="preserve"> </w:t>
            </w:r>
            <w:r>
              <w:rPr>
                <w:rFonts w:ascii="Times New Roman" w:eastAsia="Times New Roman" w:hAnsi="Times New Roman" w:cs="Times New Roman"/>
                <w:spacing w:val="-1"/>
              </w:rPr>
              <w:t>Independence</w:t>
            </w:r>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2"/>
              </w:rPr>
              <w:t>56</w:t>
            </w:r>
            <w:r>
              <w:rPr>
                <w:rFonts w:ascii="Times New Roman" w:eastAsia="Times New Roman" w:hAnsi="Times New Roman" w:cs="Times New Roman"/>
              </w:rPr>
              <w:t xml:space="preserve"> </w:t>
            </w:r>
            <w:r>
              <w:rPr>
                <w:rFonts w:ascii="Times New Roman" w:eastAsia="Times New Roman" w:hAnsi="Times New Roman" w:cs="Times New Roman"/>
                <w:spacing w:val="-1"/>
              </w:rPr>
              <w:t>days)</w:t>
            </w:r>
            <w:r>
              <w:rPr>
                <w:rFonts w:ascii="Times New Roman" w:eastAsia="Times New Roman" w:hAnsi="Times New Roman" w:cs="Times New Roman"/>
                <w:spacing w:val="-19"/>
              </w:rPr>
              <w:t xml:space="preserve"> </w:t>
            </w:r>
            <w:r>
              <w:rPr>
                <w:rFonts w:ascii="Times New Roman" w:eastAsia="Times New Roman" w:hAnsi="Times New Roman" w:cs="Times New Roman"/>
                <w:position w:val="8"/>
                <w:sz w:val="14"/>
                <w:szCs w:val="14"/>
              </w:rPr>
              <w:t>#</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42 </w:t>
            </w:r>
            <w:r>
              <w:rPr>
                <w:rFonts w:ascii="Times New Roman"/>
                <w:spacing w:val="-1"/>
              </w:rPr>
              <w:t>(60.9%)</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33 </w:t>
            </w:r>
            <w:r>
              <w:rPr>
                <w:rFonts w:ascii="Times New Roman"/>
                <w:spacing w:val="-1"/>
              </w:rPr>
              <w:t>(47.8%)</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27"/>
              <w:rPr>
                <w:rFonts w:ascii="Times New Roman" w:eastAsia="Times New Roman" w:hAnsi="Times New Roman" w:cs="Times New Roman"/>
              </w:rPr>
            </w:pPr>
            <w:r>
              <w:rPr>
                <w:rFonts w:ascii="Times New Roman"/>
              </w:rPr>
              <w:t xml:space="preserve">5 </w:t>
            </w:r>
            <w:r>
              <w:rPr>
                <w:rFonts w:ascii="Times New Roman"/>
                <w:spacing w:val="-1"/>
              </w:rPr>
              <w:t>(7.5%)</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55"/>
              <w:rPr>
                <w:rFonts w:ascii="Times New Roman" w:eastAsia="Times New Roman" w:hAnsi="Times New Roman" w:cs="Times New Roman"/>
              </w:rPr>
            </w:pPr>
            <w:r>
              <w:rPr>
                <w:rFonts w:ascii="Times New Roman"/>
              </w:rPr>
              <w:t xml:space="preserve">97 </w:t>
            </w:r>
            <w:r>
              <w:rPr>
                <w:rFonts w:ascii="Times New Roman"/>
                <w:spacing w:val="-1"/>
              </w:rPr>
              <w:t>(65.5%)</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02" w:right="990"/>
              <w:rPr>
                <w:rFonts w:ascii="Times New Roman" w:eastAsia="Times New Roman" w:hAnsi="Times New Roman" w:cs="Times New Roman"/>
              </w:rPr>
            </w:pPr>
            <w:r>
              <w:rPr>
                <w:rFonts w:ascii="Times New Roman"/>
                <w:spacing w:val="-1"/>
              </w:rPr>
              <w:t>Median</w:t>
            </w:r>
            <w:r>
              <w:rPr>
                <w:rFonts w:ascii="Times New Roman"/>
                <w:spacing w:val="-2"/>
              </w:rPr>
              <w:t xml:space="preserve"> </w:t>
            </w:r>
            <w:r>
              <w:rPr>
                <w:rFonts w:ascii="Times New Roman"/>
                <w:spacing w:val="-1"/>
              </w:rPr>
              <w:t>Time</w:t>
            </w:r>
            <w:r>
              <w:rPr>
                <w:rFonts w:ascii="Times New Roman"/>
              </w:rPr>
              <w:t xml:space="preserve"> to </w:t>
            </w:r>
            <w:r>
              <w:rPr>
                <w:rFonts w:ascii="Times New Roman"/>
                <w:spacing w:val="-1"/>
              </w:rPr>
              <w:t>Transfusion</w:t>
            </w:r>
            <w:r>
              <w:rPr>
                <w:rFonts w:ascii="Times New Roman"/>
                <w:spacing w:val="28"/>
              </w:rPr>
              <w:t xml:space="preserve"> </w:t>
            </w:r>
            <w:r>
              <w:rPr>
                <w:rFonts w:ascii="Times New Roman"/>
                <w:spacing w:val="-1"/>
              </w:rPr>
              <w:t>Independence</w:t>
            </w:r>
            <w:r>
              <w:rPr>
                <w:rFonts w:ascii="Times New Roman"/>
                <w:spacing w:val="-2"/>
              </w:rPr>
              <w:t xml:space="preserve"> </w:t>
            </w:r>
            <w:r>
              <w:rPr>
                <w:rFonts w:ascii="Times New Roman"/>
                <w:spacing w:val="-1"/>
              </w:rPr>
              <w:t>(weeks)</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4.6</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4.1</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0.3</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4.1</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02" w:right="659"/>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Duration</w:t>
            </w:r>
            <w:r>
              <w:rPr>
                <w:rFonts w:ascii="Times New Roman"/>
              </w:rPr>
              <w:t xml:space="preserve"> </w:t>
            </w:r>
            <w:r>
              <w:rPr>
                <w:rFonts w:ascii="Times New Roman"/>
                <w:spacing w:val="-2"/>
              </w:rPr>
              <w:t xml:space="preserve">of </w:t>
            </w:r>
            <w:r>
              <w:rPr>
                <w:rFonts w:ascii="Times New Roman"/>
                <w:spacing w:val="-1"/>
              </w:rPr>
              <w:t>Transfusion</w:t>
            </w:r>
            <w:r>
              <w:rPr>
                <w:rFonts w:ascii="Times New Roman"/>
                <w:spacing w:val="37"/>
              </w:rPr>
              <w:t xml:space="preserve"> </w:t>
            </w:r>
            <w:r>
              <w:rPr>
                <w:rFonts w:ascii="Times New Roman"/>
                <w:spacing w:val="-1"/>
              </w:rPr>
              <w:t>Independence</w:t>
            </w:r>
            <w:r>
              <w:rPr>
                <w:rFonts w:ascii="Times New Roman"/>
                <w:spacing w:val="-2"/>
              </w:rPr>
              <w:t xml:space="preserve"> </w:t>
            </w:r>
            <w:r>
              <w:rPr>
                <w:rFonts w:ascii="Times New Roman"/>
                <w:spacing w:val="-1"/>
              </w:rPr>
              <w:t>(weeks)</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right="1"/>
              <w:jc w:val="center"/>
              <w:rPr>
                <w:rFonts w:ascii="Times New Roman" w:eastAsia="Times New Roman" w:hAnsi="Times New Roman" w:cs="Times New Roman"/>
                <w:sz w:val="14"/>
                <w:szCs w:val="14"/>
              </w:rPr>
            </w:pPr>
            <w:r>
              <w:rPr>
                <w:rFonts w:ascii="Times New Roman" w:eastAsia="Times New Roman" w:hAnsi="Times New Roman" w:cs="Times New Roman"/>
                <w:spacing w:val="-1"/>
              </w:rPr>
              <w:t>NR</w:t>
            </w:r>
            <w:r>
              <w:rPr>
                <w:rFonts w:ascii="Times New Roman" w:eastAsia="Times New Roman" w:hAnsi="Times New Roman" w:cs="Times New Roman"/>
                <w:spacing w:val="-1"/>
                <w:position w:val="8"/>
                <w:sz w:val="14"/>
                <w:szCs w:val="14"/>
              </w:rPr>
              <w:t>∞</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right="1"/>
              <w:jc w:val="center"/>
              <w:rPr>
                <w:rFonts w:ascii="Times New Roman" w:eastAsia="Times New Roman" w:hAnsi="Times New Roman" w:cs="Times New Roman"/>
              </w:rPr>
            </w:pPr>
            <w:r>
              <w:rPr>
                <w:rFonts w:ascii="Times New Roman"/>
                <w:spacing w:val="-1"/>
              </w:rPr>
              <w:t>NR</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spacing w:val="-1"/>
              </w:rPr>
              <w:t>NR</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114.4</w:t>
            </w:r>
          </w:p>
        </w:tc>
      </w:tr>
      <w:tr w:rsidR="00F72327" w:rsidTr="00F72327">
        <w:trPr>
          <w:trHeight w:hRule="exact" w:val="264"/>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Increase</w:t>
            </w:r>
            <w:r>
              <w:rPr>
                <w:rFonts w:ascii="Times New Roman"/>
              </w:rPr>
              <w:t xml:space="preserve"> in</w:t>
            </w:r>
            <w:r>
              <w:rPr>
                <w:rFonts w:ascii="Times New Roman"/>
                <w:spacing w:val="-2"/>
              </w:rPr>
              <w:t xml:space="preserve"> </w:t>
            </w:r>
            <w:r>
              <w:rPr>
                <w:rFonts w:ascii="Times New Roman"/>
                <w:spacing w:val="-1"/>
              </w:rPr>
              <w:t>Hgb,</w:t>
            </w:r>
            <w:r>
              <w:rPr>
                <w:rFonts w:ascii="Times New Roman"/>
              </w:rPr>
              <w:t xml:space="preserve"> </w:t>
            </w:r>
            <w:r>
              <w:rPr>
                <w:rFonts w:ascii="Times New Roman"/>
                <w:spacing w:val="-1"/>
              </w:rPr>
              <w:t>g/dL</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6.4</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5.3</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2.6</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5.6</w:t>
            </w:r>
          </w:p>
        </w:tc>
      </w:tr>
    </w:tbl>
    <w:p w:rsidR="00F72327" w:rsidRDefault="00F72327" w:rsidP="00B2301B">
      <w:pPr>
        <w:shd w:val="clear" w:color="auto" w:fill="FDE9D9" w:themeFill="accent6" w:themeFillTint="33"/>
        <w:spacing w:line="183" w:lineRule="exact"/>
        <w:rPr>
          <w:rFonts w:eastAsia="Times New Roman"/>
          <w:sz w:val="16"/>
          <w:szCs w:val="16"/>
        </w:rPr>
      </w:pPr>
      <w:r>
        <w:rPr>
          <w:rFonts w:eastAsia="Times New Roman"/>
          <w:sz w:val="16"/>
          <w:szCs w:val="16"/>
        </w:rPr>
        <w:t>†</w:t>
      </w:r>
      <w:r>
        <w:rPr>
          <w:rFonts w:eastAsia="Times New Roman"/>
          <w:spacing w:val="1"/>
          <w:sz w:val="16"/>
          <w:szCs w:val="16"/>
        </w:rPr>
        <w:t xml:space="preserve"> </w:t>
      </w:r>
      <w:r>
        <w:rPr>
          <w:rFonts w:eastAsia="Times New Roman"/>
          <w:spacing w:val="-1"/>
          <w:sz w:val="16"/>
          <w:szCs w:val="16"/>
        </w:rPr>
        <w:t>Subjects</w:t>
      </w:r>
      <w:r>
        <w:rPr>
          <w:rFonts w:eastAsia="Times New Roman"/>
          <w:spacing w:val="-2"/>
          <w:sz w:val="16"/>
          <w:szCs w:val="16"/>
        </w:rPr>
        <w:t xml:space="preserve"> </w:t>
      </w:r>
      <w:r>
        <w:rPr>
          <w:rFonts w:eastAsia="Times New Roman"/>
          <w:spacing w:val="-1"/>
          <w:sz w:val="16"/>
          <w:szCs w:val="16"/>
        </w:rPr>
        <w:t>treated</w:t>
      </w:r>
      <w:r>
        <w:rPr>
          <w:rFonts w:eastAsia="Times New Roman"/>
          <w:spacing w:val="2"/>
          <w:sz w:val="16"/>
          <w:szCs w:val="16"/>
        </w:rPr>
        <w:t xml:space="preserve"> </w:t>
      </w:r>
      <w:r>
        <w:rPr>
          <w:rFonts w:eastAsia="Times New Roman"/>
          <w:spacing w:val="-2"/>
          <w:sz w:val="16"/>
          <w:szCs w:val="16"/>
        </w:rPr>
        <w:t>with</w:t>
      </w:r>
      <w:r>
        <w:rPr>
          <w:rFonts w:eastAsia="Times New Roman"/>
          <w:spacing w:val="2"/>
          <w:sz w:val="16"/>
          <w:szCs w:val="16"/>
        </w:rPr>
        <w:t xml:space="preserve"> </w:t>
      </w:r>
      <w:r>
        <w:rPr>
          <w:rFonts w:eastAsia="Times New Roman"/>
          <w:spacing w:val="-1"/>
          <w:sz w:val="16"/>
          <w:szCs w:val="16"/>
        </w:rPr>
        <w:t>lenalidomide</w:t>
      </w:r>
      <w:r>
        <w:rPr>
          <w:rFonts w:eastAsia="Times New Roman"/>
          <w:spacing w:val="-2"/>
          <w:sz w:val="16"/>
          <w:szCs w:val="16"/>
        </w:rPr>
        <w:t xml:space="preserve"> </w:t>
      </w:r>
      <w:r>
        <w:rPr>
          <w:rFonts w:eastAsia="Times New Roman"/>
          <w:sz w:val="16"/>
          <w:szCs w:val="16"/>
        </w:rPr>
        <w:t>10</w:t>
      </w:r>
      <w:r>
        <w:rPr>
          <w:rFonts w:eastAsia="Times New Roman"/>
          <w:spacing w:val="-1"/>
          <w:sz w:val="16"/>
          <w:szCs w:val="16"/>
        </w:rPr>
        <w:t xml:space="preserve"> </w:t>
      </w:r>
      <w:r>
        <w:rPr>
          <w:rFonts w:eastAsia="Times New Roman"/>
          <w:sz w:val="16"/>
          <w:szCs w:val="16"/>
        </w:rPr>
        <w:t>mg</w:t>
      </w:r>
      <w:r>
        <w:rPr>
          <w:rFonts w:eastAsia="Times New Roman"/>
          <w:spacing w:val="-1"/>
          <w:sz w:val="16"/>
          <w:szCs w:val="16"/>
        </w:rPr>
        <w:t xml:space="preserve"> on 21 days</w:t>
      </w:r>
      <w:r>
        <w:rPr>
          <w:rFonts w:eastAsia="Times New Roman"/>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28-day</w:t>
      </w:r>
      <w:r>
        <w:rPr>
          <w:rFonts w:eastAsia="Times New Roman"/>
          <w:spacing w:val="-3"/>
          <w:sz w:val="16"/>
          <w:szCs w:val="16"/>
        </w:rPr>
        <w:t xml:space="preserve"> </w:t>
      </w:r>
      <w:r>
        <w:rPr>
          <w:rFonts w:eastAsia="Times New Roman"/>
          <w:spacing w:val="-2"/>
          <w:sz w:val="16"/>
          <w:szCs w:val="16"/>
        </w:rPr>
        <w:t>cycles</w:t>
      </w:r>
    </w:p>
    <w:p w:rsidR="00F72327" w:rsidRDefault="00F72327" w:rsidP="00B2301B">
      <w:pPr>
        <w:shd w:val="clear" w:color="auto" w:fill="FDE9D9" w:themeFill="accent6" w:themeFillTint="33"/>
        <w:spacing w:line="183" w:lineRule="exact"/>
        <w:rPr>
          <w:rFonts w:eastAsia="Times New Roman"/>
          <w:sz w:val="16"/>
          <w:szCs w:val="16"/>
        </w:rPr>
      </w:pPr>
      <w:r>
        <w:rPr>
          <w:rFonts w:eastAsia="Times New Roman"/>
          <w:sz w:val="16"/>
          <w:szCs w:val="16"/>
        </w:rPr>
        <w:t>††</w:t>
      </w:r>
      <w:r>
        <w:rPr>
          <w:rFonts w:eastAsia="Times New Roman"/>
          <w:spacing w:val="-1"/>
          <w:sz w:val="16"/>
          <w:szCs w:val="16"/>
        </w:rPr>
        <w:t xml:space="preserve"> Subjects</w:t>
      </w:r>
      <w:r>
        <w:rPr>
          <w:rFonts w:eastAsia="Times New Roman"/>
          <w:spacing w:val="-2"/>
          <w:sz w:val="16"/>
          <w:szCs w:val="16"/>
        </w:rPr>
        <w:t xml:space="preserve"> </w:t>
      </w:r>
      <w:r>
        <w:rPr>
          <w:rFonts w:eastAsia="Times New Roman"/>
          <w:spacing w:val="-1"/>
          <w:sz w:val="16"/>
          <w:szCs w:val="16"/>
        </w:rPr>
        <w:t>treated</w:t>
      </w:r>
      <w:r>
        <w:rPr>
          <w:rFonts w:eastAsia="Times New Roman"/>
          <w:spacing w:val="2"/>
          <w:sz w:val="16"/>
          <w:szCs w:val="16"/>
        </w:rPr>
        <w:t xml:space="preserve"> </w:t>
      </w:r>
      <w:r>
        <w:rPr>
          <w:rFonts w:eastAsia="Times New Roman"/>
          <w:spacing w:val="-2"/>
          <w:sz w:val="16"/>
          <w:szCs w:val="16"/>
        </w:rPr>
        <w:t>with</w:t>
      </w:r>
      <w:r>
        <w:rPr>
          <w:rFonts w:eastAsia="Times New Roman"/>
          <w:spacing w:val="2"/>
          <w:sz w:val="16"/>
          <w:szCs w:val="16"/>
        </w:rPr>
        <w:t xml:space="preserve"> </w:t>
      </w:r>
      <w:r>
        <w:rPr>
          <w:rFonts w:eastAsia="Times New Roman"/>
          <w:spacing w:val="-1"/>
          <w:sz w:val="16"/>
          <w:szCs w:val="16"/>
        </w:rPr>
        <w:t>lenalidomide</w:t>
      </w:r>
      <w:r>
        <w:rPr>
          <w:rFonts w:eastAsia="Times New Roman"/>
          <w:spacing w:val="-4"/>
          <w:sz w:val="16"/>
          <w:szCs w:val="16"/>
        </w:rPr>
        <w:t xml:space="preserve"> </w:t>
      </w:r>
      <w:r>
        <w:rPr>
          <w:rFonts w:eastAsia="Times New Roman"/>
          <w:sz w:val="16"/>
          <w:szCs w:val="16"/>
        </w:rPr>
        <w:t>5</w:t>
      </w:r>
      <w:r>
        <w:rPr>
          <w:rFonts w:eastAsia="Times New Roman"/>
          <w:spacing w:val="2"/>
          <w:sz w:val="16"/>
          <w:szCs w:val="16"/>
        </w:rPr>
        <w:t xml:space="preserve"> </w:t>
      </w:r>
      <w:r>
        <w:rPr>
          <w:rFonts w:eastAsia="Times New Roman"/>
          <w:sz w:val="16"/>
          <w:szCs w:val="16"/>
        </w:rPr>
        <w:t>mg</w:t>
      </w:r>
      <w:r>
        <w:rPr>
          <w:rFonts w:eastAsia="Times New Roman"/>
          <w:spacing w:val="-1"/>
          <w:sz w:val="16"/>
          <w:szCs w:val="16"/>
        </w:rPr>
        <w:t xml:space="preserve"> </w:t>
      </w:r>
      <w:r>
        <w:rPr>
          <w:rFonts w:eastAsia="Times New Roman"/>
          <w:spacing w:val="-2"/>
          <w:sz w:val="16"/>
          <w:szCs w:val="16"/>
        </w:rPr>
        <w:t>on</w:t>
      </w:r>
      <w:r>
        <w:rPr>
          <w:rFonts w:eastAsia="Times New Roman"/>
          <w:spacing w:val="-1"/>
          <w:sz w:val="16"/>
          <w:szCs w:val="16"/>
        </w:rPr>
        <w:t xml:space="preserve"> </w:t>
      </w:r>
      <w:r>
        <w:rPr>
          <w:rFonts w:eastAsia="Times New Roman"/>
          <w:sz w:val="16"/>
          <w:szCs w:val="16"/>
        </w:rPr>
        <w:t>28</w:t>
      </w:r>
      <w:r>
        <w:rPr>
          <w:rFonts w:eastAsia="Times New Roman"/>
          <w:spacing w:val="-1"/>
          <w:sz w:val="16"/>
          <w:szCs w:val="16"/>
        </w:rPr>
        <w:t xml:space="preserve"> </w:t>
      </w:r>
      <w:r>
        <w:rPr>
          <w:rFonts w:eastAsia="Times New Roman"/>
          <w:spacing w:val="-2"/>
          <w:sz w:val="16"/>
          <w:szCs w:val="16"/>
        </w:rPr>
        <w:t>days</w:t>
      </w:r>
      <w:r>
        <w:rPr>
          <w:rFonts w:eastAsia="Times New Roman"/>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28-day</w:t>
      </w:r>
      <w:r>
        <w:rPr>
          <w:rFonts w:eastAsia="Times New Roman"/>
          <w:spacing w:val="-3"/>
          <w:sz w:val="16"/>
          <w:szCs w:val="16"/>
        </w:rPr>
        <w:t xml:space="preserve"> </w:t>
      </w:r>
      <w:r>
        <w:rPr>
          <w:rFonts w:eastAsia="Times New Roman"/>
          <w:spacing w:val="-1"/>
          <w:sz w:val="16"/>
          <w:szCs w:val="16"/>
        </w:rPr>
        <w:t>cycles</w:t>
      </w:r>
    </w:p>
    <w:p w:rsidR="00F72327" w:rsidRDefault="00F72327" w:rsidP="00B2301B">
      <w:pPr>
        <w:shd w:val="clear" w:color="auto" w:fill="FDE9D9" w:themeFill="accent6" w:themeFillTint="33"/>
        <w:ind w:right="564"/>
        <w:rPr>
          <w:rFonts w:eastAsia="Times New Roman"/>
          <w:sz w:val="16"/>
          <w:szCs w:val="16"/>
        </w:rPr>
      </w:pPr>
      <w:r>
        <w:rPr>
          <w:sz w:val="16"/>
        </w:rPr>
        <w:t>*</w:t>
      </w:r>
      <w:r>
        <w:rPr>
          <w:spacing w:val="-1"/>
          <w:sz w:val="16"/>
        </w:rPr>
        <w:t xml:space="preserve"> The majority</w:t>
      </w:r>
      <w:r>
        <w:rPr>
          <w:spacing w:val="-3"/>
          <w:sz w:val="16"/>
        </w:rPr>
        <w:t xml:space="preserve"> </w:t>
      </w:r>
      <w:r>
        <w:rPr>
          <w:spacing w:val="-1"/>
          <w:sz w:val="16"/>
        </w:rPr>
        <w:t>of</w:t>
      </w:r>
      <w:r>
        <w:rPr>
          <w:sz w:val="16"/>
        </w:rPr>
        <w:t xml:space="preserve"> </w:t>
      </w:r>
      <w:r>
        <w:rPr>
          <w:spacing w:val="-1"/>
          <w:sz w:val="16"/>
        </w:rPr>
        <w:t>patients</w:t>
      </w:r>
      <w:r>
        <w:rPr>
          <w:sz w:val="16"/>
        </w:rPr>
        <w:t xml:space="preserve"> </w:t>
      </w:r>
      <w:r>
        <w:rPr>
          <w:spacing w:val="-1"/>
          <w:sz w:val="16"/>
        </w:rPr>
        <w:t>on placebo</w:t>
      </w:r>
      <w:r>
        <w:rPr>
          <w:spacing w:val="-3"/>
          <w:sz w:val="16"/>
        </w:rPr>
        <w:t xml:space="preserve"> </w:t>
      </w:r>
      <w:r>
        <w:rPr>
          <w:spacing w:val="-1"/>
          <w:sz w:val="16"/>
        </w:rPr>
        <w:t>discontinued the double-blind treatment</w:t>
      </w:r>
      <w:r>
        <w:rPr>
          <w:spacing w:val="1"/>
          <w:sz w:val="16"/>
        </w:rPr>
        <w:t xml:space="preserve"> </w:t>
      </w:r>
      <w:r>
        <w:rPr>
          <w:spacing w:val="-1"/>
          <w:sz w:val="16"/>
        </w:rPr>
        <w:t>for</w:t>
      </w:r>
      <w:r>
        <w:rPr>
          <w:sz w:val="16"/>
        </w:rPr>
        <w:t xml:space="preserve"> </w:t>
      </w:r>
      <w:r>
        <w:rPr>
          <w:spacing w:val="-1"/>
          <w:sz w:val="16"/>
        </w:rPr>
        <w:t>lack</w:t>
      </w:r>
      <w:r>
        <w:rPr>
          <w:spacing w:val="2"/>
          <w:sz w:val="16"/>
        </w:rPr>
        <w:t xml:space="preserve"> </w:t>
      </w:r>
      <w:r>
        <w:rPr>
          <w:spacing w:val="-1"/>
          <w:sz w:val="16"/>
        </w:rPr>
        <w:t>of</w:t>
      </w:r>
      <w:r>
        <w:rPr>
          <w:sz w:val="16"/>
        </w:rPr>
        <w:t xml:space="preserve"> </w:t>
      </w:r>
      <w:r>
        <w:rPr>
          <w:spacing w:val="-1"/>
          <w:sz w:val="16"/>
        </w:rPr>
        <w:t>efficacy</w:t>
      </w:r>
      <w:r>
        <w:rPr>
          <w:spacing w:val="-3"/>
          <w:sz w:val="16"/>
        </w:rPr>
        <w:t xml:space="preserve"> </w:t>
      </w:r>
      <w:r>
        <w:rPr>
          <w:spacing w:val="-1"/>
          <w:sz w:val="16"/>
        </w:rPr>
        <w:t>after</w:t>
      </w:r>
      <w:r>
        <w:rPr>
          <w:sz w:val="16"/>
        </w:rPr>
        <w:t xml:space="preserve"> 16</w:t>
      </w:r>
      <w:r>
        <w:rPr>
          <w:spacing w:val="-1"/>
          <w:sz w:val="16"/>
        </w:rPr>
        <w:t xml:space="preserve"> weeks</w:t>
      </w:r>
      <w:r>
        <w:rPr>
          <w:sz w:val="16"/>
        </w:rPr>
        <w:t xml:space="preserve"> </w:t>
      </w:r>
      <w:r>
        <w:rPr>
          <w:spacing w:val="-1"/>
          <w:sz w:val="16"/>
        </w:rPr>
        <w:t>of</w:t>
      </w:r>
      <w:r>
        <w:rPr>
          <w:sz w:val="16"/>
        </w:rPr>
        <w:t xml:space="preserve"> </w:t>
      </w:r>
      <w:r>
        <w:rPr>
          <w:spacing w:val="-1"/>
          <w:sz w:val="16"/>
        </w:rPr>
        <w:t xml:space="preserve">treatment before entering </w:t>
      </w:r>
      <w:r>
        <w:rPr>
          <w:sz w:val="16"/>
        </w:rPr>
        <w:t>the</w:t>
      </w:r>
      <w:r>
        <w:rPr>
          <w:spacing w:val="95"/>
          <w:sz w:val="16"/>
        </w:rPr>
        <w:t xml:space="preserve"> </w:t>
      </w:r>
      <w:r>
        <w:rPr>
          <w:spacing w:val="-1"/>
          <w:sz w:val="16"/>
        </w:rPr>
        <w:t>open-label phase</w:t>
      </w:r>
    </w:p>
    <w:p w:rsidR="00F72327" w:rsidRDefault="00F72327" w:rsidP="00B2301B">
      <w:pPr>
        <w:shd w:val="clear" w:color="auto" w:fill="FDE9D9" w:themeFill="accent6" w:themeFillTint="33"/>
        <w:spacing w:line="182" w:lineRule="exact"/>
        <w:rPr>
          <w:rFonts w:eastAsia="Times New Roman"/>
          <w:sz w:val="16"/>
          <w:szCs w:val="16"/>
        </w:rPr>
      </w:pPr>
      <w:r>
        <w:rPr>
          <w:rFonts w:eastAsia="Times New Roman"/>
          <w:spacing w:val="-1"/>
          <w:position w:val="6"/>
          <w:sz w:val="10"/>
          <w:szCs w:val="10"/>
        </w:rPr>
        <w:t>#</w:t>
      </w:r>
      <w:r>
        <w:rPr>
          <w:rFonts w:eastAsia="Times New Roman"/>
          <w:spacing w:val="-1"/>
          <w:sz w:val="16"/>
          <w:szCs w:val="16"/>
        </w:rPr>
        <w:t>Associated</w:t>
      </w:r>
      <w:r>
        <w:rPr>
          <w:rFonts w:eastAsia="Times New Roman"/>
          <w:spacing w:val="2"/>
          <w:sz w:val="16"/>
          <w:szCs w:val="16"/>
        </w:rPr>
        <w:t xml:space="preserve"> </w:t>
      </w:r>
      <w:r>
        <w:rPr>
          <w:rFonts w:eastAsia="Times New Roman"/>
          <w:spacing w:val="-1"/>
          <w:sz w:val="16"/>
          <w:szCs w:val="16"/>
        </w:rPr>
        <w:t>with an increase</w:t>
      </w:r>
      <w:r>
        <w:rPr>
          <w:rFonts w:eastAsia="Times New Roman"/>
          <w:spacing w:val="-2"/>
          <w:sz w:val="16"/>
          <w:szCs w:val="16"/>
        </w:rPr>
        <w:t xml:space="preserve"> </w:t>
      </w:r>
      <w:r>
        <w:rPr>
          <w:rFonts w:eastAsia="Times New Roman"/>
          <w:sz w:val="16"/>
          <w:szCs w:val="16"/>
        </w:rPr>
        <w:t>in</w:t>
      </w:r>
      <w:r>
        <w:rPr>
          <w:rFonts w:eastAsia="Times New Roman"/>
          <w:spacing w:val="-1"/>
          <w:sz w:val="16"/>
          <w:szCs w:val="16"/>
        </w:rPr>
        <w:t xml:space="preserve"> Hgb</w:t>
      </w:r>
      <w:r>
        <w:rPr>
          <w:rFonts w:eastAsia="Times New Roman"/>
          <w:spacing w:val="2"/>
          <w:sz w:val="16"/>
          <w:szCs w:val="16"/>
        </w:rPr>
        <w:t xml:space="preserve"> </w:t>
      </w:r>
      <w:r>
        <w:rPr>
          <w:rFonts w:eastAsia="Times New Roman"/>
          <w:spacing w:val="-2"/>
          <w:sz w:val="16"/>
          <w:szCs w:val="16"/>
        </w:rPr>
        <w:t>of</w:t>
      </w:r>
      <w:r>
        <w:rPr>
          <w:rFonts w:eastAsia="Times New Roman"/>
          <w:sz w:val="16"/>
          <w:szCs w:val="16"/>
        </w:rPr>
        <w:t xml:space="preserve"> ≥</w:t>
      </w:r>
      <w:r>
        <w:rPr>
          <w:rFonts w:eastAsia="Times New Roman"/>
          <w:spacing w:val="-2"/>
          <w:sz w:val="16"/>
          <w:szCs w:val="16"/>
        </w:rPr>
        <w:t xml:space="preserve"> </w:t>
      </w:r>
      <w:r>
        <w:rPr>
          <w:rFonts w:eastAsia="Times New Roman"/>
          <w:sz w:val="16"/>
          <w:szCs w:val="16"/>
        </w:rPr>
        <w:t>1g/dL</w:t>
      </w:r>
    </w:p>
    <w:p w:rsidR="00F72327" w:rsidRDefault="00F72327" w:rsidP="00B2301B">
      <w:pPr>
        <w:shd w:val="clear" w:color="auto" w:fill="FDE9D9" w:themeFill="accent6" w:themeFillTint="33"/>
        <w:spacing w:before="1"/>
        <w:rPr>
          <w:rFonts w:eastAsia="Times New Roman"/>
          <w:sz w:val="16"/>
          <w:szCs w:val="16"/>
        </w:rPr>
      </w:pPr>
      <w:r>
        <w:rPr>
          <w:rFonts w:eastAsia="Times New Roman"/>
          <w:sz w:val="16"/>
          <w:szCs w:val="16"/>
        </w:rPr>
        <w:t>∞</w:t>
      </w:r>
      <w:r>
        <w:rPr>
          <w:rFonts w:eastAsia="Times New Roman"/>
          <w:spacing w:val="1"/>
          <w:sz w:val="16"/>
          <w:szCs w:val="16"/>
        </w:rPr>
        <w:t xml:space="preserve"> </w:t>
      </w:r>
      <w:r>
        <w:rPr>
          <w:rFonts w:eastAsia="Times New Roman"/>
          <w:spacing w:val="-1"/>
          <w:sz w:val="16"/>
          <w:szCs w:val="16"/>
        </w:rPr>
        <w:t>Not</w:t>
      </w:r>
      <w:r>
        <w:rPr>
          <w:rFonts w:eastAsia="Times New Roman"/>
          <w:spacing w:val="1"/>
          <w:sz w:val="16"/>
          <w:szCs w:val="16"/>
        </w:rPr>
        <w:t xml:space="preserve"> </w:t>
      </w:r>
      <w:r>
        <w:rPr>
          <w:rFonts w:eastAsia="Times New Roman"/>
          <w:spacing w:val="-1"/>
          <w:sz w:val="16"/>
          <w:szCs w:val="16"/>
        </w:rPr>
        <w:t>reached</w:t>
      </w:r>
      <w:r>
        <w:rPr>
          <w:rFonts w:eastAsia="Times New Roman"/>
          <w:spacing w:val="2"/>
          <w:sz w:val="16"/>
          <w:szCs w:val="16"/>
        </w:rPr>
        <w:t xml:space="preserve"> </w:t>
      </w:r>
      <w:r>
        <w:rPr>
          <w:rFonts w:eastAsia="Times New Roman"/>
          <w:spacing w:val="-1"/>
          <w:sz w:val="16"/>
          <w:szCs w:val="16"/>
        </w:rPr>
        <w:t>(i.e.</w:t>
      </w:r>
      <w:r>
        <w:rPr>
          <w:rFonts w:eastAsia="Times New Roman"/>
          <w:spacing w:val="1"/>
          <w:sz w:val="16"/>
          <w:szCs w:val="16"/>
        </w:rPr>
        <w:t xml:space="preserve"> </w:t>
      </w:r>
      <w:r>
        <w:rPr>
          <w:rFonts w:eastAsia="Times New Roman"/>
          <w:spacing w:val="-1"/>
          <w:sz w:val="16"/>
          <w:szCs w:val="16"/>
        </w:rPr>
        <w:t>the median</w:t>
      </w:r>
      <w:r>
        <w:rPr>
          <w:rFonts w:eastAsia="Times New Roman"/>
          <w:spacing w:val="2"/>
          <w:sz w:val="16"/>
          <w:szCs w:val="16"/>
        </w:rPr>
        <w:t xml:space="preserve"> </w:t>
      </w:r>
      <w:r>
        <w:rPr>
          <w:rFonts w:eastAsia="Times New Roman"/>
          <w:spacing w:val="-1"/>
          <w:sz w:val="16"/>
          <w:szCs w:val="16"/>
        </w:rPr>
        <w:t>was</w:t>
      </w:r>
      <w:r>
        <w:rPr>
          <w:rFonts w:eastAsia="Times New Roman"/>
          <w:sz w:val="16"/>
          <w:szCs w:val="16"/>
        </w:rPr>
        <w:t xml:space="preserve"> </w:t>
      </w:r>
      <w:r>
        <w:rPr>
          <w:rFonts w:eastAsia="Times New Roman"/>
          <w:spacing w:val="-1"/>
          <w:sz w:val="16"/>
          <w:szCs w:val="16"/>
        </w:rPr>
        <w:t>not</w:t>
      </w:r>
      <w:r>
        <w:rPr>
          <w:rFonts w:eastAsia="Times New Roman"/>
          <w:spacing w:val="1"/>
          <w:sz w:val="16"/>
          <w:szCs w:val="16"/>
        </w:rPr>
        <w:t xml:space="preserve"> </w:t>
      </w:r>
      <w:r>
        <w:rPr>
          <w:rFonts w:eastAsia="Times New Roman"/>
          <w:spacing w:val="-1"/>
          <w:sz w:val="16"/>
          <w:szCs w:val="16"/>
        </w:rPr>
        <w:t>reached)</w:t>
      </w:r>
    </w:p>
    <w:p w:rsidR="00F72327" w:rsidRDefault="00F72327" w:rsidP="00514498">
      <w:pPr>
        <w:spacing w:before="8"/>
        <w:rPr>
          <w:rFonts w:eastAsia="Times New Roman"/>
          <w:sz w:val="21"/>
          <w:szCs w:val="21"/>
        </w:rPr>
      </w:pPr>
    </w:p>
    <w:p w:rsidR="00F72327" w:rsidRDefault="00F72327" w:rsidP="00B2301B">
      <w:pPr>
        <w:pStyle w:val="BodyText"/>
        <w:shd w:val="clear" w:color="auto" w:fill="FDE9D9" w:themeFill="accent6" w:themeFillTint="33"/>
        <w:ind w:right="515"/>
      </w:pPr>
      <w:r>
        <w:rPr>
          <w:spacing w:val="-3"/>
        </w:rPr>
        <w:t>In</w:t>
      </w:r>
      <w:r>
        <w:t xml:space="preserve"> </w:t>
      </w:r>
      <w:r>
        <w:rPr>
          <w:spacing w:val="-1"/>
        </w:rPr>
        <w:t>MDS-004,</w:t>
      </w:r>
      <w:r>
        <w:t xml:space="preserve"> a </w:t>
      </w:r>
      <w:r>
        <w:rPr>
          <w:spacing w:val="-1"/>
        </w:rPr>
        <w:t>significant</w:t>
      </w:r>
      <w:r>
        <w:rPr>
          <w:spacing w:val="1"/>
        </w:rPr>
        <w:t xml:space="preserve"> </w:t>
      </w:r>
      <w:r>
        <w:rPr>
          <w:spacing w:val="-1"/>
        </w:rPr>
        <w:t>larger</w:t>
      </w:r>
      <w:r>
        <w:rPr>
          <w:spacing w:val="1"/>
        </w:rPr>
        <w:t xml:space="preserve"> </w:t>
      </w:r>
      <w:r>
        <w:rPr>
          <w:spacing w:val="-1"/>
        </w:rPr>
        <w:t>proportion</w:t>
      </w:r>
      <w:r>
        <w:t xml:space="preserve"> </w:t>
      </w:r>
      <w:r>
        <w:rPr>
          <w:spacing w:val="-2"/>
        </w:rPr>
        <w:t>of</w:t>
      </w:r>
      <w:r>
        <w:rPr>
          <w:spacing w:val="1"/>
        </w:rPr>
        <w:t xml:space="preserve"> </w:t>
      </w:r>
      <w:r>
        <w:rPr>
          <w:spacing w:val="-1"/>
        </w:rPr>
        <w:t>patients</w:t>
      </w:r>
      <w:r>
        <w:rPr>
          <w:spacing w:val="-2"/>
        </w:rPr>
        <w:t xml:space="preserve"> </w:t>
      </w:r>
      <w:r>
        <w:t xml:space="preserve">with </w:t>
      </w:r>
      <w:r>
        <w:rPr>
          <w:spacing w:val="-1"/>
        </w:rPr>
        <w:t>myelodysplastic</w:t>
      </w:r>
      <w:r>
        <w:rPr>
          <w:spacing w:val="-2"/>
        </w:rPr>
        <w:t xml:space="preserve"> </w:t>
      </w:r>
      <w:r>
        <w:rPr>
          <w:spacing w:val="-1"/>
        </w:rPr>
        <w:t>syndromes</w:t>
      </w:r>
      <w:r>
        <w:t xml:space="preserve"> </w:t>
      </w:r>
      <w:r>
        <w:rPr>
          <w:spacing w:val="-1"/>
        </w:rPr>
        <w:t>achieved</w:t>
      </w:r>
      <w:r>
        <w:t xml:space="preserve"> the</w:t>
      </w:r>
      <w:r>
        <w:rPr>
          <w:spacing w:val="81"/>
        </w:rPr>
        <w:t xml:space="preserve"> </w:t>
      </w:r>
      <w:r>
        <w:rPr>
          <w:spacing w:val="-1"/>
        </w:rPr>
        <w:t>primary</w:t>
      </w:r>
      <w:r>
        <w:rPr>
          <w:spacing w:val="-3"/>
        </w:rPr>
        <w:t xml:space="preserve"> </w:t>
      </w:r>
      <w:r>
        <w:rPr>
          <w:spacing w:val="-1"/>
        </w:rPr>
        <w:t>endpoint</w:t>
      </w:r>
      <w:r>
        <w:rPr>
          <w:spacing w:val="1"/>
        </w:rPr>
        <w:t xml:space="preserve"> </w:t>
      </w:r>
      <w:r>
        <w:rPr>
          <w:spacing w:val="-2"/>
        </w:rPr>
        <w:t>of</w:t>
      </w:r>
      <w:r>
        <w:rPr>
          <w:spacing w:val="1"/>
        </w:rPr>
        <w:t xml:space="preserve"> </w:t>
      </w:r>
      <w:r>
        <w:rPr>
          <w:spacing w:val="-1"/>
        </w:rPr>
        <w:t>transfusion</w:t>
      </w:r>
      <w:r>
        <w:rPr>
          <w:spacing w:val="-2"/>
        </w:rPr>
        <w:t xml:space="preserve"> </w:t>
      </w:r>
      <w:r>
        <w:rPr>
          <w:spacing w:val="-1"/>
        </w:rPr>
        <w:t>independence</w:t>
      </w:r>
      <w:r>
        <w:rPr>
          <w:spacing w:val="-2"/>
        </w:rPr>
        <w:t xml:space="preserve"> </w:t>
      </w:r>
      <w:r>
        <w:rPr>
          <w:spacing w:val="-1"/>
        </w:rPr>
        <w:t>(&gt;182</w:t>
      </w:r>
      <w:r>
        <w:t xml:space="preserve"> </w:t>
      </w:r>
      <w:r>
        <w:rPr>
          <w:spacing w:val="-2"/>
        </w:rPr>
        <w:t>days)</w:t>
      </w:r>
      <w:r>
        <w:rPr>
          <w:spacing w:val="1"/>
        </w:rPr>
        <w:t xml:space="preserve"> </w:t>
      </w:r>
      <w:r>
        <w:t xml:space="preserve">on </w:t>
      </w:r>
      <w:r>
        <w:rPr>
          <w:spacing w:val="-1"/>
        </w:rPr>
        <w:t>lenalidomide</w:t>
      </w:r>
      <w:r>
        <w:t xml:space="preserve"> </w:t>
      </w:r>
      <w:r>
        <w:rPr>
          <w:spacing w:val="-2"/>
        </w:rPr>
        <w:t>10</w:t>
      </w:r>
      <w:r>
        <w:t xml:space="preserve"> </w:t>
      </w:r>
      <w:r>
        <w:rPr>
          <w:spacing w:val="-2"/>
        </w:rPr>
        <w:t>mg</w:t>
      </w:r>
      <w:r>
        <w:t xml:space="preserve"> </w:t>
      </w:r>
      <w:r>
        <w:rPr>
          <w:spacing w:val="-1"/>
        </w:rPr>
        <w:t>compared</w:t>
      </w:r>
      <w:r>
        <w:t xml:space="preserve"> </w:t>
      </w:r>
      <w:r>
        <w:rPr>
          <w:spacing w:val="-1"/>
        </w:rPr>
        <w:t>with</w:t>
      </w:r>
      <w:r>
        <w:t xml:space="preserve"> </w:t>
      </w:r>
      <w:r>
        <w:rPr>
          <w:spacing w:val="-1"/>
        </w:rPr>
        <w:t>placebo</w:t>
      </w:r>
      <w:r>
        <w:rPr>
          <w:spacing w:val="93"/>
        </w:rPr>
        <w:t xml:space="preserve"> </w:t>
      </w:r>
      <w:r>
        <w:rPr>
          <w:spacing w:val="-1"/>
        </w:rPr>
        <w:t>(55.1%</w:t>
      </w:r>
      <w:r>
        <w:rPr>
          <w:spacing w:val="1"/>
        </w:rPr>
        <w:t xml:space="preserve"> </w:t>
      </w:r>
      <w:r>
        <w:rPr>
          <w:spacing w:val="-1"/>
        </w:rPr>
        <w:t>vs.</w:t>
      </w:r>
      <w:r>
        <w:t xml:space="preserve"> </w:t>
      </w:r>
      <w:r>
        <w:rPr>
          <w:spacing w:val="-1"/>
        </w:rPr>
        <w:t>6.0%).</w:t>
      </w:r>
      <w:r>
        <w:t xml:space="preserve"> </w:t>
      </w:r>
      <w:r>
        <w:rPr>
          <w:spacing w:val="-2"/>
        </w:rPr>
        <w:t>Amongst</w:t>
      </w:r>
      <w:r>
        <w:rPr>
          <w:spacing w:val="1"/>
        </w:rPr>
        <w:t xml:space="preserve"> </w:t>
      </w:r>
      <w:r>
        <w:t>the 47</w:t>
      </w:r>
      <w:r>
        <w:rPr>
          <w:spacing w:val="-3"/>
        </w:rPr>
        <w:t xml:space="preserve"> </w:t>
      </w:r>
      <w:r>
        <w:rPr>
          <w:spacing w:val="-1"/>
        </w:rPr>
        <w:t>patients</w:t>
      </w:r>
      <w:r>
        <w:rPr>
          <w:spacing w:val="-2"/>
        </w:rPr>
        <w:t xml:space="preserve"> </w:t>
      </w:r>
      <w:r>
        <w:rPr>
          <w:spacing w:val="-1"/>
        </w:rPr>
        <w:t>with</w:t>
      </w:r>
      <w:r>
        <w:t xml:space="preserve"> an</w:t>
      </w:r>
      <w:r>
        <w:rPr>
          <w:spacing w:val="-3"/>
        </w:rPr>
        <w:t xml:space="preserve"> </w:t>
      </w:r>
      <w:r>
        <w:rPr>
          <w:spacing w:val="-1"/>
        </w:rPr>
        <w:t>isolated</w:t>
      </w:r>
      <w:r>
        <w:t xml:space="preserve"> </w:t>
      </w:r>
      <w:r>
        <w:rPr>
          <w:spacing w:val="-2"/>
        </w:rPr>
        <w:t>Del</w:t>
      </w:r>
      <w:r>
        <w:rPr>
          <w:spacing w:val="-1"/>
        </w:rPr>
        <w:t xml:space="preserve"> </w:t>
      </w:r>
      <w:r>
        <w:t>(5q)</w:t>
      </w:r>
      <w:r>
        <w:rPr>
          <w:spacing w:val="-2"/>
        </w:rPr>
        <w:t xml:space="preserve"> </w:t>
      </w:r>
      <w:r>
        <w:rPr>
          <w:spacing w:val="-1"/>
        </w:rPr>
        <w:t>cytogenetic</w:t>
      </w:r>
      <w:r>
        <w:t xml:space="preserve"> </w:t>
      </w:r>
      <w:r>
        <w:rPr>
          <w:spacing w:val="-1"/>
        </w:rPr>
        <w:t>abnormality</w:t>
      </w:r>
      <w:r>
        <w:rPr>
          <w:spacing w:val="-2"/>
        </w:rPr>
        <w:t xml:space="preserve"> </w:t>
      </w:r>
      <w:r>
        <w:t xml:space="preserve">and </w:t>
      </w:r>
      <w:r>
        <w:rPr>
          <w:spacing w:val="-1"/>
        </w:rPr>
        <w:t>treated</w:t>
      </w:r>
      <w:r>
        <w:rPr>
          <w:spacing w:val="79"/>
        </w:rPr>
        <w:t xml:space="preserve"> </w:t>
      </w:r>
      <w:r>
        <w:rPr>
          <w:spacing w:val="-1"/>
        </w:rPr>
        <w:t>with</w:t>
      </w:r>
      <w:r>
        <w:rPr>
          <w:spacing w:val="-3"/>
        </w:rPr>
        <w:t xml:space="preserve"> </w:t>
      </w:r>
      <w:r>
        <w:rPr>
          <w:spacing w:val="-1"/>
        </w:rPr>
        <w:t>lenalidomide</w:t>
      </w:r>
      <w:r>
        <w:t xml:space="preserve"> 10 </w:t>
      </w:r>
      <w:r>
        <w:rPr>
          <w:spacing w:val="-3"/>
        </w:rPr>
        <w:t>mg,</w:t>
      </w:r>
      <w:r>
        <w:t xml:space="preserve"> </w:t>
      </w:r>
      <w:r>
        <w:rPr>
          <w:spacing w:val="1"/>
        </w:rPr>
        <w:t>27</w:t>
      </w:r>
      <w:r>
        <w:t xml:space="preserve"> </w:t>
      </w:r>
      <w:r>
        <w:rPr>
          <w:spacing w:val="-1"/>
        </w:rPr>
        <w:t>patients</w:t>
      </w:r>
      <w:r>
        <w:rPr>
          <w:spacing w:val="-2"/>
        </w:rPr>
        <w:t xml:space="preserve"> </w:t>
      </w:r>
      <w:r>
        <w:rPr>
          <w:spacing w:val="-1"/>
        </w:rPr>
        <w:t>(57.4%)</w:t>
      </w:r>
      <w:r>
        <w:rPr>
          <w:spacing w:val="-2"/>
        </w:rPr>
        <w:t xml:space="preserve"> </w:t>
      </w:r>
      <w:r>
        <w:rPr>
          <w:spacing w:val="-1"/>
        </w:rPr>
        <w:t>achieved</w:t>
      </w:r>
      <w:r>
        <w:rPr>
          <w:spacing w:val="-3"/>
        </w:rPr>
        <w:t xml:space="preserve"> </w:t>
      </w:r>
      <w:r>
        <w:t xml:space="preserve">red </w:t>
      </w:r>
      <w:r>
        <w:rPr>
          <w:spacing w:val="-1"/>
        </w:rPr>
        <w:t>blood</w:t>
      </w:r>
      <w:r>
        <w:rPr>
          <w:spacing w:val="-2"/>
        </w:rPr>
        <w:t xml:space="preserve"> </w:t>
      </w:r>
      <w:r>
        <w:rPr>
          <w:spacing w:val="-1"/>
        </w:rPr>
        <w:t>cell transfusion</w:t>
      </w:r>
      <w:r>
        <w:t xml:space="preserve"> </w:t>
      </w:r>
      <w:r>
        <w:rPr>
          <w:spacing w:val="-1"/>
        </w:rPr>
        <w:t>independence.</w:t>
      </w:r>
    </w:p>
    <w:p w:rsidR="00F72327" w:rsidRDefault="00F72327" w:rsidP="00B2301B">
      <w:pPr>
        <w:shd w:val="clear" w:color="auto" w:fill="FDE9D9" w:themeFill="accent6" w:themeFillTint="33"/>
        <w:spacing w:before="9"/>
        <w:rPr>
          <w:rFonts w:eastAsia="Times New Roman"/>
          <w:sz w:val="21"/>
          <w:szCs w:val="21"/>
        </w:rPr>
      </w:pPr>
    </w:p>
    <w:p w:rsidR="00F72327" w:rsidRDefault="00F72327" w:rsidP="00B2301B">
      <w:pPr>
        <w:pStyle w:val="BodyText"/>
        <w:shd w:val="clear" w:color="auto" w:fill="FDE9D9" w:themeFill="accent6" w:themeFillTint="33"/>
        <w:ind w:right="310"/>
      </w:pPr>
      <w:r>
        <w:t>The</w:t>
      </w:r>
      <w:r>
        <w:rPr>
          <w:spacing w:val="-2"/>
        </w:rPr>
        <w:t xml:space="preserve"> </w:t>
      </w:r>
      <w:r>
        <w:rPr>
          <w:spacing w:val="-1"/>
        </w:rPr>
        <w:t>median</w:t>
      </w:r>
      <w:r>
        <w:t xml:space="preserve"> </w:t>
      </w:r>
      <w:r>
        <w:rPr>
          <w:spacing w:val="-2"/>
        </w:rPr>
        <w:t>time</w:t>
      </w:r>
      <w:r>
        <w:t xml:space="preserve"> to </w:t>
      </w:r>
      <w:r>
        <w:rPr>
          <w:spacing w:val="-1"/>
        </w:rPr>
        <w:t>transfusion</w:t>
      </w:r>
      <w:r>
        <w:rPr>
          <w:spacing w:val="-2"/>
        </w:rPr>
        <w:t xml:space="preserve"> </w:t>
      </w:r>
      <w:r>
        <w:rPr>
          <w:spacing w:val="-1"/>
        </w:rPr>
        <w:t>independence</w:t>
      </w:r>
      <w:r>
        <w:rPr>
          <w:spacing w:val="-2"/>
        </w:rPr>
        <w:t xml:space="preserve"> </w:t>
      </w:r>
      <w:r>
        <w:t>in</w:t>
      </w:r>
      <w:r>
        <w:rPr>
          <w:spacing w:val="-2"/>
        </w:rPr>
        <w:t xml:space="preserve"> </w:t>
      </w:r>
      <w:r>
        <w:t>the</w:t>
      </w:r>
      <w:r>
        <w:rPr>
          <w:spacing w:val="-2"/>
        </w:rPr>
        <w:t xml:space="preserve"> </w:t>
      </w:r>
      <w:r>
        <w:rPr>
          <w:spacing w:val="-1"/>
        </w:rPr>
        <w:t>lenalidomide</w:t>
      </w:r>
      <w:r>
        <w:t xml:space="preserve"> 10 </w:t>
      </w:r>
      <w:r>
        <w:rPr>
          <w:spacing w:val="-2"/>
        </w:rPr>
        <w:t xml:space="preserve">mg </w:t>
      </w:r>
      <w:r>
        <w:rPr>
          <w:spacing w:val="1"/>
        </w:rPr>
        <w:t>arm</w:t>
      </w:r>
      <w:r>
        <w:rPr>
          <w:spacing w:val="-4"/>
        </w:rPr>
        <w:t xml:space="preserve"> </w:t>
      </w:r>
      <w:r>
        <w:rPr>
          <w:spacing w:val="-1"/>
        </w:rPr>
        <w:t>was</w:t>
      </w:r>
      <w:r>
        <w:t xml:space="preserve"> 4.6 </w:t>
      </w:r>
      <w:r>
        <w:rPr>
          <w:spacing w:val="-1"/>
        </w:rPr>
        <w:t>weeks.</w:t>
      </w:r>
      <w:r>
        <w:rPr>
          <w:spacing w:val="-2"/>
        </w:rPr>
        <w:t xml:space="preserve"> </w:t>
      </w:r>
      <w:r>
        <w:t xml:space="preserve">The </w:t>
      </w:r>
      <w:r>
        <w:rPr>
          <w:spacing w:val="-1"/>
        </w:rPr>
        <w:t>median</w:t>
      </w:r>
      <w:r>
        <w:rPr>
          <w:spacing w:val="71"/>
        </w:rPr>
        <w:t xml:space="preserve"> </w:t>
      </w:r>
      <w:r>
        <w:rPr>
          <w:spacing w:val="-1"/>
        </w:rPr>
        <w:t>duration</w:t>
      </w:r>
      <w:r>
        <w:rPr>
          <w:spacing w:val="-2"/>
        </w:rPr>
        <w:t xml:space="preserve"> </w:t>
      </w:r>
      <w:r>
        <w:t>of</w:t>
      </w:r>
      <w:r>
        <w:rPr>
          <w:spacing w:val="-2"/>
        </w:rPr>
        <w:t xml:space="preserve"> </w:t>
      </w:r>
      <w:r>
        <w:rPr>
          <w:spacing w:val="-1"/>
        </w:rPr>
        <w:t>transfusion</w:t>
      </w:r>
      <w:r>
        <w:rPr>
          <w:spacing w:val="-2"/>
        </w:rPr>
        <w:t xml:space="preserve"> </w:t>
      </w:r>
      <w:r>
        <w:rPr>
          <w:spacing w:val="-1"/>
        </w:rPr>
        <w:t>independence</w:t>
      </w:r>
      <w:r>
        <w:rPr>
          <w:spacing w:val="1"/>
        </w:rPr>
        <w:t xml:space="preserve"> </w:t>
      </w:r>
      <w:r>
        <w:rPr>
          <w:spacing w:val="-1"/>
        </w:rPr>
        <w:t>was</w:t>
      </w:r>
      <w:r>
        <w:rPr>
          <w:spacing w:val="-2"/>
        </w:rPr>
        <w:t xml:space="preserve"> </w:t>
      </w:r>
      <w:r>
        <w:t>not</w:t>
      </w:r>
      <w:r>
        <w:rPr>
          <w:spacing w:val="-1"/>
        </w:rPr>
        <w:t xml:space="preserve"> reached</w:t>
      </w:r>
      <w:r>
        <w:rPr>
          <w:spacing w:val="-3"/>
        </w:rPr>
        <w:t xml:space="preserve"> </w:t>
      </w:r>
      <w:r>
        <w:rPr>
          <w:spacing w:val="-1"/>
        </w:rPr>
        <w:t>in</w:t>
      </w:r>
      <w:r>
        <w:t xml:space="preserve"> any</w:t>
      </w:r>
      <w:r>
        <w:rPr>
          <w:spacing w:val="-3"/>
        </w:rPr>
        <w:t xml:space="preserve"> </w:t>
      </w:r>
      <w:r>
        <w:t>of</w:t>
      </w:r>
      <w:r>
        <w:rPr>
          <w:spacing w:val="1"/>
        </w:rPr>
        <w:t xml:space="preserve"> </w:t>
      </w:r>
      <w:r>
        <w:rPr>
          <w:spacing w:val="-1"/>
        </w:rPr>
        <w:t>the</w:t>
      </w:r>
      <w:r>
        <w:t xml:space="preserve"> </w:t>
      </w:r>
      <w:r>
        <w:rPr>
          <w:spacing w:val="-1"/>
        </w:rPr>
        <w:t>treatment</w:t>
      </w:r>
      <w:r>
        <w:rPr>
          <w:spacing w:val="1"/>
        </w:rPr>
        <w:t xml:space="preserve"> </w:t>
      </w:r>
      <w:r>
        <w:rPr>
          <w:spacing w:val="-1"/>
        </w:rPr>
        <w:t>arms</w:t>
      </w:r>
      <w:r>
        <w:t xml:space="preserve"> but</w:t>
      </w:r>
      <w:r>
        <w:rPr>
          <w:spacing w:val="1"/>
        </w:rPr>
        <w:t xml:space="preserve"> </w:t>
      </w:r>
      <w:r>
        <w:rPr>
          <w:spacing w:val="-1"/>
        </w:rPr>
        <w:t>should</w:t>
      </w:r>
      <w:r>
        <w:t xml:space="preserve"> </w:t>
      </w:r>
      <w:r>
        <w:rPr>
          <w:spacing w:val="-1"/>
        </w:rPr>
        <w:t>exceed</w:t>
      </w:r>
      <w:r>
        <w:t xml:space="preserve"> 2</w:t>
      </w:r>
      <w:r>
        <w:rPr>
          <w:spacing w:val="-2"/>
        </w:rPr>
        <w:t xml:space="preserve"> </w:t>
      </w:r>
      <w:r>
        <w:rPr>
          <w:spacing w:val="-1"/>
        </w:rPr>
        <w:t>years</w:t>
      </w:r>
      <w:r>
        <w:rPr>
          <w:spacing w:val="83"/>
        </w:rPr>
        <w:t xml:space="preserve"> </w:t>
      </w:r>
      <w:r>
        <w:t>for</w:t>
      </w:r>
      <w:r>
        <w:rPr>
          <w:spacing w:val="-2"/>
        </w:rPr>
        <w:t xml:space="preserve"> </w:t>
      </w:r>
      <w:r>
        <w:t>the</w:t>
      </w:r>
      <w:r>
        <w:rPr>
          <w:spacing w:val="-2"/>
        </w:rPr>
        <w:t xml:space="preserve"> </w:t>
      </w:r>
      <w:r>
        <w:rPr>
          <w:spacing w:val="-1"/>
        </w:rPr>
        <w:t>lenalidomide-treated</w:t>
      </w:r>
      <w:r>
        <w:rPr>
          <w:spacing w:val="-3"/>
        </w:rPr>
        <w:t xml:space="preserve"> </w:t>
      </w:r>
      <w:r>
        <w:rPr>
          <w:spacing w:val="-1"/>
        </w:rPr>
        <w:t>subjects.</w:t>
      </w:r>
      <w:r>
        <w:rPr>
          <w:spacing w:val="-3"/>
        </w:rPr>
        <w:t xml:space="preserve"> </w:t>
      </w:r>
      <w:r>
        <w:t>The</w:t>
      </w:r>
      <w:r>
        <w:rPr>
          <w:spacing w:val="1"/>
        </w:rPr>
        <w:t xml:space="preserve"> </w:t>
      </w:r>
      <w:r>
        <w:rPr>
          <w:spacing w:val="-1"/>
        </w:rPr>
        <w:t>median</w:t>
      </w:r>
      <w:r>
        <w:t xml:space="preserve"> </w:t>
      </w:r>
      <w:r>
        <w:rPr>
          <w:spacing w:val="-1"/>
        </w:rPr>
        <w:t>increase</w:t>
      </w:r>
      <w:r>
        <w:rPr>
          <w:spacing w:val="-2"/>
        </w:rPr>
        <w:t xml:space="preserve"> </w:t>
      </w:r>
      <w:r>
        <w:t xml:space="preserve">in </w:t>
      </w:r>
      <w:r>
        <w:rPr>
          <w:spacing w:val="-1"/>
        </w:rPr>
        <w:t>haemoglobin</w:t>
      </w:r>
      <w:r>
        <w:t xml:space="preserve"> </w:t>
      </w:r>
      <w:r>
        <w:rPr>
          <w:spacing w:val="-1"/>
        </w:rPr>
        <w:t>(Hgb)</w:t>
      </w:r>
      <w:r>
        <w:rPr>
          <w:spacing w:val="1"/>
        </w:rPr>
        <w:t xml:space="preserve"> </w:t>
      </w:r>
      <w:r>
        <w:rPr>
          <w:spacing w:val="-1"/>
        </w:rPr>
        <w:t>from</w:t>
      </w:r>
      <w:r>
        <w:rPr>
          <w:spacing w:val="-4"/>
        </w:rPr>
        <w:t xml:space="preserve"> </w:t>
      </w:r>
      <w:r>
        <w:rPr>
          <w:spacing w:val="-1"/>
        </w:rPr>
        <w:t>baseline</w:t>
      </w:r>
      <w:r>
        <w:rPr>
          <w:spacing w:val="-2"/>
        </w:rPr>
        <w:t xml:space="preserve"> </w:t>
      </w:r>
      <w:r>
        <w:t xml:space="preserve">in </w:t>
      </w:r>
      <w:r>
        <w:rPr>
          <w:spacing w:val="-1"/>
        </w:rPr>
        <w:t>the</w:t>
      </w:r>
      <w:r>
        <w:t xml:space="preserve"> 10 </w:t>
      </w:r>
      <w:r>
        <w:rPr>
          <w:spacing w:val="-2"/>
        </w:rPr>
        <w:t>mg</w:t>
      </w:r>
      <w:r>
        <w:rPr>
          <w:spacing w:val="81"/>
        </w:rPr>
        <w:t xml:space="preserve"> </w:t>
      </w:r>
      <w:r>
        <w:t>arm</w:t>
      </w:r>
      <w:r>
        <w:rPr>
          <w:spacing w:val="-4"/>
        </w:rPr>
        <w:t xml:space="preserve"> </w:t>
      </w:r>
      <w:r>
        <w:rPr>
          <w:spacing w:val="-1"/>
        </w:rPr>
        <w:t>was</w:t>
      </w:r>
      <w:r>
        <w:rPr>
          <w:spacing w:val="1"/>
        </w:rPr>
        <w:t xml:space="preserve"> </w:t>
      </w:r>
      <w:r>
        <w:t xml:space="preserve">6.4 </w:t>
      </w:r>
      <w:r>
        <w:rPr>
          <w:spacing w:val="-1"/>
        </w:rPr>
        <w:t>g/dL.</w:t>
      </w:r>
    </w:p>
    <w:p w:rsidR="00F72327" w:rsidRDefault="00F72327" w:rsidP="00B2301B">
      <w:pPr>
        <w:shd w:val="clear" w:color="auto" w:fill="FDE9D9" w:themeFill="accent6" w:themeFillTint="33"/>
        <w:spacing w:before="10"/>
        <w:rPr>
          <w:rFonts w:eastAsia="Times New Roman"/>
          <w:sz w:val="21"/>
          <w:szCs w:val="21"/>
        </w:rPr>
      </w:pPr>
    </w:p>
    <w:p w:rsidR="00F72327" w:rsidRDefault="00F72327" w:rsidP="00B2301B">
      <w:pPr>
        <w:pStyle w:val="BodyText"/>
        <w:shd w:val="clear" w:color="auto" w:fill="FDE9D9" w:themeFill="accent6" w:themeFillTint="33"/>
        <w:ind w:right="380"/>
      </w:pPr>
      <w:r>
        <w:rPr>
          <w:spacing w:val="-1"/>
        </w:rPr>
        <w:t>Additional</w:t>
      </w:r>
      <w:r>
        <w:rPr>
          <w:spacing w:val="1"/>
        </w:rPr>
        <w:t xml:space="preserve"> </w:t>
      </w:r>
      <w:r>
        <w:rPr>
          <w:spacing w:val="-1"/>
        </w:rPr>
        <w:t>endpoints</w:t>
      </w:r>
      <w:r>
        <w:rPr>
          <w:spacing w:val="-2"/>
        </w:rPr>
        <w:t xml:space="preserve"> </w:t>
      </w:r>
      <w:r>
        <w:t>of</w:t>
      </w:r>
      <w:r>
        <w:rPr>
          <w:spacing w:val="-2"/>
        </w:rPr>
        <w:t xml:space="preserve"> </w:t>
      </w:r>
      <w:r>
        <w:t>the</w:t>
      </w:r>
      <w:r>
        <w:rPr>
          <w:spacing w:val="-2"/>
        </w:rPr>
        <w:t xml:space="preserve"> </w:t>
      </w:r>
      <w:r>
        <w:t>study</w:t>
      </w:r>
      <w:r>
        <w:rPr>
          <w:spacing w:val="-2"/>
        </w:rPr>
        <w:t xml:space="preserve"> </w:t>
      </w:r>
      <w:r>
        <w:rPr>
          <w:spacing w:val="-1"/>
        </w:rPr>
        <w:t>included</w:t>
      </w:r>
      <w:r>
        <w:t xml:space="preserve"> </w:t>
      </w:r>
      <w:r>
        <w:rPr>
          <w:spacing w:val="-1"/>
        </w:rPr>
        <w:t>cytogenetic</w:t>
      </w:r>
      <w:r>
        <w:rPr>
          <w:spacing w:val="-2"/>
        </w:rPr>
        <w:t xml:space="preserve"> </w:t>
      </w:r>
      <w:r>
        <w:rPr>
          <w:spacing w:val="-1"/>
        </w:rPr>
        <w:t>response</w:t>
      </w:r>
      <w:r>
        <w:rPr>
          <w:spacing w:val="-2"/>
        </w:rPr>
        <w:t xml:space="preserve"> </w:t>
      </w:r>
      <w:r>
        <w:rPr>
          <w:spacing w:val="-1"/>
        </w:rPr>
        <w:t>(in</w:t>
      </w:r>
      <w:r>
        <w:t xml:space="preserve"> </w:t>
      </w:r>
      <w:r>
        <w:rPr>
          <w:spacing w:val="-1"/>
        </w:rPr>
        <w:t>the</w:t>
      </w:r>
      <w:r>
        <w:t xml:space="preserve"> 10 </w:t>
      </w:r>
      <w:r>
        <w:rPr>
          <w:spacing w:val="-2"/>
        </w:rPr>
        <w:t>mg</w:t>
      </w:r>
      <w:r>
        <w:rPr>
          <w:spacing w:val="-3"/>
        </w:rPr>
        <w:t xml:space="preserve"> </w:t>
      </w:r>
      <w:r>
        <w:t>arm</w:t>
      </w:r>
      <w:r>
        <w:rPr>
          <w:spacing w:val="-2"/>
        </w:rPr>
        <w:t xml:space="preserve"> </w:t>
      </w:r>
      <w:r>
        <w:t>major</w:t>
      </w:r>
      <w:r>
        <w:rPr>
          <w:spacing w:val="-2"/>
        </w:rPr>
        <w:t xml:space="preserve"> </w:t>
      </w:r>
      <w:r>
        <w:t xml:space="preserve">and </w:t>
      </w:r>
      <w:r>
        <w:rPr>
          <w:spacing w:val="-1"/>
        </w:rPr>
        <w:t>minor</w:t>
      </w:r>
      <w:r>
        <w:rPr>
          <w:spacing w:val="63"/>
        </w:rPr>
        <w:t xml:space="preserve"> </w:t>
      </w:r>
      <w:r>
        <w:rPr>
          <w:spacing w:val="-1"/>
        </w:rPr>
        <w:t>cytogenetic</w:t>
      </w:r>
      <w:r>
        <w:rPr>
          <w:spacing w:val="-2"/>
        </w:rPr>
        <w:t xml:space="preserve"> </w:t>
      </w:r>
      <w:r>
        <w:rPr>
          <w:spacing w:val="-1"/>
        </w:rPr>
        <w:t>responses</w:t>
      </w:r>
      <w:r>
        <w:t xml:space="preserve"> </w:t>
      </w:r>
      <w:r>
        <w:rPr>
          <w:spacing w:val="-1"/>
        </w:rPr>
        <w:t>were</w:t>
      </w:r>
      <w:r>
        <w:rPr>
          <w:spacing w:val="-2"/>
        </w:rPr>
        <w:t xml:space="preserve"> </w:t>
      </w:r>
      <w:r>
        <w:rPr>
          <w:spacing w:val="-1"/>
        </w:rPr>
        <w:t>observed</w:t>
      </w:r>
      <w:r>
        <w:t xml:space="preserve"> in </w:t>
      </w:r>
      <w:r>
        <w:rPr>
          <w:spacing w:val="-1"/>
        </w:rPr>
        <w:t xml:space="preserve">30.0% </w:t>
      </w:r>
      <w:r>
        <w:t xml:space="preserve">and </w:t>
      </w:r>
      <w:r>
        <w:rPr>
          <w:spacing w:val="-1"/>
        </w:rPr>
        <w:t>24.0%</w:t>
      </w:r>
      <w:r>
        <w:rPr>
          <w:spacing w:val="1"/>
        </w:rPr>
        <w:t xml:space="preserve"> </w:t>
      </w:r>
      <w:r>
        <w:rPr>
          <w:spacing w:val="-2"/>
        </w:rPr>
        <w:t>of</w:t>
      </w:r>
      <w:r>
        <w:rPr>
          <w:spacing w:val="1"/>
        </w:rPr>
        <w:t xml:space="preserve"> </w:t>
      </w:r>
      <w:r>
        <w:rPr>
          <w:spacing w:val="-1"/>
        </w:rPr>
        <w:t>subjects,</w:t>
      </w:r>
      <w:r>
        <w:rPr>
          <w:spacing w:val="-3"/>
        </w:rPr>
        <w:t xml:space="preserve"> </w:t>
      </w:r>
      <w:r>
        <w:rPr>
          <w:spacing w:val="-1"/>
        </w:rPr>
        <w:t>respectively),</w:t>
      </w:r>
      <w:r>
        <w:t xml:space="preserve"> </w:t>
      </w:r>
      <w:r>
        <w:rPr>
          <w:spacing w:val="-1"/>
        </w:rPr>
        <w:t>assessment</w:t>
      </w:r>
      <w:r>
        <w:rPr>
          <w:spacing w:val="1"/>
        </w:rPr>
        <w:t xml:space="preserve"> </w:t>
      </w:r>
      <w:r>
        <w:t>of</w:t>
      </w:r>
      <w:r>
        <w:rPr>
          <w:spacing w:val="1"/>
        </w:rPr>
        <w:t xml:space="preserve"> </w:t>
      </w:r>
      <w:r>
        <w:rPr>
          <w:spacing w:val="-1"/>
        </w:rPr>
        <w:t>Health</w:t>
      </w:r>
      <w:r>
        <w:rPr>
          <w:spacing w:val="81"/>
        </w:rPr>
        <w:t xml:space="preserve"> </w:t>
      </w:r>
      <w:r>
        <w:rPr>
          <w:spacing w:val="-1"/>
        </w:rPr>
        <w:t>Related</w:t>
      </w:r>
      <w:r>
        <w:t xml:space="preserve"> </w:t>
      </w:r>
      <w:r>
        <w:rPr>
          <w:spacing w:val="-1"/>
        </w:rPr>
        <w:t>Quality</w:t>
      </w:r>
      <w:r>
        <w:rPr>
          <w:spacing w:val="-2"/>
        </w:rPr>
        <w:t xml:space="preserve"> </w:t>
      </w:r>
      <w:r>
        <w:t>of</w:t>
      </w:r>
      <w:r>
        <w:rPr>
          <w:spacing w:val="1"/>
        </w:rPr>
        <w:t xml:space="preserve"> </w:t>
      </w:r>
      <w:r>
        <w:rPr>
          <w:spacing w:val="-1"/>
        </w:rPr>
        <w:t>Life</w:t>
      </w:r>
      <w:r>
        <w:rPr>
          <w:spacing w:val="-2"/>
        </w:rPr>
        <w:t xml:space="preserve"> </w:t>
      </w:r>
      <w:r>
        <w:rPr>
          <w:spacing w:val="-1"/>
        </w:rPr>
        <w:t>(HRQoL)</w:t>
      </w:r>
      <w:r>
        <w:rPr>
          <w:spacing w:val="1"/>
        </w:rPr>
        <w:t xml:space="preserve"> </w:t>
      </w:r>
      <w:r>
        <w:t xml:space="preserve">and </w:t>
      </w:r>
      <w:r>
        <w:rPr>
          <w:spacing w:val="-1"/>
        </w:rPr>
        <w:t>progression</w:t>
      </w:r>
      <w:r>
        <w:rPr>
          <w:spacing w:val="-2"/>
        </w:rPr>
        <w:t xml:space="preserve"> </w:t>
      </w:r>
      <w:r>
        <w:t>to</w:t>
      </w:r>
      <w:r>
        <w:rPr>
          <w:spacing w:val="-2"/>
        </w:rPr>
        <w:t xml:space="preserve"> </w:t>
      </w:r>
      <w:r>
        <w:rPr>
          <w:spacing w:val="-1"/>
        </w:rPr>
        <w:t>acute</w:t>
      </w:r>
      <w:r>
        <w:t xml:space="preserve"> </w:t>
      </w:r>
      <w:r>
        <w:rPr>
          <w:spacing w:val="-1"/>
        </w:rPr>
        <w:t>myeloid</w:t>
      </w:r>
      <w:r>
        <w:rPr>
          <w:spacing w:val="-2"/>
        </w:rPr>
        <w:t xml:space="preserve"> </w:t>
      </w:r>
      <w:r>
        <w:rPr>
          <w:spacing w:val="-1"/>
        </w:rPr>
        <w:t>leukaemia.</w:t>
      </w:r>
      <w:r>
        <w:t xml:space="preserve"> </w:t>
      </w:r>
      <w:r>
        <w:rPr>
          <w:spacing w:val="-1"/>
        </w:rPr>
        <w:t>Results</w:t>
      </w:r>
      <w:r>
        <w:rPr>
          <w:spacing w:val="1"/>
        </w:rPr>
        <w:t xml:space="preserve"> </w:t>
      </w:r>
      <w:r>
        <w:rPr>
          <w:spacing w:val="-2"/>
        </w:rPr>
        <w:t>of</w:t>
      </w:r>
      <w:r>
        <w:rPr>
          <w:spacing w:val="1"/>
        </w:rPr>
        <w:t xml:space="preserve"> </w:t>
      </w:r>
      <w:r>
        <w:rPr>
          <w:spacing w:val="-1"/>
        </w:rPr>
        <w:t>the</w:t>
      </w:r>
      <w:r>
        <w:t xml:space="preserve"> </w:t>
      </w:r>
      <w:r>
        <w:rPr>
          <w:spacing w:val="-1"/>
        </w:rPr>
        <w:t>cytogenetic</w:t>
      </w:r>
      <w:r>
        <w:rPr>
          <w:spacing w:val="65"/>
        </w:rPr>
        <w:t xml:space="preserve"> </w:t>
      </w:r>
      <w:r>
        <w:rPr>
          <w:spacing w:val="-1"/>
        </w:rPr>
        <w:t>response</w:t>
      </w:r>
      <w:r>
        <w:rPr>
          <w:spacing w:val="-2"/>
        </w:rPr>
        <w:t xml:space="preserve"> </w:t>
      </w:r>
      <w:r>
        <w:t xml:space="preserve">and </w:t>
      </w:r>
      <w:r>
        <w:rPr>
          <w:spacing w:val="-1"/>
        </w:rPr>
        <w:t>HRQoL were</w:t>
      </w:r>
      <w:r>
        <w:rPr>
          <w:spacing w:val="-2"/>
        </w:rPr>
        <w:t xml:space="preserve"> </w:t>
      </w:r>
      <w:r>
        <w:rPr>
          <w:spacing w:val="-1"/>
        </w:rPr>
        <w:t>consistent</w:t>
      </w:r>
      <w:r>
        <w:rPr>
          <w:spacing w:val="1"/>
        </w:rPr>
        <w:t xml:space="preserve"> </w:t>
      </w:r>
      <w:r>
        <w:rPr>
          <w:spacing w:val="-1"/>
        </w:rPr>
        <w:t>with</w:t>
      </w:r>
      <w:r>
        <w:rPr>
          <w:spacing w:val="-2"/>
        </w:rPr>
        <w:t xml:space="preserve"> </w:t>
      </w:r>
      <w:r>
        <w:rPr>
          <w:spacing w:val="-1"/>
        </w:rPr>
        <w:t>the</w:t>
      </w:r>
      <w:r>
        <w:t xml:space="preserve"> </w:t>
      </w:r>
      <w:r>
        <w:rPr>
          <w:spacing w:val="-1"/>
        </w:rPr>
        <w:t>findings</w:t>
      </w:r>
      <w:r>
        <w:t xml:space="preserve"> of</w:t>
      </w:r>
      <w:r>
        <w:rPr>
          <w:spacing w:val="1"/>
        </w:rPr>
        <w:t xml:space="preserve"> </w:t>
      </w:r>
      <w:r>
        <w:rPr>
          <w:spacing w:val="-1"/>
        </w:rPr>
        <w:t>the</w:t>
      </w:r>
      <w:r>
        <w:t xml:space="preserve"> </w:t>
      </w:r>
      <w:r>
        <w:rPr>
          <w:spacing w:val="-1"/>
        </w:rPr>
        <w:t>primary</w:t>
      </w:r>
      <w:r>
        <w:rPr>
          <w:spacing w:val="-3"/>
        </w:rPr>
        <w:t xml:space="preserve"> </w:t>
      </w:r>
      <w:r>
        <w:rPr>
          <w:spacing w:val="-1"/>
        </w:rPr>
        <w:t>endpoint</w:t>
      </w:r>
      <w:r>
        <w:rPr>
          <w:spacing w:val="1"/>
        </w:rPr>
        <w:t xml:space="preserve"> </w:t>
      </w:r>
      <w:r>
        <w:rPr>
          <w:spacing w:val="-2"/>
        </w:rPr>
        <w:t>and</w:t>
      </w:r>
      <w:r>
        <w:t xml:space="preserve"> in </w:t>
      </w:r>
      <w:r>
        <w:rPr>
          <w:spacing w:val="-1"/>
        </w:rPr>
        <w:t>favour</w:t>
      </w:r>
      <w:r>
        <w:rPr>
          <w:spacing w:val="1"/>
        </w:rPr>
        <w:t xml:space="preserve"> </w:t>
      </w:r>
      <w:r>
        <w:t>of</w:t>
      </w:r>
      <w:r>
        <w:rPr>
          <w:spacing w:val="55"/>
        </w:rPr>
        <w:t xml:space="preserve"> </w:t>
      </w:r>
      <w:r>
        <w:rPr>
          <w:spacing w:val="-1"/>
        </w:rPr>
        <w:t>lenalidomide</w:t>
      </w:r>
      <w:r>
        <w:t xml:space="preserve"> </w:t>
      </w:r>
      <w:r>
        <w:rPr>
          <w:spacing w:val="-1"/>
        </w:rPr>
        <w:t>treatment</w:t>
      </w:r>
      <w:r>
        <w:rPr>
          <w:spacing w:val="1"/>
        </w:rPr>
        <w:t xml:space="preserve"> </w:t>
      </w:r>
      <w:r>
        <w:rPr>
          <w:spacing w:val="-1"/>
        </w:rPr>
        <w:t>compared</w:t>
      </w:r>
      <w:r>
        <w:t xml:space="preserve"> to </w:t>
      </w:r>
      <w:r>
        <w:rPr>
          <w:spacing w:val="-1"/>
        </w:rPr>
        <w:t>placebo.</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35"/>
      </w:pPr>
      <w:r>
        <w:rPr>
          <w:spacing w:val="-3"/>
        </w:rPr>
        <w:t>In</w:t>
      </w:r>
      <w:r>
        <w:t xml:space="preserve"> </w:t>
      </w:r>
      <w:r>
        <w:rPr>
          <w:spacing w:val="-1"/>
        </w:rPr>
        <w:t>MDS-003,</w:t>
      </w:r>
      <w:r>
        <w:t xml:space="preserve"> a </w:t>
      </w:r>
      <w:r>
        <w:rPr>
          <w:spacing w:val="-1"/>
        </w:rPr>
        <w:t>large</w:t>
      </w:r>
      <w:r>
        <w:t xml:space="preserve"> </w:t>
      </w:r>
      <w:r>
        <w:rPr>
          <w:spacing w:val="-1"/>
        </w:rPr>
        <w:t>proportion</w:t>
      </w:r>
      <w:r>
        <w:t xml:space="preserve"> </w:t>
      </w:r>
      <w:r>
        <w:rPr>
          <w:spacing w:val="-2"/>
        </w:rPr>
        <w:t>of</w:t>
      </w:r>
      <w:r>
        <w:rPr>
          <w:spacing w:val="1"/>
        </w:rPr>
        <w:t xml:space="preserve"> </w:t>
      </w:r>
      <w:r>
        <w:rPr>
          <w:spacing w:val="-1"/>
        </w:rPr>
        <w:t>patients</w:t>
      </w:r>
      <w:r>
        <w:t xml:space="preserve"> </w:t>
      </w:r>
      <w:r>
        <w:rPr>
          <w:spacing w:val="-1"/>
        </w:rPr>
        <w:t>with</w:t>
      </w:r>
      <w:r>
        <w:t xml:space="preserve"> </w:t>
      </w:r>
      <w:r>
        <w:rPr>
          <w:spacing w:val="-1"/>
        </w:rPr>
        <w:t>myelodysplastic</w:t>
      </w:r>
      <w:r>
        <w:rPr>
          <w:spacing w:val="-2"/>
        </w:rPr>
        <w:t xml:space="preserve"> </w:t>
      </w:r>
      <w:r>
        <w:rPr>
          <w:spacing w:val="-1"/>
        </w:rPr>
        <w:t>syndromes</w:t>
      </w:r>
      <w:r>
        <w:t xml:space="preserve"> </w:t>
      </w:r>
      <w:r>
        <w:rPr>
          <w:spacing w:val="-1"/>
        </w:rPr>
        <w:t>achieved</w:t>
      </w:r>
      <w:r>
        <w:t xml:space="preserve"> </w:t>
      </w:r>
      <w:r>
        <w:rPr>
          <w:spacing w:val="-1"/>
        </w:rPr>
        <w:t>transfusion</w:t>
      </w:r>
      <w:r>
        <w:rPr>
          <w:spacing w:val="69"/>
        </w:rPr>
        <w:t xml:space="preserve"> </w:t>
      </w:r>
      <w:r>
        <w:rPr>
          <w:spacing w:val="-1"/>
        </w:rPr>
        <w:t>independence</w:t>
      </w:r>
      <w:r>
        <w:rPr>
          <w:spacing w:val="-2"/>
        </w:rPr>
        <w:t xml:space="preserve"> </w:t>
      </w:r>
      <w:r>
        <w:t>(&gt;182</w:t>
      </w:r>
      <w:r>
        <w:rPr>
          <w:spacing w:val="-2"/>
        </w:rPr>
        <w:t xml:space="preserve"> </w:t>
      </w:r>
      <w:r>
        <w:rPr>
          <w:spacing w:val="-1"/>
        </w:rPr>
        <w:t>days)</w:t>
      </w:r>
      <w:r>
        <w:rPr>
          <w:spacing w:val="-2"/>
        </w:rPr>
        <w:t xml:space="preserve"> </w:t>
      </w:r>
      <w:r>
        <w:t xml:space="preserve">on </w:t>
      </w:r>
      <w:r>
        <w:rPr>
          <w:spacing w:val="-1"/>
        </w:rPr>
        <w:t>lenalidomide</w:t>
      </w:r>
      <w:r>
        <w:rPr>
          <w:spacing w:val="1"/>
        </w:rPr>
        <w:t xml:space="preserve"> </w:t>
      </w:r>
      <w:r>
        <w:t xml:space="preserve">10 </w:t>
      </w:r>
      <w:r>
        <w:rPr>
          <w:spacing w:val="-2"/>
        </w:rPr>
        <w:t xml:space="preserve">mg </w:t>
      </w:r>
      <w:r>
        <w:t>(58.1%).</w:t>
      </w:r>
      <w:r>
        <w:rPr>
          <w:spacing w:val="-2"/>
        </w:rPr>
        <w:t xml:space="preserve"> </w:t>
      </w:r>
      <w:r>
        <w:rPr>
          <w:spacing w:val="-1"/>
        </w:rPr>
        <w:t>The</w:t>
      </w:r>
      <w:r>
        <w:t xml:space="preserve"> </w:t>
      </w:r>
      <w:r>
        <w:rPr>
          <w:spacing w:val="-1"/>
        </w:rPr>
        <w:t>median</w:t>
      </w:r>
      <w:r>
        <w:rPr>
          <w:spacing w:val="-2"/>
        </w:rPr>
        <w:t xml:space="preserve"> </w:t>
      </w:r>
      <w:r>
        <w:rPr>
          <w:spacing w:val="-1"/>
        </w:rPr>
        <w:t>time</w:t>
      </w:r>
      <w:r>
        <w:t xml:space="preserve"> to</w:t>
      </w:r>
      <w:r>
        <w:rPr>
          <w:spacing w:val="-2"/>
        </w:rPr>
        <w:t xml:space="preserve"> </w:t>
      </w:r>
      <w:r>
        <w:rPr>
          <w:spacing w:val="-1"/>
        </w:rPr>
        <w:t>transfusion</w:t>
      </w:r>
      <w:r>
        <w:t xml:space="preserve"> </w:t>
      </w:r>
      <w:r>
        <w:rPr>
          <w:spacing w:val="-1"/>
        </w:rPr>
        <w:t>independence</w:t>
      </w:r>
      <w:r>
        <w:rPr>
          <w:spacing w:val="61"/>
        </w:rPr>
        <w:t xml:space="preserve"> </w:t>
      </w:r>
      <w:r>
        <w:rPr>
          <w:spacing w:val="-1"/>
        </w:rPr>
        <w:t>was</w:t>
      </w:r>
      <w:r>
        <w:t xml:space="preserve"> 4.1 </w:t>
      </w:r>
      <w:r>
        <w:rPr>
          <w:spacing w:val="-1"/>
        </w:rPr>
        <w:t>weeks.</w:t>
      </w:r>
      <w:r>
        <w:rPr>
          <w:spacing w:val="-2"/>
        </w:rPr>
        <w:t xml:space="preserve"> </w:t>
      </w:r>
      <w:r>
        <w:rPr>
          <w:spacing w:val="-1"/>
        </w:rPr>
        <w:t>The</w:t>
      </w:r>
      <w:r>
        <w:t xml:space="preserve"> </w:t>
      </w:r>
      <w:r>
        <w:rPr>
          <w:spacing w:val="-1"/>
        </w:rPr>
        <w:t>median</w:t>
      </w:r>
      <w:r>
        <w:rPr>
          <w:spacing w:val="-2"/>
        </w:rPr>
        <w:t xml:space="preserve"> </w:t>
      </w:r>
      <w:r>
        <w:rPr>
          <w:spacing w:val="-1"/>
        </w:rPr>
        <w:t>duration</w:t>
      </w:r>
      <w:r>
        <w:t xml:space="preserve"> of</w:t>
      </w:r>
      <w:r>
        <w:rPr>
          <w:spacing w:val="-1"/>
        </w:rPr>
        <w:t xml:space="preserve"> transfusion</w:t>
      </w:r>
      <w:r>
        <w:rPr>
          <w:spacing w:val="-2"/>
        </w:rPr>
        <w:t xml:space="preserve"> </w:t>
      </w:r>
      <w:r>
        <w:rPr>
          <w:spacing w:val="-1"/>
        </w:rPr>
        <w:t>independence</w:t>
      </w:r>
      <w:r>
        <w:t xml:space="preserve"> </w:t>
      </w:r>
      <w:r>
        <w:rPr>
          <w:spacing w:val="-1"/>
        </w:rPr>
        <w:t>was</w:t>
      </w:r>
      <w:r>
        <w:t xml:space="preserve"> </w:t>
      </w:r>
      <w:r>
        <w:rPr>
          <w:spacing w:val="-1"/>
        </w:rPr>
        <w:t>114.4</w:t>
      </w:r>
      <w:r>
        <w:t xml:space="preserve"> </w:t>
      </w:r>
      <w:r>
        <w:rPr>
          <w:spacing w:val="-1"/>
        </w:rPr>
        <w:t>weeks.</w:t>
      </w:r>
      <w:r>
        <w:t xml:space="preserve"> </w:t>
      </w:r>
      <w:r>
        <w:rPr>
          <w:spacing w:val="-1"/>
        </w:rPr>
        <w:t>The</w:t>
      </w:r>
      <w:r>
        <w:t xml:space="preserve"> </w:t>
      </w:r>
      <w:r>
        <w:rPr>
          <w:spacing w:val="-1"/>
        </w:rPr>
        <w:t>median</w:t>
      </w:r>
      <w:r>
        <w:rPr>
          <w:spacing w:val="-2"/>
        </w:rPr>
        <w:t xml:space="preserve"> </w:t>
      </w:r>
      <w:r>
        <w:rPr>
          <w:spacing w:val="-1"/>
        </w:rPr>
        <w:t>increase</w:t>
      </w:r>
      <w:r>
        <w:rPr>
          <w:spacing w:val="-2"/>
        </w:rPr>
        <w:t xml:space="preserve"> </w:t>
      </w:r>
      <w:r>
        <w:t>in</w:t>
      </w:r>
      <w:r>
        <w:rPr>
          <w:spacing w:val="85"/>
        </w:rPr>
        <w:t xml:space="preserve"> </w:t>
      </w:r>
      <w:r>
        <w:rPr>
          <w:spacing w:val="-1"/>
        </w:rPr>
        <w:t>haemoglobin</w:t>
      </w:r>
      <w:r>
        <w:t xml:space="preserve"> </w:t>
      </w:r>
      <w:r>
        <w:rPr>
          <w:spacing w:val="-1"/>
        </w:rPr>
        <w:t>(Hgb)</w:t>
      </w:r>
      <w:r>
        <w:rPr>
          <w:spacing w:val="1"/>
        </w:rPr>
        <w:t xml:space="preserve"> </w:t>
      </w:r>
      <w:r>
        <w:rPr>
          <w:spacing w:val="-1"/>
        </w:rPr>
        <w:t>was</w:t>
      </w:r>
      <w:r>
        <w:rPr>
          <w:spacing w:val="1"/>
        </w:rPr>
        <w:t xml:space="preserve"> </w:t>
      </w:r>
      <w:r>
        <w:rPr>
          <w:spacing w:val="-1"/>
        </w:rPr>
        <w:t>5.6</w:t>
      </w:r>
      <w:r>
        <w:rPr>
          <w:spacing w:val="-3"/>
        </w:rPr>
        <w:t xml:space="preserve"> </w:t>
      </w:r>
      <w:r>
        <w:rPr>
          <w:spacing w:val="-1"/>
        </w:rPr>
        <w:t>g/dL.</w:t>
      </w:r>
      <w:r>
        <w:t xml:space="preserve"> </w:t>
      </w:r>
      <w:r>
        <w:rPr>
          <w:spacing w:val="-1"/>
        </w:rPr>
        <w:t>Major</w:t>
      </w:r>
      <w:r>
        <w:rPr>
          <w:spacing w:val="1"/>
        </w:rPr>
        <w:t xml:space="preserve"> </w:t>
      </w:r>
      <w:r>
        <w:rPr>
          <w:spacing w:val="-1"/>
        </w:rPr>
        <w:t>and</w:t>
      </w:r>
      <w:r>
        <w:t xml:space="preserve"> </w:t>
      </w:r>
      <w:r>
        <w:rPr>
          <w:spacing w:val="-1"/>
        </w:rPr>
        <w:t>minor</w:t>
      </w:r>
      <w:r>
        <w:rPr>
          <w:spacing w:val="1"/>
        </w:rPr>
        <w:t xml:space="preserve"> </w:t>
      </w:r>
      <w:r>
        <w:rPr>
          <w:spacing w:val="-1"/>
        </w:rPr>
        <w:t>cytogenetic</w:t>
      </w:r>
      <w:r>
        <w:rPr>
          <w:spacing w:val="-2"/>
        </w:rPr>
        <w:t xml:space="preserve"> </w:t>
      </w:r>
      <w:r>
        <w:rPr>
          <w:spacing w:val="-1"/>
        </w:rPr>
        <w:t>responses</w:t>
      </w:r>
      <w:r>
        <w:rPr>
          <w:spacing w:val="1"/>
        </w:rPr>
        <w:t xml:space="preserve"> </w:t>
      </w:r>
      <w:r>
        <w:rPr>
          <w:spacing w:val="-1"/>
        </w:rPr>
        <w:t>were</w:t>
      </w:r>
      <w:r>
        <w:t xml:space="preserve"> </w:t>
      </w:r>
      <w:r>
        <w:rPr>
          <w:spacing w:val="-1"/>
        </w:rPr>
        <w:t>observed</w:t>
      </w:r>
      <w:r>
        <w:t xml:space="preserve"> </w:t>
      </w:r>
      <w:r>
        <w:rPr>
          <w:spacing w:val="-1"/>
        </w:rPr>
        <w:t>in</w:t>
      </w:r>
      <w:r>
        <w:t xml:space="preserve"> </w:t>
      </w:r>
      <w:r>
        <w:rPr>
          <w:spacing w:val="-1"/>
        </w:rPr>
        <w:t>40.9%</w:t>
      </w:r>
      <w:r>
        <w:rPr>
          <w:spacing w:val="1"/>
        </w:rPr>
        <w:t xml:space="preserve"> </w:t>
      </w:r>
      <w:r>
        <w:rPr>
          <w:spacing w:val="-1"/>
        </w:rPr>
        <w:t>and</w:t>
      </w:r>
      <w:r>
        <w:rPr>
          <w:spacing w:val="65"/>
        </w:rPr>
        <w:t xml:space="preserve"> </w:t>
      </w:r>
      <w:r>
        <w:t>30.7%</w:t>
      </w:r>
      <w:r>
        <w:rPr>
          <w:spacing w:val="1"/>
        </w:rPr>
        <w:t xml:space="preserve"> </w:t>
      </w:r>
      <w:r>
        <w:rPr>
          <w:spacing w:val="-2"/>
        </w:rPr>
        <w:t>of</w:t>
      </w:r>
      <w:r>
        <w:rPr>
          <w:spacing w:val="1"/>
        </w:rPr>
        <w:t xml:space="preserve"> </w:t>
      </w:r>
      <w:r>
        <w:rPr>
          <w:spacing w:val="-1"/>
        </w:rPr>
        <w:t>subjects,</w:t>
      </w:r>
      <w:r>
        <w:t xml:space="preserve"> </w:t>
      </w:r>
      <w:r>
        <w:rPr>
          <w:spacing w:val="-2"/>
        </w:rPr>
        <w:t>respectively.</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780"/>
      </w:pPr>
      <w:r>
        <w:t>A</w:t>
      </w:r>
      <w:r>
        <w:rPr>
          <w:spacing w:val="-1"/>
        </w:rPr>
        <w:t xml:space="preserve"> large</w:t>
      </w:r>
      <w:r>
        <w:t xml:space="preserve"> </w:t>
      </w:r>
      <w:r>
        <w:rPr>
          <w:spacing w:val="-1"/>
        </w:rPr>
        <w:t>proportion</w:t>
      </w:r>
      <w:r>
        <w:t xml:space="preserve"> of</w:t>
      </w:r>
      <w:r>
        <w:rPr>
          <w:spacing w:val="-2"/>
        </w:rPr>
        <w:t xml:space="preserve"> </w:t>
      </w:r>
      <w:r>
        <w:rPr>
          <w:spacing w:val="-1"/>
        </w:rPr>
        <w:t>subjects</w:t>
      </w:r>
      <w:r>
        <w:rPr>
          <w:spacing w:val="-2"/>
        </w:rPr>
        <w:t xml:space="preserve"> </w:t>
      </w:r>
      <w:r>
        <w:rPr>
          <w:spacing w:val="-1"/>
        </w:rPr>
        <w:t>enrolled</w:t>
      </w:r>
      <w:r>
        <w:rPr>
          <w:spacing w:val="-2"/>
        </w:rPr>
        <w:t xml:space="preserve"> </w:t>
      </w:r>
      <w:r>
        <w:t xml:space="preserve">in </w:t>
      </w:r>
      <w:r>
        <w:rPr>
          <w:spacing w:val="-1"/>
        </w:rPr>
        <w:t>MDS-003</w:t>
      </w:r>
      <w:r>
        <w:t xml:space="preserve"> </w:t>
      </w:r>
      <w:r>
        <w:rPr>
          <w:spacing w:val="-1"/>
        </w:rPr>
        <w:t>(72.9%)</w:t>
      </w:r>
      <w:r>
        <w:rPr>
          <w:spacing w:val="1"/>
        </w:rPr>
        <w:t xml:space="preserve"> </w:t>
      </w:r>
      <w:r>
        <w:t>and</w:t>
      </w:r>
      <w:r>
        <w:rPr>
          <w:spacing w:val="-2"/>
        </w:rPr>
        <w:t xml:space="preserve"> </w:t>
      </w:r>
      <w:r>
        <w:rPr>
          <w:spacing w:val="-1"/>
        </w:rPr>
        <w:t>MDS-004</w:t>
      </w:r>
      <w:r>
        <w:t xml:space="preserve"> </w:t>
      </w:r>
      <w:r>
        <w:rPr>
          <w:spacing w:val="-1"/>
        </w:rPr>
        <w:t>(52.7%)</w:t>
      </w:r>
      <w:r>
        <w:rPr>
          <w:spacing w:val="1"/>
        </w:rPr>
        <w:t xml:space="preserve"> </w:t>
      </w:r>
      <w:r>
        <w:rPr>
          <w:spacing w:val="-1"/>
        </w:rPr>
        <w:t>had</w:t>
      </w:r>
      <w:r>
        <w:t xml:space="preserve"> </w:t>
      </w:r>
      <w:r>
        <w:rPr>
          <w:spacing w:val="-1"/>
        </w:rPr>
        <w:t>received</w:t>
      </w:r>
      <w:r>
        <w:t xml:space="preserve"> </w:t>
      </w:r>
      <w:r>
        <w:rPr>
          <w:spacing w:val="-1"/>
        </w:rPr>
        <w:t>prior</w:t>
      </w:r>
      <w:r>
        <w:rPr>
          <w:spacing w:val="63"/>
        </w:rPr>
        <w:t xml:space="preserve"> </w:t>
      </w:r>
      <w:r>
        <w:rPr>
          <w:spacing w:val="-1"/>
        </w:rPr>
        <w:t>erythropoiesis-stimulating</w:t>
      </w:r>
      <w:r>
        <w:rPr>
          <w:spacing w:val="-5"/>
        </w:rPr>
        <w:t xml:space="preserve"> </w:t>
      </w:r>
      <w:r>
        <w:rPr>
          <w:spacing w:val="-1"/>
        </w:rPr>
        <w:t>agents.</w:t>
      </w:r>
    </w:p>
    <w:p w:rsidR="00F72327" w:rsidRDefault="00F72327" w:rsidP="00514498">
      <w:pPr>
        <w:rPr>
          <w:rFonts w:eastAsia="Times New Roman"/>
        </w:rPr>
      </w:pPr>
    </w:p>
    <w:p w:rsidR="00F72327" w:rsidRDefault="00F72327" w:rsidP="00B2301B">
      <w:pPr>
        <w:shd w:val="clear" w:color="auto" w:fill="DBE5F1" w:themeFill="accent1" w:themeFillTint="33"/>
        <w:spacing w:line="252" w:lineRule="exact"/>
        <w:rPr>
          <w:rFonts w:eastAsia="Times New Roman"/>
        </w:rPr>
      </w:pPr>
      <w:r>
        <w:rPr>
          <w:i/>
          <w:u w:val="single" w:color="000000"/>
        </w:rPr>
        <w:t>Mantle</w:t>
      </w:r>
      <w:r>
        <w:rPr>
          <w:i/>
          <w:spacing w:val="-3"/>
          <w:u w:val="single" w:color="000000"/>
        </w:rPr>
        <w:t xml:space="preserve"> </w:t>
      </w:r>
      <w:r>
        <w:rPr>
          <w:i/>
          <w:spacing w:val="-1"/>
          <w:u w:val="single" w:color="000000"/>
        </w:rPr>
        <w:t>cell</w:t>
      </w:r>
      <w:r>
        <w:rPr>
          <w:i/>
          <w:spacing w:val="-2"/>
          <w:u w:val="single" w:color="000000"/>
        </w:rPr>
        <w:t xml:space="preserve"> </w:t>
      </w:r>
      <w:r>
        <w:rPr>
          <w:i/>
          <w:spacing w:val="-1"/>
          <w:u w:val="single" w:color="000000"/>
        </w:rPr>
        <w:t>lymphoma</w:t>
      </w:r>
    </w:p>
    <w:p w:rsidR="00F72327" w:rsidRDefault="00F72327" w:rsidP="00B2301B">
      <w:pPr>
        <w:pStyle w:val="BodyText"/>
        <w:shd w:val="clear" w:color="auto" w:fill="DBE5F1" w:themeFill="accent1" w:themeFillTint="33"/>
        <w:ind w:right="310"/>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were</w:t>
      </w:r>
      <w:r>
        <w:t xml:space="preserve"> </w:t>
      </w:r>
      <w:r>
        <w:rPr>
          <w:spacing w:val="-2"/>
        </w:rPr>
        <w:t>evaluated</w:t>
      </w:r>
      <w:r>
        <w:t xml:space="preserve"> in </w:t>
      </w:r>
      <w:r>
        <w:rPr>
          <w:spacing w:val="-1"/>
        </w:rPr>
        <w:t>patients</w:t>
      </w:r>
      <w:r>
        <w:t xml:space="preserve"> </w:t>
      </w:r>
      <w:r>
        <w:rPr>
          <w:spacing w:val="-1"/>
        </w:rPr>
        <w:t>with</w:t>
      </w:r>
      <w:r>
        <w:t xml:space="preserve"> </w:t>
      </w:r>
      <w:r>
        <w:rPr>
          <w:spacing w:val="-1"/>
        </w:rPr>
        <w:t>mantle</w:t>
      </w:r>
      <w:r>
        <w:t xml:space="preserve"> </w:t>
      </w:r>
      <w:r>
        <w:rPr>
          <w:spacing w:val="-1"/>
        </w:rPr>
        <w:t>cell</w:t>
      </w:r>
      <w:r>
        <w:rPr>
          <w:spacing w:val="-2"/>
        </w:rPr>
        <w:t xml:space="preserve"> </w:t>
      </w:r>
      <w:r>
        <w:rPr>
          <w:spacing w:val="-1"/>
        </w:rPr>
        <w:t>lymphoma</w:t>
      </w:r>
      <w:r>
        <w:t xml:space="preserve"> in a </w:t>
      </w:r>
      <w:r>
        <w:rPr>
          <w:spacing w:val="-1"/>
        </w:rPr>
        <w:t>phase</w:t>
      </w:r>
      <w:r>
        <w:t xml:space="preserve"> 2,</w:t>
      </w:r>
      <w:r>
        <w:rPr>
          <w:spacing w:val="75"/>
        </w:rPr>
        <w:t xml:space="preserve"> </w:t>
      </w:r>
      <w:r>
        <w:rPr>
          <w:spacing w:val="-1"/>
        </w:rPr>
        <w:t>multicentre,</w:t>
      </w:r>
      <w:r>
        <w:t xml:space="preserve"> </w:t>
      </w:r>
      <w:r>
        <w:rPr>
          <w:spacing w:val="-1"/>
        </w:rPr>
        <w:t>randomised</w:t>
      </w:r>
      <w:r>
        <w:t xml:space="preserve"> </w:t>
      </w:r>
      <w:r>
        <w:rPr>
          <w:spacing w:val="-1"/>
        </w:rPr>
        <w:t>open-label</w:t>
      </w:r>
      <w:r>
        <w:rPr>
          <w:spacing w:val="1"/>
        </w:rPr>
        <w:t xml:space="preserve"> </w:t>
      </w:r>
      <w:r>
        <w:rPr>
          <w:spacing w:val="-1"/>
        </w:rPr>
        <w:t>study</w:t>
      </w:r>
      <w:r>
        <w:rPr>
          <w:spacing w:val="-3"/>
        </w:rPr>
        <w:t xml:space="preserve"> </w:t>
      </w:r>
      <w:r>
        <w:rPr>
          <w:spacing w:val="-1"/>
        </w:rPr>
        <w:t>versus</w:t>
      </w:r>
      <w:r>
        <w:t xml:space="preserve"> </w:t>
      </w:r>
      <w:r>
        <w:rPr>
          <w:spacing w:val="-1"/>
        </w:rPr>
        <w:t>single</w:t>
      </w:r>
      <w:r>
        <w:rPr>
          <w:spacing w:val="-2"/>
        </w:rPr>
        <w:t xml:space="preserve"> </w:t>
      </w:r>
      <w:r>
        <w:rPr>
          <w:spacing w:val="-1"/>
        </w:rPr>
        <w:t>agent</w:t>
      </w:r>
      <w:r>
        <w:rPr>
          <w:spacing w:val="1"/>
        </w:rPr>
        <w:t xml:space="preserve"> </w:t>
      </w:r>
      <w:r>
        <w:t>of</w:t>
      </w:r>
      <w:r>
        <w:rPr>
          <w:spacing w:val="-2"/>
        </w:rPr>
        <w:t xml:space="preserve"> </w:t>
      </w:r>
      <w:r>
        <w:rPr>
          <w:spacing w:val="-1"/>
        </w:rPr>
        <w:t>investigator’s</w:t>
      </w:r>
      <w:r>
        <w:rPr>
          <w:spacing w:val="-2"/>
        </w:rPr>
        <w:t xml:space="preserve"> </w:t>
      </w:r>
      <w:r>
        <w:rPr>
          <w:spacing w:val="-1"/>
        </w:rPr>
        <w:t>choice</w:t>
      </w:r>
      <w:r>
        <w:rPr>
          <w:spacing w:val="1"/>
        </w:rPr>
        <w:t xml:space="preserve"> </w:t>
      </w:r>
      <w:r>
        <w:t>in</w:t>
      </w:r>
      <w:r>
        <w:rPr>
          <w:spacing w:val="-2"/>
        </w:rPr>
        <w:t xml:space="preserve"> </w:t>
      </w:r>
      <w:r>
        <w:rPr>
          <w:spacing w:val="-1"/>
        </w:rPr>
        <w:t>patients</w:t>
      </w:r>
      <w:r>
        <w:rPr>
          <w:spacing w:val="1"/>
        </w:rPr>
        <w:t xml:space="preserve"> </w:t>
      </w:r>
      <w:r>
        <w:rPr>
          <w:spacing w:val="-2"/>
        </w:rPr>
        <w:t>who</w:t>
      </w:r>
      <w:r>
        <w:t xml:space="preserve"> </w:t>
      </w:r>
      <w:r>
        <w:rPr>
          <w:spacing w:val="-1"/>
        </w:rPr>
        <w:t>were</w:t>
      </w:r>
      <w:r>
        <w:rPr>
          <w:spacing w:val="83"/>
        </w:rPr>
        <w:t xml:space="preserve"> </w:t>
      </w:r>
      <w:r>
        <w:rPr>
          <w:spacing w:val="-1"/>
        </w:rPr>
        <w:t>refractory</w:t>
      </w:r>
      <w:r>
        <w:rPr>
          <w:spacing w:val="-3"/>
        </w:rPr>
        <w:t xml:space="preserve"> </w:t>
      </w:r>
      <w:r>
        <w:t xml:space="preserve">to </w:t>
      </w:r>
      <w:r>
        <w:rPr>
          <w:spacing w:val="-1"/>
        </w:rPr>
        <w:t>their</w:t>
      </w:r>
      <w:r>
        <w:rPr>
          <w:spacing w:val="1"/>
        </w:rPr>
        <w:t xml:space="preserve"> </w:t>
      </w:r>
      <w:r>
        <w:rPr>
          <w:spacing w:val="-1"/>
        </w:rPr>
        <w:t xml:space="preserve">last </w:t>
      </w:r>
      <w:r>
        <w:rPr>
          <w:spacing w:val="-2"/>
        </w:rPr>
        <w:t>regimen</w:t>
      </w:r>
      <w:r>
        <w:t xml:space="preserve"> or</w:t>
      </w:r>
      <w:r>
        <w:rPr>
          <w:spacing w:val="1"/>
        </w:rPr>
        <w:t xml:space="preserve"> </w:t>
      </w:r>
      <w:r>
        <w:t xml:space="preserve">had </w:t>
      </w:r>
      <w:r>
        <w:rPr>
          <w:spacing w:val="-1"/>
        </w:rPr>
        <w:t>relapsed</w:t>
      </w:r>
      <w:r>
        <w:rPr>
          <w:spacing w:val="-2"/>
        </w:rPr>
        <w:t xml:space="preserve"> </w:t>
      </w:r>
      <w:r>
        <w:t>one</w:t>
      </w:r>
      <w:r>
        <w:rPr>
          <w:spacing w:val="-2"/>
        </w:rPr>
        <w:t xml:space="preserve"> </w:t>
      </w:r>
      <w:r>
        <w:t>to</w:t>
      </w:r>
      <w:r>
        <w:rPr>
          <w:spacing w:val="-2"/>
        </w:rPr>
        <w:t xml:space="preserve"> </w:t>
      </w:r>
      <w:r>
        <w:rPr>
          <w:spacing w:val="-1"/>
        </w:rPr>
        <w:t>three</w:t>
      </w:r>
      <w:r>
        <w:t xml:space="preserve"> </w:t>
      </w:r>
      <w:r>
        <w:rPr>
          <w:spacing w:val="-2"/>
        </w:rPr>
        <w:t>times</w:t>
      </w:r>
      <w:r>
        <w:rPr>
          <w:spacing w:val="1"/>
        </w:rPr>
        <w:t xml:space="preserve"> </w:t>
      </w:r>
      <w:r>
        <w:rPr>
          <w:spacing w:val="-1"/>
        </w:rPr>
        <w:t>(study</w:t>
      </w:r>
      <w:r>
        <w:rPr>
          <w:spacing w:val="-2"/>
        </w:rPr>
        <w:t xml:space="preserve"> </w:t>
      </w:r>
      <w:r>
        <w:rPr>
          <w:spacing w:val="-1"/>
        </w:rPr>
        <w:t>MCL-002).</w:t>
      </w:r>
    </w:p>
    <w:p w:rsidR="00F72327" w:rsidRDefault="00F72327" w:rsidP="00B2301B">
      <w:pPr>
        <w:pStyle w:val="BodyText"/>
        <w:shd w:val="clear" w:color="auto" w:fill="DBE5F1" w:themeFill="accent1" w:themeFillTint="33"/>
        <w:ind w:right="310"/>
      </w:pPr>
      <w:r>
        <w:rPr>
          <w:spacing w:val="-1"/>
        </w:rPr>
        <w:t>Patients</w:t>
      </w:r>
      <w:r>
        <w:t xml:space="preserve"> </w:t>
      </w:r>
      <w:r>
        <w:rPr>
          <w:spacing w:val="-1"/>
        </w:rPr>
        <w:t>who</w:t>
      </w:r>
      <w:r>
        <w:t xml:space="preserve"> </w:t>
      </w:r>
      <w:r>
        <w:rPr>
          <w:spacing w:val="-1"/>
        </w:rPr>
        <w:t>were</w:t>
      </w:r>
      <w:r>
        <w:t xml:space="preserve"> </w:t>
      </w:r>
      <w:r>
        <w:rPr>
          <w:spacing w:val="-2"/>
        </w:rPr>
        <w:t>at</w:t>
      </w:r>
      <w:r>
        <w:rPr>
          <w:spacing w:val="1"/>
        </w:rPr>
        <w:t xml:space="preserve"> </w:t>
      </w:r>
      <w:r>
        <w:rPr>
          <w:spacing w:val="-1"/>
        </w:rPr>
        <w:t>least</w:t>
      </w:r>
      <w:r>
        <w:rPr>
          <w:spacing w:val="1"/>
        </w:rPr>
        <w:t xml:space="preserve"> </w:t>
      </w:r>
      <w:r>
        <w:rPr>
          <w:spacing w:val="-2"/>
        </w:rPr>
        <w:t>18</w:t>
      </w:r>
      <w:r>
        <w:t xml:space="preserve"> </w:t>
      </w:r>
      <w:r>
        <w:rPr>
          <w:spacing w:val="-1"/>
        </w:rPr>
        <w:t>years</w:t>
      </w:r>
      <w:r>
        <w:t xml:space="preserve"> </w:t>
      </w:r>
      <w:r>
        <w:rPr>
          <w:spacing w:val="-2"/>
        </w:rPr>
        <w:t>of</w:t>
      </w:r>
      <w:r>
        <w:rPr>
          <w:spacing w:val="1"/>
        </w:rPr>
        <w:t xml:space="preserve"> </w:t>
      </w:r>
      <w:r>
        <w:rPr>
          <w:spacing w:val="-1"/>
        </w:rPr>
        <w:t>age</w:t>
      </w:r>
      <w:r>
        <w:t xml:space="preserve"> </w:t>
      </w:r>
      <w:r>
        <w:rPr>
          <w:spacing w:val="-1"/>
        </w:rPr>
        <w:t>with</w:t>
      </w:r>
      <w:r>
        <w:t xml:space="preserve"> </w:t>
      </w:r>
      <w:r>
        <w:rPr>
          <w:spacing w:val="-1"/>
        </w:rPr>
        <w:t>histologically-proven</w:t>
      </w:r>
      <w:r>
        <w:t xml:space="preserve"> </w:t>
      </w:r>
      <w:r>
        <w:rPr>
          <w:spacing w:val="-1"/>
        </w:rPr>
        <w:t xml:space="preserve">MCL </w:t>
      </w:r>
      <w:r>
        <w:t xml:space="preserve">and </w:t>
      </w:r>
      <w:r>
        <w:rPr>
          <w:spacing w:val="-1"/>
        </w:rPr>
        <w:t>CT-measurable</w:t>
      </w:r>
      <w:r>
        <w:t xml:space="preserve"> </w:t>
      </w:r>
      <w:r>
        <w:rPr>
          <w:spacing w:val="-1"/>
        </w:rPr>
        <w:t>disease</w:t>
      </w:r>
      <w:r>
        <w:t xml:space="preserve"> </w:t>
      </w:r>
      <w:r>
        <w:rPr>
          <w:spacing w:val="-1"/>
        </w:rPr>
        <w:t>were</w:t>
      </w:r>
      <w:r>
        <w:rPr>
          <w:spacing w:val="61"/>
        </w:rPr>
        <w:t xml:space="preserve"> </w:t>
      </w:r>
      <w:r>
        <w:rPr>
          <w:spacing w:val="-1"/>
        </w:rPr>
        <w:t>enrolled.</w:t>
      </w:r>
      <w:r>
        <w:t xml:space="preserve"> </w:t>
      </w:r>
      <w:r>
        <w:rPr>
          <w:spacing w:val="-1"/>
        </w:rPr>
        <w:t>Patients</w:t>
      </w:r>
      <w:r>
        <w:t xml:space="preserve"> </w:t>
      </w:r>
      <w:r>
        <w:rPr>
          <w:spacing w:val="-1"/>
        </w:rPr>
        <w:t>were</w:t>
      </w:r>
      <w:r>
        <w:rPr>
          <w:spacing w:val="-2"/>
        </w:rPr>
        <w:t xml:space="preserve"> </w:t>
      </w:r>
      <w:r>
        <w:rPr>
          <w:spacing w:val="-1"/>
        </w:rPr>
        <w:t>required</w:t>
      </w:r>
      <w:r>
        <w:rPr>
          <w:spacing w:val="-3"/>
        </w:rPr>
        <w:t xml:space="preserve"> </w:t>
      </w:r>
      <w:r>
        <w:t xml:space="preserve">to </w:t>
      </w:r>
      <w:r>
        <w:rPr>
          <w:spacing w:val="-2"/>
        </w:rPr>
        <w:t>have</w:t>
      </w:r>
      <w:r>
        <w:t xml:space="preserve"> </w:t>
      </w:r>
      <w:r>
        <w:rPr>
          <w:spacing w:val="-1"/>
        </w:rPr>
        <w:t>received</w:t>
      </w:r>
      <w:r>
        <w:t xml:space="preserve"> </w:t>
      </w:r>
      <w:r>
        <w:rPr>
          <w:spacing w:val="-1"/>
        </w:rPr>
        <w:t>adequate</w:t>
      </w:r>
      <w:r>
        <w:t xml:space="preserve"> </w:t>
      </w:r>
      <w:r>
        <w:rPr>
          <w:spacing w:val="-1"/>
        </w:rPr>
        <w:t>previous</w:t>
      </w:r>
      <w:r>
        <w:t xml:space="preserve"> </w:t>
      </w:r>
      <w:r>
        <w:rPr>
          <w:spacing w:val="-1"/>
        </w:rPr>
        <w:t>treatment</w:t>
      </w:r>
      <w:r>
        <w:rPr>
          <w:spacing w:val="1"/>
        </w:rPr>
        <w:t xml:space="preserve"> </w:t>
      </w:r>
      <w:r>
        <w:rPr>
          <w:spacing w:val="-1"/>
        </w:rPr>
        <w:t>with</w:t>
      </w:r>
      <w:r>
        <w:rPr>
          <w:spacing w:val="-3"/>
        </w:rPr>
        <w:t xml:space="preserve"> </w:t>
      </w:r>
      <w:r>
        <w:t>at</w:t>
      </w:r>
      <w:r>
        <w:rPr>
          <w:spacing w:val="1"/>
        </w:rPr>
        <w:t xml:space="preserve"> </w:t>
      </w:r>
      <w:r>
        <w:rPr>
          <w:spacing w:val="-1"/>
        </w:rPr>
        <w:t>least</w:t>
      </w:r>
      <w:r>
        <w:rPr>
          <w:spacing w:val="1"/>
        </w:rPr>
        <w:t xml:space="preserve"> </w:t>
      </w:r>
      <w:r>
        <w:rPr>
          <w:spacing w:val="-1"/>
        </w:rPr>
        <w:t>one</w:t>
      </w:r>
      <w:r>
        <w:t xml:space="preserve"> </w:t>
      </w:r>
      <w:r>
        <w:rPr>
          <w:spacing w:val="-1"/>
        </w:rPr>
        <w:t>prior</w:t>
      </w:r>
      <w:r>
        <w:rPr>
          <w:spacing w:val="55"/>
        </w:rPr>
        <w:t xml:space="preserve"> </w:t>
      </w:r>
      <w:r>
        <w:rPr>
          <w:spacing w:val="-1"/>
        </w:rPr>
        <w:t>combination</w:t>
      </w:r>
      <w:r>
        <w:t xml:space="preserve"> </w:t>
      </w:r>
      <w:r>
        <w:rPr>
          <w:spacing w:val="-1"/>
        </w:rPr>
        <w:t>chemotherapy</w:t>
      </w:r>
      <w:r>
        <w:rPr>
          <w:spacing w:val="-5"/>
        </w:rPr>
        <w:t xml:space="preserve"> </w:t>
      </w:r>
      <w:r>
        <w:rPr>
          <w:spacing w:val="-1"/>
        </w:rPr>
        <w:t>regimen.</w:t>
      </w:r>
      <w:r>
        <w:t xml:space="preserve"> </w:t>
      </w:r>
      <w:r>
        <w:rPr>
          <w:spacing w:val="-1"/>
        </w:rPr>
        <w:t>Also,</w:t>
      </w:r>
      <w:r>
        <w:t xml:space="preserve"> </w:t>
      </w:r>
      <w:r>
        <w:rPr>
          <w:spacing w:val="-1"/>
        </w:rPr>
        <w:t>patients</w:t>
      </w:r>
      <w:r>
        <w:t xml:space="preserve"> had</w:t>
      </w:r>
      <w:r>
        <w:rPr>
          <w:spacing w:val="-3"/>
        </w:rPr>
        <w:t xml:space="preserve"> </w:t>
      </w:r>
      <w:r>
        <w:t>to be</w:t>
      </w:r>
      <w:r>
        <w:rPr>
          <w:spacing w:val="-2"/>
        </w:rPr>
        <w:t xml:space="preserve"> </w:t>
      </w:r>
      <w:r>
        <w:rPr>
          <w:spacing w:val="-1"/>
        </w:rPr>
        <w:t>ineligible</w:t>
      </w:r>
      <w:r>
        <w:rPr>
          <w:spacing w:val="-2"/>
        </w:rPr>
        <w:t xml:space="preserve"> </w:t>
      </w:r>
      <w:r>
        <w:t>for</w:t>
      </w:r>
      <w:r>
        <w:rPr>
          <w:spacing w:val="-2"/>
        </w:rPr>
        <w:t xml:space="preserve"> </w:t>
      </w:r>
      <w:r>
        <w:rPr>
          <w:spacing w:val="-1"/>
        </w:rPr>
        <w:t>intensive</w:t>
      </w:r>
      <w:r>
        <w:t xml:space="preserve"> </w:t>
      </w:r>
      <w:r>
        <w:rPr>
          <w:spacing w:val="-1"/>
        </w:rPr>
        <w:t>chemotherapy</w:t>
      </w:r>
      <w:r>
        <w:rPr>
          <w:spacing w:val="-2"/>
        </w:rPr>
        <w:t xml:space="preserve"> </w:t>
      </w:r>
      <w:r>
        <w:rPr>
          <w:spacing w:val="-1"/>
        </w:rPr>
        <w:t>and/or</w:t>
      </w:r>
      <w:r>
        <w:rPr>
          <w:spacing w:val="87"/>
        </w:rPr>
        <w:t xml:space="preserve"> </w:t>
      </w:r>
      <w:r>
        <w:rPr>
          <w:spacing w:val="-1"/>
        </w:rPr>
        <w:t xml:space="preserve">transplant </w:t>
      </w:r>
      <w:r>
        <w:t>at</w:t>
      </w:r>
      <w:r>
        <w:rPr>
          <w:spacing w:val="-2"/>
        </w:rPr>
        <w:t xml:space="preserve"> </w:t>
      </w:r>
      <w:r>
        <w:rPr>
          <w:spacing w:val="-1"/>
        </w:rPr>
        <w:t>time</w:t>
      </w:r>
      <w:r>
        <w:t xml:space="preserve"> of</w:t>
      </w:r>
      <w:r>
        <w:rPr>
          <w:spacing w:val="1"/>
        </w:rPr>
        <w:t xml:space="preserve"> </w:t>
      </w:r>
      <w:r>
        <w:rPr>
          <w:spacing w:val="-1"/>
        </w:rPr>
        <w:t>inclusion</w:t>
      </w:r>
      <w:r>
        <w:t xml:space="preserve"> in</w:t>
      </w:r>
      <w:r>
        <w:rPr>
          <w:spacing w:val="-2"/>
        </w:rPr>
        <w:t xml:space="preserve"> </w:t>
      </w:r>
      <w:r>
        <w:t>the</w:t>
      </w:r>
      <w:r>
        <w:rPr>
          <w:spacing w:val="-2"/>
        </w:rPr>
        <w:t xml:space="preserve"> </w:t>
      </w:r>
      <w:r>
        <w:rPr>
          <w:spacing w:val="-1"/>
        </w:rPr>
        <w:t>study.</w:t>
      </w:r>
      <w:r>
        <w:t xml:space="preserve"> </w:t>
      </w:r>
      <w:r>
        <w:rPr>
          <w:spacing w:val="-1"/>
        </w:rPr>
        <w:t>Patients</w:t>
      </w:r>
      <w:r>
        <w:rPr>
          <w:spacing w:val="-2"/>
        </w:rPr>
        <w:t xml:space="preserve"> </w:t>
      </w:r>
      <w:r>
        <w:rPr>
          <w:spacing w:val="-1"/>
        </w:rPr>
        <w:t>were</w:t>
      </w:r>
      <w:r>
        <w:t xml:space="preserve"> </w:t>
      </w:r>
      <w:r>
        <w:rPr>
          <w:spacing w:val="-1"/>
        </w:rPr>
        <w:t>randomised</w:t>
      </w:r>
      <w:r>
        <w:t xml:space="preserve"> </w:t>
      </w:r>
      <w:r>
        <w:rPr>
          <w:spacing w:val="-1"/>
        </w:rPr>
        <w:t>2:1</w:t>
      </w:r>
      <w:r>
        <w:rPr>
          <w:spacing w:val="-2"/>
        </w:rPr>
        <w:t xml:space="preserve"> </w:t>
      </w:r>
      <w:r>
        <w:t xml:space="preserve">to </w:t>
      </w:r>
      <w:r>
        <w:rPr>
          <w:spacing w:val="-1"/>
        </w:rPr>
        <w:t>the</w:t>
      </w:r>
      <w:r>
        <w:rPr>
          <w:spacing w:val="-2"/>
        </w:rPr>
        <w:t xml:space="preserve"> </w:t>
      </w:r>
      <w:r>
        <w:rPr>
          <w:spacing w:val="-1"/>
        </w:rPr>
        <w:t>lenalidomide</w:t>
      </w:r>
      <w:r>
        <w:t xml:space="preserve"> or</w:t>
      </w:r>
      <w:r>
        <w:rPr>
          <w:spacing w:val="-2"/>
        </w:rPr>
        <w:t xml:space="preserve"> </w:t>
      </w:r>
      <w:r>
        <w:t>the</w:t>
      </w:r>
      <w:r>
        <w:rPr>
          <w:spacing w:val="-2"/>
        </w:rPr>
        <w:t xml:space="preserve"> </w:t>
      </w:r>
      <w:r>
        <w:rPr>
          <w:spacing w:val="-1"/>
        </w:rPr>
        <w:t>control</w:t>
      </w:r>
      <w:r>
        <w:rPr>
          <w:spacing w:val="77"/>
        </w:rPr>
        <w:t xml:space="preserve"> </w:t>
      </w:r>
      <w:r>
        <w:rPr>
          <w:spacing w:val="-1"/>
        </w:rPr>
        <w:t>arm.</w:t>
      </w:r>
      <w:r>
        <w:t xml:space="preserve"> The</w:t>
      </w:r>
      <w:r>
        <w:rPr>
          <w:spacing w:val="-2"/>
        </w:rPr>
        <w:t xml:space="preserve"> </w:t>
      </w:r>
      <w:r>
        <w:rPr>
          <w:spacing w:val="-1"/>
        </w:rPr>
        <w:t>investigator’s</w:t>
      </w:r>
      <w:r>
        <w:rPr>
          <w:spacing w:val="-2"/>
        </w:rPr>
        <w:t xml:space="preserve"> </w:t>
      </w:r>
      <w:r>
        <w:rPr>
          <w:spacing w:val="-1"/>
        </w:rPr>
        <w:t>choice</w:t>
      </w:r>
      <w:r>
        <w:rPr>
          <w:spacing w:val="-2"/>
        </w:rPr>
        <w:t xml:space="preserve"> </w:t>
      </w:r>
      <w:r>
        <w:rPr>
          <w:spacing w:val="-1"/>
        </w:rPr>
        <w:t>treatment</w:t>
      </w:r>
      <w:r>
        <w:rPr>
          <w:spacing w:val="1"/>
        </w:rPr>
        <w:t xml:space="preserve"> </w:t>
      </w:r>
      <w:r>
        <w:rPr>
          <w:spacing w:val="-1"/>
        </w:rPr>
        <w:t>was</w:t>
      </w:r>
      <w:r>
        <w:t xml:space="preserve"> </w:t>
      </w:r>
      <w:r>
        <w:rPr>
          <w:spacing w:val="-1"/>
        </w:rPr>
        <w:t>selected</w:t>
      </w:r>
      <w:r>
        <w:rPr>
          <w:spacing w:val="-5"/>
        </w:rPr>
        <w:t xml:space="preserve"> </w:t>
      </w:r>
      <w:r>
        <w:rPr>
          <w:spacing w:val="-1"/>
        </w:rPr>
        <w:t>before</w:t>
      </w:r>
      <w:r>
        <w:t xml:space="preserve"> </w:t>
      </w:r>
      <w:r>
        <w:rPr>
          <w:spacing w:val="-1"/>
        </w:rPr>
        <w:t>randomisation</w:t>
      </w:r>
      <w:r>
        <w:rPr>
          <w:spacing w:val="-3"/>
        </w:rPr>
        <w:t xml:space="preserve"> </w:t>
      </w:r>
      <w:r>
        <w:t>and</w:t>
      </w:r>
      <w:r>
        <w:rPr>
          <w:spacing w:val="-2"/>
        </w:rPr>
        <w:t xml:space="preserve"> </w:t>
      </w:r>
      <w:r>
        <w:rPr>
          <w:spacing w:val="-1"/>
        </w:rPr>
        <w:t>consisted</w:t>
      </w:r>
      <w:r>
        <w:t xml:space="preserve"> of</w:t>
      </w:r>
      <w:r>
        <w:rPr>
          <w:spacing w:val="1"/>
        </w:rPr>
        <w:t xml:space="preserve"> </w:t>
      </w:r>
      <w:r>
        <w:rPr>
          <w:spacing w:val="-1"/>
        </w:rPr>
        <w:t>monotherapy</w:t>
      </w:r>
      <w:r>
        <w:rPr>
          <w:spacing w:val="89"/>
        </w:rPr>
        <w:t xml:space="preserve"> </w:t>
      </w:r>
      <w:r>
        <w:rPr>
          <w:spacing w:val="-1"/>
        </w:rPr>
        <w:t>with</w:t>
      </w:r>
      <w:r>
        <w:t xml:space="preserve"> </w:t>
      </w:r>
      <w:r>
        <w:rPr>
          <w:spacing w:val="-1"/>
        </w:rPr>
        <w:t>either</w:t>
      </w:r>
      <w:r>
        <w:rPr>
          <w:spacing w:val="-2"/>
        </w:rPr>
        <w:t xml:space="preserve"> </w:t>
      </w:r>
      <w:r>
        <w:rPr>
          <w:spacing w:val="-1"/>
        </w:rPr>
        <w:t>chlorambucil,</w:t>
      </w:r>
      <w:r>
        <w:t xml:space="preserve"> </w:t>
      </w:r>
      <w:r>
        <w:rPr>
          <w:spacing w:val="-1"/>
        </w:rPr>
        <w:t>cytarabine,</w:t>
      </w:r>
      <w:r>
        <w:rPr>
          <w:spacing w:val="-2"/>
        </w:rPr>
        <w:t xml:space="preserve"> </w:t>
      </w:r>
      <w:r>
        <w:rPr>
          <w:spacing w:val="-1"/>
        </w:rPr>
        <w:t>rituximab,</w:t>
      </w:r>
      <w:r>
        <w:t xml:space="preserve"> </w:t>
      </w:r>
      <w:r>
        <w:rPr>
          <w:spacing w:val="-1"/>
        </w:rPr>
        <w:t xml:space="preserve">fludarabine, </w:t>
      </w:r>
      <w:r>
        <w:t>or</w:t>
      </w:r>
      <w:r>
        <w:rPr>
          <w:spacing w:val="1"/>
        </w:rPr>
        <w:t xml:space="preserve"> </w:t>
      </w:r>
      <w:r>
        <w:rPr>
          <w:spacing w:val="-1"/>
        </w:rPr>
        <w:t>gemcitabine.</w:t>
      </w:r>
      <w:r w:rsidR="00B85F0C">
        <w:br/>
      </w:r>
      <w:r w:rsidR="00B85F0C">
        <w:br/>
      </w:r>
      <w:r>
        <w:rPr>
          <w:spacing w:val="-1"/>
        </w:rPr>
        <w:t>Lenalidomide</w:t>
      </w:r>
      <w:r>
        <w:rPr>
          <w:spacing w:val="1"/>
        </w:rPr>
        <w:t xml:space="preserve"> </w:t>
      </w:r>
      <w:r>
        <w:rPr>
          <w:spacing w:val="-1"/>
        </w:rPr>
        <w:t>was</w:t>
      </w:r>
      <w:r>
        <w:rPr>
          <w:spacing w:val="-2"/>
        </w:rPr>
        <w:t xml:space="preserve"> </w:t>
      </w:r>
      <w:r>
        <w:rPr>
          <w:spacing w:val="-1"/>
        </w:rPr>
        <w:t>administered</w:t>
      </w:r>
      <w:r>
        <w:rPr>
          <w:spacing w:val="-2"/>
        </w:rPr>
        <w:t xml:space="preserve"> </w:t>
      </w:r>
      <w:r>
        <w:t>orally</w:t>
      </w:r>
      <w:r>
        <w:rPr>
          <w:spacing w:val="-3"/>
        </w:rPr>
        <w:t xml:space="preserve"> </w:t>
      </w:r>
      <w:r>
        <w:t xml:space="preserve">25 </w:t>
      </w:r>
      <w:r>
        <w:rPr>
          <w:spacing w:val="-2"/>
        </w:rPr>
        <w:t>mg</w:t>
      </w:r>
      <w:r>
        <w:rPr>
          <w:spacing w:val="-3"/>
        </w:rPr>
        <w:t xml:space="preserve"> </w:t>
      </w:r>
      <w:r>
        <w:t xml:space="preserve">once </w:t>
      </w:r>
      <w:r>
        <w:rPr>
          <w:spacing w:val="-1"/>
        </w:rPr>
        <w:t>daily</w:t>
      </w:r>
      <w:r>
        <w:rPr>
          <w:spacing w:val="-2"/>
        </w:rPr>
        <w:t xml:space="preserve"> </w:t>
      </w:r>
      <w:r>
        <w:t>for</w:t>
      </w:r>
      <w:r>
        <w:rPr>
          <w:spacing w:val="1"/>
        </w:rPr>
        <w:t xml:space="preserve"> </w:t>
      </w:r>
      <w:r>
        <w:t>the</w:t>
      </w:r>
      <w:r>
        <w:rPr>
          <w:spacing w:val="-2"/>
        </w:rPr>
        <w:t xml:space="preserve"> </w:t>
      </w:r>
      <w:r>
        <w:rPr>
          <w:spacing w:val="-1"/>
        </w:rPr>
        <w:t>first</w:t>
      </w:r>
      <w:r>
        <w:rPr>
          <w:spacing w:val="1"/>
        </w:rPr>
        <w:t xml:space="preserve"> </w:t>
      </w:r>
      <w:r>
        <w:t xml:space="preserve">21 </w:t>
      </w:r>
      <w:r>
        <w:rPr>
          <w:spacing w:val="-2"/>
        </w:rPr>
        <w:t>days</w:t>
      </w:r>
      <w:r>
        <w:t xml:space="preserve"> </w:t>
      </w:r>
      <w:r>
        <w:rPr>
          <w:spacing w:val="-1"/>
        </w:rPr>
        <w:t>(D1</w:t>
      </w:r>
      <w:r>
        <w:t xml:space="preserve"> </w:t>
      </w:r>
      <w:r>
        <w:rPr>
          <w:spacing w:val="-1"/>
        </w:rPr>
        <w:t>to</w:t>
      </w:r>
      <w:r>
        <w:t xml:space="preserve"> </w:t>
      </w:r>
      <w:r>
        <w:rPr>
          <w:spacing w:val="-1"/>
        </w:rPr>
        <w:t>D21)</w:t>
      </w:r>
      <w:r>
        <w:rPr>
          <w:spacing w:val="1"/>
        </w:rPr>
        <w:t xml:space="preserve"> </w:t>
      </w:r>
      <w:r>
        <w:rPr>
          <w:spacing w:val="-2"/>
        </w:rPr>
        <w:t>of</w:t>
      </w:r>
      <w:r>
        <w:rPr>
          <w:spacing w:val="1"/>
        </w:rPr>
        <w:t xml:space="preserve"> </w:t>
      </w:r>
      <w:r>
        <w:rPr>
          <w:spacing w:val="-1"/>
        </w:rPr>
        <w:t>repeating</w:t>
      </w:r>
      <w:r w:rsidR="00B85F0C">
        <w:t xml:space="preserve"> </w:t>
      </w:r>
      <w:r>
        <w:rPr>
          <w:spacing w:val="-1"/>
        </w:rPr>
        <w:t>28-day</w:t>
      </w:r>
      <w:r>
        <w:rPr>
          <w:spacing w:val="-3"/>
        </w:rPr>
        <w:t xml:space="preserve"> </w:t>
      </w:r>
      <w:r>
        <w:rPr>
          <w:spacing w:val="-1"/>
        </w:rPr>
        <w:t>cycles</w:t>
      </w:r>
      <w:r>
        <w:t xml:space="preserve"> </w:t>
      </w:r>
      <w:r>
        <w:rPr>
          <w:spacing w:val="-1"/>
        </w:rPr>
        <w:t>until</w:t>
      </w:r>
      <w:r>
        <w:rPr>
          <w:spacing w:val="-2"/>
        </w:rPr>
        <w:t xml:space="preserve"> </w:t>
      </w:r>
      <w:r>
        <w:rPr>
          <w:spacing w:val="-1"/>
        </w:rPr>
        <w:t>progression</w:t>
      </w:r>
      <w:r>
        <w:t xml:space="preserve"> </w:t>
      </w:r>
      <w:r>
        <w:rPr>
          <w:spacing w:val="-1"/>
        </w:rPr>
        <w:t>or</w:t>
      </w:r>
      <w:r>
        <w:rPr>
          <w:spacing w:val="1"/>
        </w:rPr>
        <w:t xml:space="preserve"> </w:t>
      </w:r>
      <w:r>
        <w:rPr>
          <w:spacing w:val="-1"/>
        </w:rPr>
        <w:t>unacceptable</w:t>
      </w:r>
      <w:r>
        <w:t xml:space="preserve"> </w:t>
      </w:r>
      <w:r>
        <w:rPr>
          <w:spacing w:val="-1"/>
        </w:rPr>
        <w:t>toxicity.</w:t>
      </w:r>
      <w:r>
        <w:t xml:space="preserve"> </w:t>
      </w:r>
      <w:r>
        <w:rPr>
          <w:spacing w:val="-1"/>
        </w:rPr>
        <w:t>Patients</w:t>
      </w:r>
      <w:r>
        <w:t xml:space="preserve"> </w:t>
      </w:r>
      <w:r>
        <w:rPr>
          <w:spacing w:val="-1"/>
        </w:rPr>
        <w:t>with</w:t>
      </w:r>
      <w:r>
        <w:t xml:space="preserve"> </w:t>
      </w:r>
      <w:r>
        <w:rPr>
          <w:spacing w:val="-1"/>
        </w:rPr>
        <w:t>moderate</w:t>
      </w:r>
      <w:r>
        <w:rPr>
          <w:spacing w:val="-2"/>
        </w:rPr>
        <w:t xml:space="preserve"> </w:t>
      </w:r>
      <w:r>
        <w:rPr>
          <w:spacing w:val="-1"/>
        </w:rPr>
        <w:t>renal insufficiency</w:t>
      </w:r>
      <w:r>
        <w:rPr>
          <w:spacing w:val="-3"/>
        </w:rPr>
        <w:t xml:space="preserve"> </w:t>
      </w:r>
      <w:r>
        <w:rPr>
          <w:spacing w:val="-1"/>
        </w:rPr>
        <w:t>were</w:t>
      </w:r>
      <w:r>
        <w:t xml:space="preserve"> </w:t>
      </w:r>
      <w:r>
        <w:rPr>
          <w:spacing w:val="-1"/>
        </w:rPr>
        <w:t>to</w:t>
      </w:r>
      <w:r>
        <w:rPr>
          <w:spacing w:val="87"/>
        </w:rPr>
        <w:t xml:space="preserve"> </w:t>
      </w:r>
      <w:r>
        <w:rPr>
          <w:spacing w:val="-1"/>
        </w:rPr>
        <w:t>receive</w:t>
      </w:r>
      <w:r>
        <w:t xml:space="preserve"> a </w:t>
      </w:r>
      <w:r>
        <w:rPr>
          <w:spacing w:val="-1"/>
        </w:rPr>
        <w:t>lower starting</w:t>
      </w:r>
      <w:r>
        <w:rPr>
          <w:spacing w:val="-3"/>
        </w:rPr>
        <w:t xml:space="preserve"> </w:t>
      </w:r>
      <w:r>
        <w:rPr>
          <w:spacing w:val="-1"/>
        </w:rPr>
        <w:t>dose</w:t>
      </w:r>
      <w:r>
        <w:t xml:space="preserve"> of</w:t>
      </w:r>
      <w:r>
        <w:rPr>
          <w:spacing w:val="-2"/>
        </w:rPr>
        <w:t xml:space="preserve"> </w:t>
      </w:r>
      <w:r>
        <w:rPr>
          <w:spacing w:val="-1"/>
        </w:rPr>
        <w:t>lenalidomide</w:t>
      </w:r>
      <w:r>
        <w:t xml:space="preserve"> 10 </w:t>
      </w:r>
      <w:r>
        <w:rPr>
          <w:spacing w:val="-2"/>
        </w:rPr>
        <w:t xml:space="preserve">mg </w:t>
      </w:r>
      <w:r>
        <w:t>daily</w:t>
      </w:r>
      <w:r>
        <w:rPr>
          <w:spacing w:val="-3"/>
        </w:rPr>
        <w:t xml:space="preserve"> </w:t>
      </w:r>
      <w:r>
        <w:t xml:space="preserve">on </w:t>
      </w:r>
      <w:r>
        <w:rPr>
          <w:spacing w:val="-1"/>
        </w:rPr>
        <w:t>the</w:t>
      </w:r>
      <w:r>
        <w:t xml:space="preserve"> </w:t>
      </w:r>
      <w:r>
        <w:rPr>
          <w:spacing w:val="-1"/>
        </w:rPr>
        <w:t>same</w:t>
      </w:r>
      <w:r>
        <w:t xml:space="preserve"> </w:t>
      </w:r>
      <w:r>
        <w:rPr>
          <w:spacing w:val="-1"/>
        </w:rPr>
        <w:t>schedule.</w:t>
      </w:r>
      <w:r w:rsidR="00B85F0C">
        <w:br/>
      </w:r>
      <w:r w:rsidR="00B85F0C">
        <w:br/>
      </w:r>
      <w:r>
        <w:t>The</w:t>
      </w:r>
      <w:r>
        <w:rPr>
          <w:spacing w:val="-2"/>
        </w:rPr>
        <w:t xml:space="preserve"> </w:t>
      </w:r>
      <w:r>
        <w:rPr>
          <w:spacing w:val="-1"/>
        </w:rPr>
        <w:t>baseline</w:t>
      </w:r>
      <w:r>
        <w:rPr>
          <w:spacing w:val="1"/>
        </w:rPr>
        <w:t xml:space="preserve"> </w:t>
      </w:r>
      <w:r>
        <w:rPr>
          <w:spacing w:val="-1"/>
        </w:rPr>
        <w:t>demographic</w:t>
      </w:r>
      <w:r>
        <w:rPr>
          <w:spacing w:val="-2"/>
        </w:rPr>
        <w:t xml:space="preserve"> </w:t>
      </w:r>
      <w:r>
        <w:t xml:space="preserve">were </w:t>
      </w:r>
      <w:r>
        <w:rPr>
          <w:spacing w:val="-1"/>
        </w:rPr>
        <w:t>comparable</w:t>
      </w:r>
      <w:r>
        <w:rPr>
          <w:spacing w:val="-2"/>
        </w:rPr>
        <w:t xml:space="preserve"> </w:t>
      </w:r>
      <w:r>
        <w:rPr>
          <w:spacing w:val="-1"/>
        </w:rPr>
        <w:t>between</w:t>
      </w:r>
      <w:r>
        <w:rPr>
          <w:spacing w:val="-3"/>
        </w:rPr>
        <w:t xml:space="preserve"> </w:t>
      </w:r>
      <w:r>
        <w:rPr>
          <w:spacing w:val="-1"/>
        </w:rPr>
        <w:t>the</w:t>
      </w:r>
      <w:r>
        <w:t xml:space="preserve"> </w:t>
      </w:r>
      <w:r>
        <w:rPr>
          <w:spacing w:val="-1"/>
        </w:rPr>
        <w:t>lenalidomide</w:t>
      </w:r>
      <w:r>
        <w:rPr>
          <w:spacing w:val="1"/>
        </w:rPr>
        <w:t xml:space="preserve"> </w:t>
      </w:r>
      <w:r>
        <w:rPr>
          <w:spacing w:val="-1"/>
        </w:rPr>
        <w:t>arm</w:t>
      </w:r>
      <w:r>
        <w:rPr>
          <w:spacing w:val="-4"/>
        </w:rPr>
        <w:t xml:space="preserve"> </w:t>
      </w:r>
      <w:r>
        <w:t xml:space="preserve">and </w:t>
      </w:r>
      <w:r>
        <w:rPr>
          <w:spacing w:val="-1"/>
        </w:rPr>
        <w:t>control</w:t>
      </w:r>
      <w:r>
        <w:rPr>
          <w:spacing w:val="1"/>
        </w:rPr>
        <w:t xml:space="preserve"> </w:t>
      </w:r>
      <w:r>
        <w:rPr>
          <w:spacing w:val="-2"/>
        </w:rPr>
        <w:t>arm.</w:t>
      </w:r>
      <w:r>
        <w:t xml:space="preserve"> Both </w:t>
      </w:r>
      <w:r>
        <w:rPr>
          <w:spacing w:val="-1"/>
        </w:rPr>
        <w:t>patient</w:t>
      </w:r>
      <w:r>
        <w:rPr>
          <w:spacing w:val="71"/>
        </w:rPr>
        <w:t xml:space="preserve"> </w:t>
      </w:r>
      <w:r>
        <w:rPr>
          <w:spacing w:val="-1"/>
        </w:rPr>
        <w:t>populations</w:t>
      </w:r>
      <w:r>
        <w:rPr>
          <w:spacing w:val="1"/>
        </w:rPr>
        <w:t xml:space="preserve"> </w:t>
      </w:r>
      <w:r>
        <w:rPr>
          <w:spacing w:val="-1"/>
        </w:rPr>
        <w:t>presented</w:t>
      </w:r>
      <w:r>
        <w:t xml:space="preserve"> a</w:t>
      </w:r>
      <w:r>
        <w:rPr>
          <w:spacing w:val="-2"/>
        </w:rPr>
        <w:t xml:space="preserve"> </w:t>
      </w:r>
      <w:r>
        <w:rPr>
          <w:spacing w:val="-1"/>
        </w:rPr>
        <w:t>median</w:t>
      </w:r>
      <w:r>
        <w:rPr>
          <w:spacing w:val="-2"/>
        </w:rPr>
        <w:t xml:space="preserve"> </w:t>
      </w:r>
      <w:r>
        <w:rPr>
          <w:spacing w:val="-1"/>
        </w:rPr>
        <w:t>age</w:t>
      </w:r>
      <w:r>
        <w:t xml:space="preserve"> of</w:t>
      </w:r>
      <w:r>
        <w:rPr>
          <w:spacing w:val="1"/>
        </w:rPr>
        <w:t xml:space="preserve"> </w:t>
      </w:r>
      <w:r>
        <w:t xml:space="preserve">68.5 </w:t>
      </w:r>
      <w:r>
        <w:rPr>
          <w:spacing w:val="-1"/>
        </w:rPr>
        <w:t>years</w:t>
      </w:r>
      <w:r>
        <w:rPr>
          <w:spacing w:val="1"/>
        </w:rPr>
        <w:t xml:space="preserve"> </w:t>
      </w:r>
      <w:r>
        <w:rPr>
          <w:spacing w:val="-1"/>
        </w:rPr>
        <w:t>with</w:t>
      </w:r>
      <w:r>
        <w:rPr>
          <w:spacing w:val="-2"/>
        </w:rPr>
        <w:t xml:space="preserve"> </w:t>
      </w:r>
      <w:r>
        <w:rPr>
          <w:spacing w:val="-1"/>
        </w:rPr>
        <w:t>comparable</w:t>
      </w:r>
      <w:r>
        <w:rPr>
          <w:spacing w:val="-2"/>
        </w:rPr>
        <w:t xml:space="preserve"> </w:t>
      </w:r>
      <w:r>
        <w:rPr>
          <w:spacing w:val="-1"/>
        </w:rPr>
        <w:t>male</w:t>
      </w:r>
      <w:r>
        <w:t xml:space="preserve"> to</w:t>
      </w:r>
      <w:r>
        <w:rPr>
          <w:spacing w:val="-2"/>
        </w:rPr>
        <w:t xml:space="preserve"> </w:t>
      </w:r>
      <w:r>
        <w:rPr>
          <w:spacing w:val="-1"/>
        </w:rPr>
        <w:t>female</w:t>
      </w:r>
      <w:r>
        <w:rPr>
          <w:spacing w:val="-2"/>
        </w:rPr>
        <w:t xml:space="preserve"> </w:t>
      </w:r>
      <w:r>
        <w:rPr>
          <w:spacing w:val="-1"/>
        </w:rPr>
        <w:t>ratio.</w:t>
      </w:r>
      <w:r>
        <w:rPr>
          <w:spacing w:val="-3"/>
        </w:rPr>
        <w:t xml:space="preserve"> </w:t>
      </w:r>
      <w:r>
        <w:rPr>
          <w:spacing w:val="-1"/>
        </w:rPr>
        <w:t>The</w:t>
      </w:r>
      <w:r>
        <w:t xml:space="preserve"> </w:t>
      </w:r>
      <w:r>
        <w:rPr>
          <w:spacing w:val="-1"/>
        </w:rPr>
        <w:t>ECOG</w:t>
      </w:r>
      <w:r>
        <w:rPr>
          <w:spacing w:val="63"/>
        </w:rPr>
        <w:t xml:space="preserve"> </w:t>
      </w:r>
      <w:r>
        <w:rPr>
          <w:spacing w:val="-1"/>
        </w:rPr>
        <w:t>performance</w:t>
      </w:r>
      <w:r>
        <w:t xml:space="preserve"> </w:t>
      </w:r>
      <w:r>
        <w:rPr>
          <w:spacing w:val="-1"/>
        </w:rPr>
        <w:t>status</w:t>
      </w:r>
      <w:r>
        <w:t xml:space="preserve"> </w:t>
      </w:r>
      <w:r>
        <w:rPr>
          <w:spacing w:val="-1"/>
        </w:rPr>
        <w:t>was</w:t>
      </w:r>
      <w:r>
        <w:t xml:space="preserve"> </w:t>
      </w:r>
      <w:r>
        <w:rPr>
          <w:spacing w:val="-1"/>
        </w:rPr>
        <w:t>comparable</w:t>
      </w:r>
      <w:r>
        <w:t xml:space="preserve"> </w:t>
      </w:r>
      <w:r>
        <w:rPr>
          <w:spacing w:val="-1"/>
        </w:rPr>
        <w:t>between</w:t>
      </w:r>
      <w:r>
        <w:t xml:space="preserve"> </w:t>
      </w:r>
      <w:r>
        <w:rPr>
          <w:spacing w:val="-1"/>
        </w:rPr>
        <w:t>both</w:t>
      </w:r>
      <w:r>
        <w:t xml:space="preserve"> </w:t>
      </w:r>
      <w:r>
        <w:rPr>
          <w:spacing w:val="-1"/>
        </w:rPr>
        <w:t>groups,</w:t>
      </w:r>
      <w:r>
        <w:t xml:space="preserve"> as</w:t>
      </w:r>
      <w:r>
        <w:rPr>
          <w:spacing w:val="-2"/>
        </w:rPr>
        <w:t xml:space="preserve"> </w:t>
      </w:r>
      <w:r>
        <w:rPr>
          <w:spacing w:val="-1"/>
        </w:rPr>
        <w:t>was</w:t>
      </w:r>
      <w:r>
        <w:rPr>
          <w:spacing w:val="-2"/>
        </w:rPr>
        <w:t xml:space="preserve"> </w:t>
      </w:r>
      <w:r>
        <w:t xml:space="preserve">the </w:t>
      </w:r>
      <w:r>
        <w:rPr>
          <w:spacing w:val="-1"/>
        </w:rPr>
        <w:t>number</w:t>
      </w:r>
      <w:r>
        <w:rPr>
          <w:spacing w:val="1"/>
        </w:rPr>
        <w:t xml:space="preserve"> </w:t>
      </w:r>
      <w:r>
        <w:rPr>
          <w:spacing w:val="-2"/>
        </w:rPr>
        <w:t>of</w:t>
      </w:r>
      <w:r>
        <w:rPr>
          <w:spacing w:val="1"/>
        </w:rPr>
        <w:t xml:space="preserve"> </w:t>
      </w:r>
      <w:r>
        <w:rPr>
          <w:spacing w:val="-1"/>
        </w:rPr>
        <w:t>prior</w:t>
      </w:r>
      <w:r>
        <w:rPr>
          <w:spacing w:val="1"/>
        </w:rPr>
        <w:t xml:space="preserve"> </w:t>
      </w:r>
      <w:r>
        <w:rPr>
          <w:spacing w:val="-1"/>
        </w:rPr>
        <w:t>therapies.</w:t>
      </w:r>
      <w:r w:rsidR="00B85F0C">
        <w:br/>
      </w:r>
      <w:r w:rsidR="00B85F0C">
        <w:br/>
      </w:r>
      <w:r>
        <w:t>The</w:t>
      </w:r>
      <w:r>
        <w:rPr>
          <w:spacing w:val="-2"/>
        </w:rPr>
        <w:t xml:space="preserve"> </w:t>
      </w:r>
      <w:r>
        <w:rPr>
          <w:spacing w:val="-1"/>
        </w:rPr>
        <w:t>primary</w:t>
      </w:r>
      <w:r>
        <w:rPr>
          <w:spacing w:val="-3"/>
        </w:rPr>
        <w:t xml:space="preserve"> </w:t>
      </w:r>
      <w:r>
        <w:t>efficacy</w:t>
      </w:r>
      <w:r>
        <w:rPr>
          <w:spacing w:val="-2"/>
        </w:rPr>
        <w:t xml:space="preserve"> </w:t>
      </w:r>
      <w:r>
        <w:rPr>
          <w:spacing w:val="-1"/>
        </w:rPr>
        <w:t xml:space="preserve">endpoint </w:t>
      </w:r>
      <w:r>
        <w:t xml:space="preserve">in </w:t>
      </w:r>
      <w:r>
        <w:rPr>
          <w:spacing w:val="-1"/>
        </w:rPr>
        <w:t>study</w:t>
      </w:r>
      <w:r>
        <w:rPr>
          <w:spacing w:val="-3"/>
        </w:rPr>
        <w:t xml:space="preserve"> </w:t>
      </w:r>
      <w:r>
        <w:rPr>
          <w:spacing w:val="-1"/>
        </w:rPr>
        <w:t>MCL-002</w:t>
      </w:r>
      <w:r>
        <w:t xml:space="preserve"> </w:t>
      </w:r>
      <w:r>
        <w:rPr>
          <w:spacing w:val="-1"/>
        </w:rPr>
        <w:t>was</w:t>
      </w:r>
      <w:r>
        <w:t xml:space="preserve"> </w:t>
      </w:r>
      <w:r>
        <w:rPr>
          <w:spacing w:val="-1"/>
        </w:rPr>
        <w:t>progression-free</w:t>
      </w:r>
      <w:r>
        <w:rPr>
          <w:spacing w:val="-2"/>
        </w:rPr>
        <w:t xml:space="preserve"> </w:t>
      </w:r>
      <w:r>
        <w:rPr>
          <w:spacing w:val="-1"/>
        </w:rPr>
        <w:t>survival</w:t>
      </w:r>
      <w:r>
        <w:rPr>
          <w:spacing w:val="-2"/>
        </w:rPr>
        <w:t xml:space="preserve"> </w:t>
      </w:r>
      <w:r>
        <w:rPr>
          <w:spacing w:val="-1"/>
        </w:rPr>
        <w:t>(PFS).</w:t>
      </w:r>
      <w:r w:rsidR="00B85F0C">
        <w:br/>
      </w:r>
      <w:r w:rsidR="00B85F0C">
        <w:br/>
      </w:r>
      <w:r>
        <w:t>The</w:t>
      </w:r>
      <w:r>
        <w:rPr>
          <w:spacing w:val="-2"/>
        </w:rPr>
        <w:t xml:space="preserve"> </w:t>
      </w:r>
      <w:r>
        <w:rPr>
          <w:spacing w:val="-1"/>
        </w:rPr>
        <w:t>efficacy</w:t>
      </w:r>
      <w:r>
        <w:rPr>
          <w:spacing w:val="-3"/>
        </w:rPr>
        <w:t xml:space="preserve"> </w:t>
      </w:r>
      <w:r>
        <w:rPr>
          <w:spacing w:val="-1"/>
        </w:rPr>
        <w:t>results</w:t>
      </w:r>
      <w:r>
        <w:rPr>
          <w:spacing w:val="-2"/>
        </w:rPr>
        <w:t xml:space="preserve"> </w:t>
      </w:r>
      <w:r>
        <w:t>for</w:t>
      </w:r>
      <w:r>
        <w:rPr>
          <w:spacing w:val="-2"/>
        </w:rPr>
        <w:t xml:space="preserve"> </w:t>
      </w:r>
      <w:r>
        <w:t>the</w:t>
      </w:r>
      <w:r>
        <w:rPr>
          <w:spacing w:val="-5"/>
        </w:rPr>
        <w:t xml:space="preserve"> </w:t>
      </w:r>
      <w:r>
        <w:rPr>
          <w:spacing w:val="-1"/>
        </w:rPr>
        <w:t>Intent-to-Treat</w:t>
      </w:r>
      <w:r>
        <w:rPr>
          <w:spacing w:val="-2"/>
        </w:rPr>
        <w:t xml:space="preserve"> </w:t>
      </w:r>
      <w:r>
        <w:rPr>
          <w:spacing w:val="-1"/>
        </w:rPr>
        <w:t>(ITT)</w:t>
      </w:r>
      <w:r>
        <w:t xml:space="preserve"> </w:t>
      </w:r>
      <w:r>
        <w:rPr>
          <w:spacing w:val="-1"/>
        </w:rPr>
        <w:t>population</w:t>
      </w:r>
      <w:r>
        <w:t xml:space="preserve"> </w:t>
      </w:r>
      <w:r>
        <w:rPr>
          <w:spacing w:val="-1"/>
        </w:rPr>
        <w:t>were</w:t>
      </w:r>
      <w:r>
        <w:t xml:space="preserve"> </w:t>
      </w:r>
      <w:r>
        <w:rPr>
          <w:spacing w:val="-1"/>
        </w:rPr>
        <w:t>assessed</w:t>
      </w:r>
      <w:r>
        <w:t xml:space="preserve"> by</w:t>
      </w:r>
      <w:r>
        <w:rPr>
          <w:spacing w:val="-3"/>
        </w:rPr>
        <w:t xml:space="preserve"> </w:t>
      </w:r>
      <w:r>
        <w:rPr>
          <w:spacing w:val="-1"/>
        </w:rPr>
        <w:t>the</w:t>
      </w:r>
      <w:r>
        <w:t xml:space="preserve"> </w:t>
      </w:r>
      <w:r>
        <w:rPr>
          <w:spacing w:val="-1"/>
        </w:rPr>
        <w:t>Independent Review</w:t>
      </w:r>
      <w:r>
        <w:rPr>
          <w:spacing w:val="87"/>
        </w:rPr>
        <w:t xml:space="preserve"> </w:t>
      </w:r>
      <w:r>
        <w:rPr>
          <w:spacing w:val="-1"/>
        </w:rPr>
        <w:t>Committee</w:t>
      </w:r>
      <w:r>
        <w:t xml:space="preserve"> </w:t>
      </w:r>
      <w:r>
        <w:rPr>
          <w:spacing w:val="-1"/>
        </w:rPr>
        <w:t>(IRC),</w:t>
      </w:r>
      <w:r>
        <w:t xml:space="preserve"> and </w:t>
      </w:r>
      <w:r>
        <w:rPr>
          <w:spacing w:val="-1"/>
        </w:rPr>
        <w:t>are</w:t>
      </w:r>
      <w:r>
        <w:rPr>
          <w:spacing w:val="-2"/>
        </w:rPr>
        <w:t xml:space="preserve"> </w:t>
      </w:r>
      <w:r>
        <w:rPr>
          <w:spacing w:val="-1"/>
        </w:rPr>
        <w:t>presented</w:t>
      </w:r>
      <w:r>
        <w:t xml:space="preserve"> </w:t>
      </w:r>
      <w:r>
        <w:rPr>
          <w:spacing w:val="-1"/>
        </w:rPr>
        <w:t>in</w:t>
      </w:r>
      <w:r>
        <w:t xml:space="preserve"> </w:t>
      </w:r>
      <w:r>
        <w:rPr>
          <w:spacing w:val="-1"/>
        </w:rPr>
        <w:t>the</w:t>
      </w:r>
      <w:r>
        <w:t xml:space="preserve"> </w:t>
      </w:r>
      <w:r>
        <w:rPr>
          <w:spacing w:val="-1"/>
        </w:rPr>
        <w:t>table</w:t>
      </w:r>
      <w:r>
        <w:t xml:space="preserve"> </w:t>
      </w:r>
      <w:r>
        <w:rPr>
          <w:spacing w:val="-2"/>
        </w:rPr>
        <w:t>below.</w:t>
      </w:r>
    </w:p>
    <w:p w:rsidR="00F72327" w:rsidRDefault="00F72327" w:rsidP="00514498">
      <w:pPr>
        <w:rPr>
          <w:rFonts w:eastAsia="Times New Roman"/>
        </w:rPr>
      </w:pPr>
    </w:p>
    <w:p w:rsidR="00F72327" w:rsidRDefault="00F72327" w:rsidP="00B2301B">
      <w:pPr>
        <w:pStyle w:val="Heading1"/>
        <w:numPr>
          <w:ilvl w:val="0"/>
          <w:numId w:val="0"/>
        </w:numPr>
        <w:shd w:val="clear" w:color="auto" w:fill="DBE5F1" w:themeFill="accent1" w:themeFillTint="33"/>
        <w:rPr>
          <w:b w:val="0"/>
          <w:bCs w:val="0"/>
        </w:rPr>
      </w:pPr>
      <w:r>
        <w:rPr>
          <w:spacing w:val="-1"/>
        </w:rPr>
        <w:t>Table</w:t>
      </w:r>
      <w:r>
        <w:t xml:space="preserve"> 13. </w:t>
      </w:r>
      <w:r>
        <w:rPr>
          <w:spacing w:val="-1"/>
        </w:rPr>
        <w:t>Summary</w:t>
      </w:r>
      <w:r>
        <w:rPr>
          <w:spacing w:val="-3"/>
        </w:rPr>
        <w:t xml:space="preserve"> </w:t>
      </w:r>
      <w:r>
        <w:rPr>
          <w:spacing w:val="-2"/>
        </w:rPr>
        <w:t>of</w:t>
      </w:r>
      <w:r>
        <w:rPr>
          <w:spacing w:val="3"/>
        </w:rPr>
        <w:t xml:space="preserve"> </w:t>
      </w:r>
      <w:r>
        <w:rPr>
          <w:spacing w:val="-1"/>
        </w:rPr>
        <w:t>efficacy</w:t>
      </w:r>
      <w:r>
        <w:t xml:space="preserve"> </w:t>
      </w:r>
      <w:r>
        <w:rPr>
          <w:spacing w:val="-1"/>
        </w:rPr>
        <w:t>results</w:t>
      </w:r>
      <w:r>
        <w:rPr>
          <w:spacing w:val="-2"/>
        </w:rPr>
        <w:t xml:space="preserve"> </w:t>
      </w:r>
      <w:r>
        <w:t xml:space="preserve">– </w:t>
      </w:r>
      <w:r>
        <w:rPr>
          <w:spacing w:val="-1"/>
        </w:rPr>
        <w:t>study</w:t>
      </w:r>
      <w:r>
        <w:t xml:space="preserve"> </w:t>
      </w:r>
      <w:r>
        <w:rPr>
          <w:spacing w:val="-1"/>
        </w:rPr>
        <w:t>MCL-002,</w:t>
      </w:r>
      <w:r>
        <w:rPr>
          <w:spacing w:val="-3"/>
        </w:rPr>
        <w:t xml:space="preserve"> </w:t>
      </w:r>
      <w:r>
        <w:rPr>
          <w:spacing w:val="-1"/>
        </w:rPr>
        <w:t>intent-to-treat</w:t>
      </w:r>
      <w:r>
        <w:rPr>
          <w:spacing w:val="1"/>
        </w:rPr>
        <w:t xml:space="preserve"> </w:t>
      </w:r>
      <w:r>
        <w:rPr>
          <w:spacing w:val="-1"/>
        </w:rPr>
        <w:t>population</w:t>
      </w:r>
    </w:p>
    <w:tbl>
      <w:tblPr>
        <w:tblW w:w="0" w:type="auto"/>
        <w:tblInd w:w="104" w:type="dxa"/>
        <w:tblLayout w:type="fixed"/>
        <w:tblCellMar>
          <w:left w:w="0" w:type="dxa"/>
          <w:right w:w="0" w:type="dxa"/>
        </w:tblCellMar>
        <w:tblLook w:val="01E0" w:firstRow="1" w:lastRow="1" w:firstColumn="1" w:lastColumn="1" w:noHBand="0" w:noVBand="0"/>
      </w:tblPr>
      <w:tblGrid>
        <w:gridCol w:w="4785"/>
        <w:gridCol w:w="2582"/>
        <w:gridCol w:w="2487"/>
      </w:tblGrid>
      <w:tr w:rsidR="00F72327" w:rsidTr="00F72327">
        <w:trPr>
          <w:trHeight w:hRule="exact" w:val="521"/>
        </w:trPr>
        <w:tc>
          <w:tcPr>
            <w:tcW w:w="4785" w:type="dxa"/>
            <w:tcBorders>
              <w:top w:val="single" w:sz="5" w:space="0" w:color="000000"/>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2582" w:type="dxa"/>
            <w:tcBorders>
              <w:top w:val="single" w:sz="5" w:space="0" w:color="000000"/>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2"/>
              <w:jc w:val="center"/>
              <w:rPr>
                <w:rFonts w:ascii="Times New Roman" w:eastAsia="Times New Roman" w:hAnsi="Times New Roman" w:cs="Times New Roman"/>
              </w:rPr>
            </w:pPr>
            <w:r>
              <w:rPr>
                <w:rFonts w:ascii="Times New Roman"/>
                <w:b/>
                <w:spacing w:val="-1"/>
              </w:rPr>
              <w:t>Lenalidomide</w:t>
            </w:r>
            <w:r>
              <w:rPr>
                <w:rFonts w:ascii="Times New Roman"/>
                <w:b/>
              </w:rPr>
              <w:t xml:space="preserve"> </w:t>
            </w:r>
            <w:r>
              <w:rPr>
                <w:rFonts w:ascii="Times New Roman"/>
                <w:b/>
                <w:spacing w:val="-1"/>
              </w:rPr>
              <w:t>Arm</w:t>
            </w:r>
          </w:p>
          <w:p w:rsidR="00F72327" w:rsidRDefault="00F72327" w:rsidP="00B2301B">
            <w:pPr>
              <w:pStyle w:val="TableParagraph"/>
              <w:shd w:val="clear" w:color="auto" w:fill="DBE5F1" w:themeFill="accent1" w:themeFillTint="33"/>
              <w:spacing w:before="1" w:line="252" w:lineRule="exact"/>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170</w:t>
            </w:r>
          </w:p>
        </w:tc>
        <w:tc>
          <w:tcPr>
            <w:tcW w:w="2487" w:type="dxa"/>
            <w:tcBorders>
              <w:top w:val="single" w:sz="5" w:space="0" w:color="000000"/>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b/>
                <w:spacing w:val="-1"/>
              </w:rPr>
              <w:t>Control Arm</w:t>
            </w:r>
          </w:p>
          <w:p w:rsidR="00F72327" w:rsidRDefault="00F72327" w:rsidP="00B2301B">
            <w:pPr>
              <w:pStyle w:val="TableParagraph"/>
              <w:shd w:val="clear" w:color="auto" w:fill="DBE5F1" w:themeFill="accent1" w:themeFillTint="33"/>
              <w:spacing w:before="1" w:line="252" w:lineRule="exact"/>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84</w:t>
            </w:r>
          </w:p>
        </w:tc>
      </w:tr>
      <w:tr w:rsidR="00F72327" w:rsidTr="00F72327">
        <w:trPr>
          <w:trHeight w:hRule="exact" w:val="516"/>
        </w:trPr>
        <w:tc>
          <w:tcPr>
            <w:tcW w:w="4785" w:type="dxa"/>
            <w:vMerge w:val="restart"/>
            <w:tcBorders>
              <w:top w:val="single" w:sz="8" w:space="0" w:color="000000"/>
              <w:left w:val="single" w:sz="5" w:space="0" w:color="000000"/>
              <w:right w:val="single" w:sz="5" w:space="0" w:color="000000"/>
            </w:tcBorders>
          </w:tcPr>
          <w:p w:rsidR="00F72327" w:rsidRDefault="00F72327" w:rsidP="00B2301B">
            <w:pPr>
              <w:pStyle w:val="TableParagraph"/>
              <w:shd w:val="clear" w:color="auto" w:fill="DBE5F1" w:themeFill="accent1" w:themeFillTint="33"/>
              <w:spacing w:line="250" w:lineRule="exact"/>
              <w:ind w:left="102"/>
              <w:rPr>
                <w:rFonts w:ascii="Times New Roman" w:eastAsia="Times New Roman" w:hAnsi="Times New Roman" w:cs="Times New Roman"/>
              </w:rPr>
            </w:pPr>
            <w:r>
              <w:rPr>
                <w:rFonts w:ascii="Times New Roman"/>
                <w:b/>
              </w:rPr>
              <w:t>PFS</w:t>
            </w:r>
          </w:p>
          <w:p w:rsidR="00F72327" w:rsidRDefault="00F72327" w:rsidP="00B2301B">
            <w:pPr>
              <w:pStyle w:val="TableParagraph"/>
              <w:shd w:val="clear" w:color="auto" w:fill="DBE5F1" w:themeFill="accent1" w:themeFillTint="33"/>
              <w:spacing w:before="1" w:line="235" w:lineRule="auto"/>
              <w:ind w:left="102" w:right="1727"/>
              <w:rPr>
                <w:rFonts w:ascii="Times New Roman" w:eastAsia="Times New Roman" w:hAnsi="Times New Roman" w:cs="Times New Roman"/>
                <w:sz w:val="14"/>
                <w:szCs w:val="14"/>
              </w:rPr>
            </w:pPr>
            <w:r>
              <w:rPr>
                <w:rFonts w:ascii="Times New Roman"/>
                <w:b/>
              </w:rPr>
              <w:t>PFS,</w:t>
            </w:r>
            <w:r>
              <w:rPr>
                <w:rFonts w:ascii="Times New Roman"/>
                <w:b/>
                <w:spacing w:val="-4"/>
              </w:rPr>
              <w:t xml:space="preserve"> </w:t>
            </w:r>
            <w:r>
              <w:rPr>
                <w:rFonts w:ascii="Times New Roman"/>
                <w:b/>
                <w:spacing w:val="-1"/>
              </w:rPr>
              <w:t>median</w:t>
            </w:r>
            <w:r>
              <w:rPr>
                <w:rFonts w:ascii="Times New Roman"/>
                <w:spacing w:val="-1"/>
                <w:position w:val="8"/>
                <w:sz w:val="14"/>
              </w:rPr>
              <w:t xml:space="preserve">a </w:t>
            </w:r>
            <w:r>
              <w:rPr>
                <w:rFonts w:ascii="Times New Roman"/>
                <w:spacing w:val="-1"/>
              </w:rPr>
              <w:t>[95%</w:t>
            </w:r>
            <w:r>
              <w:rPr>
                <w:rFonts w:ascii="Times New Roman"/>
                <w:spacing w:val="1"/>
              </w:rPr>
              <w:t xml:space="preserve"> </w:t>
            </w:r>
            <w:r>
              <w:rPr>
                <w:rFonts w:ascii="Times New Roman"/>
                <w:spacing w:val="-2"/>
              </w:rPr>
              <w:t>CI]</w:t>
            </w:r>
            <w:r>
              <w:rPr>
                <w:rFonts w:ascii="Times New Roman"/>
                <w:spacing w:val="-2"/>
                <w:position w:val="8"/>
                <w:sz w:val="14"/>
              </w:rPr>
              <w:t>b</w:t>
            </w:r>
            <w:r>
              <w:rPr>
                <w:rFonts w:ascii="Times New Roman"/>
                <w:spacing w:val="19"/>
                <w:position w:val="8"/>
                <w:sz w:val="14"/>
              </w:rPr>
              <w:t xml:space="preserve"> </w:t>
            </w:r>
            <w:r>
              <w:rPr>
                <w:rFonts w:ascii="Times New Roman"/>
                <w:spacing w:val="-1"/>
              </w:rPr>
              <w:t>(weeks)</w:t>
            </w:r>
            <w:r>
              <w:rPr>
                <w:rFonts w:ascii="Times New Roman"/>
                <w:spacing w:val="29"/>
              </w:rPr>
              <w:t xml:space="preserve"> </w:t>
            </w:r>
            <w:r>
              <w:rPr>
                <w:rFonts w:ascii="Times New Roman"/>
                <w:b/>
                <w:spacing w:val="-1"/>
              </w:rPr>
              <w:t>Sequential</w:t>
            </w:r>
            <w:r>
              <w:rPr>
                <w:rFonts w:ascii="Times New Roman"/>
                <w:b/>
                <w:spacing w:val="-3"/>
              </w:rPr>
              <w:t xml:space="preserve"> </w:t>
            </w:r>
            <w:r>
              <w:rPr>
                <w:rFonts w:ascii="Times New Roman"/>
                <w:b/>
              </w:rPr>
              <w:t>HR</w:t>
            </w:r>
            <w:r>
              <w:rPr>
                <w:rFonts w:ascii="Times New Roman"/>
                <w:b/>
                <w:spacing w:val="-3"/>
              </w:rPr>
              <w:t xml:space="preserve"> </w:t>
            </w:r>
            <w:r>
              <w:rPr>
                <w:rFonts w:ascii="Times New Roman"/>
              </w:rPr>
              <w:t>[95%</w:t>
            </w:r>
            <w:r>
              <w:rPr>
                <w:rFonts w:ascii="Times New Roman"/>
                <w:spacing w:val="-2"/>
              </w:rPr>
              <w:t xml:space="preserve"> CI]</w:t>
            </w:r>
            <w:r>
              <w:rPr>
                <w:rFonts w:ascii="Times New Roman"/>
                <w:spacing w:val="-2"/>
                <w:position w:val="8"/>
                <w:sz w:val="14"/>
              </w:rPr>
              <w:t>e</w:t>
            </w:r>
            <w:r>
              <w:rPr>
                <w:rFonts w:ascii="Times New Roman"/>
                <w:spacing w:val="30"/>
                <w:w w:val="99"/>
                <w:position w:val="8"/>
                <w:sz w:val="14"/>
              </w:rPr>
              <w:t xml:space="preserve"> </w:t>
            </w:r>
            <w:r>
              <w:rPr>
                <w:rFonts w:ascii="Times New Roman"/>
                <w:spacing w:val="-1"/>
              </w:rPr>
              <w:t>Sequential</w:t>
            </w:r>
            <w:r>
              <w:rPr>
                <w:rFonts w:ascii="Times New Roman"/>
                <w:spacing w:val="-2"/>
              </w:rPr>
              <w:t xml:space="preserve"> </w:t>
            </w:r>
            <w:r>
              <w:rPr>
                <w:rFonts w:ascii="Times New Roman"/>
                <w:spacing w:val="-1"/>
              </w:rPr>
              <w:t>log-rank</w:t>
            </w:r>
            <w:r>
              <w:rPr>
                <w:rFonts w:ascii="Times New Roman"/>
                <w:spacing w:val="-3"/>
              </w:rPr>
              <w:t xml:space="preserve"> </w:t>
            </w:r>
            <w:r>
              <w:rPr>
                <w:rFonts w:ascii="Times New Roman"/>
              </w:rPr>
              <w:t>test,</w:t>
            </w:r>
            <w:r>
              <w:rPr>
                <w:rFonts w:ascii="Times New Roman"/>
                <w:spacing w:val="-2"/>
              </w:rPr>
              <w:t xml:space="preserve"> </w:t>
            </w: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before="11"/>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ind w:left="551"/>
              <w:rPr>
                <w:rFonts w:ascii="Times New Roman" w:eastAsia="Times New Roman" w:hAnsi="Times New Roman" w:cs="Times New Roman"/>
              </w:rPr>
            </w:pPr>
            <w:r>
              <w:rPr>
                <w:rFonts w:ascii="Times New Roman"/>
              </w:rPr>
              <w:t xml:space="preserve">37.6 </w:t>
            </w:r>
            <w:r>
              <w:rPr>
                <w:rFonts w:ascii="Times New Roman"/>
                <w:spacing w:val="-1"/>
              </w:rPr>
              <w:t>[24.0,</w:t>
            </w:r>
            <w:r>
              <w:rPr>
                <w:rFonts w:ascii="Times New Roman"/>
              </w:rPr>
              <w:t xml:space="preserve"> </w:t>
            </w:r>
            <w:r>
              <w:rPr>
                <w:rFonts w:ascii="Times New Roman"/>
                <w:spacing w:val="-1"/>
              </w:rPr>
              <w:t>52.6]</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before="11"/>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ind w:left="502"/>
              <w:rPr>
                <w:rFonts w:ascii="Times New Roman" w:eastAsia="Times New Roman" w:hAnsi="Times New Roman" w:cs="Times New Roman"/>
              </w:rPr>
            </w:pPr>
            <w:r>
              <w:rPr>
                <w:rFonts w:ascii="Times New Roman"/>
              </w:rPr>
              <w:t xml:space="preserve">22.7 </w:t>
            </w:r>
            <w:r>
              <w:rPr>
                <w:rFonts w:ascii="Times New Roman"/>
                <w:spacing w:val="-1"/>
              </w:rPr>
              <w:t>[15.9,</w:t>
            </w:r>
            <w:r>
              <w:rPr>
                <w:rFonts w:ascii="Times New Roman"/>
              </w:rPr>
              <w:t xml:space="preserve"> </w:t>
            </w:r>
            <w:r>
              <w:rPr>
                <w:rFonts w:ascii="Times New Roman"/>
                <w:spacing w:val="-1"/>
              </w:rPr>
              <w:t>30.1]</w:t>
            </w:r>
          </w:p>
        </w:tc>
      </w:tr>
      <w:tr w:rsidR="00F72327" w:rsidTr="00F72327">
        <w:trPr>
          <w:trHeight w:hRule="exact" w:val="516"/>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2" w:lineRule="exact"/>
              <w:jc w:val="center"/>
              <w:rPr>
                <w:rFonts w:ascii="Times New Roman" w:eastAsia="Times New Roman" w:hAnsi="Times New Roman" w:cs="Times New Roman"/>
              </w:rPr>
            </w:pPr>
            <w:r>
              <w:rPr>
                <w:rFonts w:ascii="Times New Roman"/>
              </w:rPr>
              <w:t xml:space="preserve">0.61 </w:t>
            </w:r>
            <w:r>
              <w:rPr>
                <w:rFonts w:ascii="Times New Roman"/>
                <w:spacing w:val="-1"/>
              </w:rPr>
              <w:t>[0.44,</w:t>
            </w:r>
            <w:r>
              <w:rPr>
                <w:rFonts w:ascii="Times New Roman"/>
              </w:rPr>
              <w:t xml:space="preserve"> </w:t>
            </w:r>
            <w:r>
              <w:rPr>
                <w:rFonts w:ascii="Times New Roman"/>
                <w:spacing w:val="-1"/>
              </w:rPr>
              <w:t>0.84]</w:t>
            </w:r>
          </w:p>
          <w:p w:rsidR="00F72327" w:rsidRDefault="00F72327" w:rsidP="00B2301B">
            <w:pPr>
              <w:pStyle w:val="TableParagraph"/>
              <w:shd w:val="clear" w:color="auto" w:fill="DBE5F1" w:themeFill="accent1" w:themeFillTint="33"/>
              <w:spacing w:before="1" w:line="252" w:lineRule="exact"/>
              <w:ind w:left="2"/>
              <w:jc w:val="center"/>
              <w:rPr>
                <w:rFonts w:ascii="Times New Roman" w:eastAsia="Times New Roman" w:hAnsi="Times New Roman" w:cs="Times New Roman"/>
              </w:rPr>
            </w:pPr>
            <w:r>
              <w:rPr>
                <w:rFonts w:ascii="Times New Roman"/>
              </w:rPr>
              <w:t>0.004</w:t>
            </w:r>
          </w:p>
        </w:tc>
      </w:tr>
      <w:tr w:rsidR="00F72327" w:rsidTr="00F72327">
        <w:trPr>
          <w:trHeight w:hRule="exact" w:val="521"/>
        </w:trPr>
        <w:tc>
          <w:tcPr>
            <w:tcW w:w="4785" w:type="dxa"/>
            <w:tcBorders>
              <w:top w:val="single" w:sz="8" w:space="0" w:color="000000"/>
              <w:left w:val="single" w:sz="5" w:space="0" w:color="000000"/>
              <w:bottom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41" w:lineRule="auto"/>
              <w:ind w:left="159" w:right="2436" w:hanging="58"/>
              <w:rPr>
                <w:rFonts w:ascii="Times New Roman" w:eastAsia="Times New Roman" w:hAnsi="Times New Roman" w:cs="Times New Roman"/>
                <w:lang w:val="es-ES"/>
              </w:rPr>
            </w:pPr>
            <w:r w:rsidRPr="00B75DCD">
              <w:rPr>
                <w:rFonts w:ascii="Times New Roman"/>
                <w:b/>
                <w:spacing w:val="-1"/>
                <w:lang w:val="es-ES"/>
              </w:rPr>
              <w:t>Response</w:t>
            </w:r>
            <w:r w:rsidRPr="00B75DCD">
              <w:rPr>
                <w:rFonts w:ascii="Times New Roman"/>
                <w:spacing w:val="-1"/>
                <w:position w:val="8"/>
                <w:sz w:val="14"/>
                <w:lang w:val="es-ES"/>
              </w:rPr>
              <w:t>a</w:t>
            </w:r>
            <w:r w:rsidRPr="00B75DCD">
              <w:rPr>
                <w:rFonts w:ascii="Times New Roman"/>
                <w:spacing w:val="-1"/>
                <w:lang w:val="es-ES"/>
              </w:rPr>
              <w:t>,</w:t>
            </w:r>
            <w:r w:rsidRPr="00B75DCD">
              <w:rPr>
                <w:rFonts w:ascii="Times New Roman"/>
                <w:spacing w:val="-4"/>
                <w:lang w:val="es-ES"/>
              </w:rPr>
              <w:t xml:space="preserve"> </w:t>
            </w:r>
            <w:r w:rsidRPr="00B75DCD">
              <w:rPr>
                <w:rFonts w:ascii="Times New Roman"/>
                <w:lang w:val="es-ES"/>
              </w:rPr>
              <w:t xml:space="preserve">n </w:t>
            </w:r>
            <w:r w:rsidRPr="00B75DCD">
              <w:rPr>
                <w:rFonts w:ascii="Times New Roman"/>
                <w:spacing w:val="-1"/>
                <w:lang w:val="es-ES"/>
              </w:rPr>
              <w:t>(%)</w:t>
            </w:r>
            <w:r w:rsidRPr="00B75DCD">
              <w:rPr>
                <w:rFonts w:ascii="Times New Roman"/>
                <w:spacing w:val="28"/>
                <w:lang w:val="es-ES"/>
              </w:rPr>
              <w:t xml:space="preserve"> </w:t>
            </w:r>
            <w:r w:rsidRPr="00B75DCD">
              <w:rPr>
                <w:rFonts w:ascii="Times New Roman"/>
                <w:spacing w:val="-1"/>
                <w:lang w:val="es-ES"/>
              </w:rPr>
              <w:t>Complete</w:t>
            </w:r>
            <w:r w:rsidRPr="00B75DCD">
              <w:rPr>
                <w:rFonts w:ascii="Times New Roman"/>
                <w:lang w:val="es-ES"/>
              </w:rPr>
              <w:t xml:space="preserve"> </w:t>
            </w:r>
            <w:r w:rsidRPr="00B75DCD">
              <w:rPr>
                <w:rFonts w:ascii="Times New Roman"/>
                <w:spacing w:val="-1"/>
                <w:lang w:val="es-ES"/>
              </w:rPr>
              <w:t>response</w:t>
            </w:r>
            <w:r w:rsidRPr="00B75DCD">
              <w:rPr>
                <w:rFonts w:ascii="Times New Roman"/>
                <w:lang w:val="es-ES"/>
              </w:rPr>
              <w:t xml:space="preserve"> </w:t>
            </w:r>
            <w:r w:rsidRPr="00B75DCD">
              <w:rPr>
                <w:rFonts w:ascii="Times New Roman"/>
                <w:spacing w:val="-1"/>
                <w:lang w:val="es-ES"/>
              </w:rPr>
              <w:t>(CR)</w:t>
            </w:r>
          </w:p>
        </w:tc>
        <w:tc>
          <w:tcPr>
            <w:tcW w:w="2582" w:type="dxa"/>
            <w:tcBorders>
              <w:top w:val="single" w:sz="8" w:space="0" w:color="000000"/>
              <w:left w:val="single" w:sz="5" w:space="0" w:color="000000"/>
              <w:bottom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lang w:val="es-ES"/>
              </w:rPr>
            </w:pPr>
          </w:p>
          <w:p w:rsidR="00F72327" w:rsidRDefault="00F72327" w:rsidP="00B2301B">
            <w:pPr>
              <w:pStyle w:val="TableParagraph"/>
              <w:shd w:val="clear" w:color="auto" w:fill="DBE5F1" w:themeFill="accent1" w:themeFillTint="33"/>
              <w:spacing w:line="253" w:lineRule="exact"/>
              <w:ind w:left="1"/>
              <w:jc w:val="center"/>
              <w:rPr>
                <w:rFonts w:ascii="Times New Roman" w:eastAsia="Times New Roman" w:hAnsi="Times New Roman" w:cs="Times New Roman"/>
              </w:rPr>
            </w:pPr>
            <w:r>
              <w:rPr>
                <w:rFonts w:ascii="Times New Roman"/>
              </w:rPr>
              <w:t xml:space="preserve">8 </w:t>
            </w:r>
            <w:r>
              <w:rPr>
                <w:rFonts w:ascii="Times New Roman"/>
                <w:spacing w:val="-1"/>
              </w:rPr>
              <w:t>(4.7)</w:t>
            </w:r>
          </w:p>
        </w:tc>
        <w:tc>
          <w:tcPr>
            <w:tcW w:w="2487"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spacing w:line="253" w:lineRule="exact"/>
              <w:ind w:left="1"/>
              <w:jc w:val="center"/>
              <w:rPr>
                <w:rFonts w:ascii="Times New Roman" w:eastAsia="Times New Roman" w:hAnsi="Times New Roman" w:cs="Times New Roman"/>
              </w:rPr>
            </w:pPr>
            <w:r>
              <w:rPr>
                <w:rFonts w:ascii="Times New Roman"/>
              </w:rPr>
              <w:t xml:space="preserve">0 </w:t>
            </w:r>
            <w:r>
              <w:rPr>
                <w:rFonts w:ascii="Times New Roman"/>
                <w:spacing w:val="-1"/>
              </w:rPr>
              <w:t>(0.0)</w:t>
            </w:r>
          </w:p>
        </w:tc>
      </w:tr>
      <w:tr w:rsidR="00F72327" w:rsidTr="00F72327">
        <w:trPr>
          <w:trHeight w:hRule="exact" w:val="262"/>
        </w:trPr>
        <w:tc>
          <w:tcPr>
            <w:tcW w:w="4785"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59"/>
              <w:rPr>
                <w:rFonts w:ascii="Times New Roman" w:eastAsia="Times New Roman" w:hAnsi="Times New Roman" w:cs="Times New Roman"/>
              </w:rPr>
            </w:pPr>
            <w:r>
              <w:rPr>
                <w:rFonts w:ascii="Times New Roman"/>
                <w:spacing w:val="-1"/>
              </w:rPr>
              <w:t>Partial</w:t>
            </w:r>
            <w:r>
              <w:rPr>
                <w:rFonts w:ascii="Times New Roman"/>
                <w:spacing w:val="1"/>
              </w:rPr>
              <w:t xml:space="preserve"> </w:t>
            </w:r>
            <w:r>
              <w:rPr>
                <w:rFonts w:ascii="Times New Roman"/>
                <w:spacing w:val="-1"/>
              </w:rPr>
              <w:t>response</w:t>
            </w:r>
            <w:r>
              <w:rPr>
                <w:rFonts w:ascii="Times New Roman"/>
                <w:spacing w:val="-2"/>
              </w:rPr>
              <w:t xml:space="preserve"> </w:t>
            </w:r>
            <w:r>
              <w:rPr>
                <w:rFonts w:ascii="Times New Roman"/>
                <w:spacing w:val="-1"/>
              </w:rPr>
              <w:t>(PR)</w:t>
            </w:r>
          </w:p>
        </w:tc>
        <w:tc>
          <w:tcPr>
            <w:tcW w:w="2582"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rPr>
              <w:t xml:space="preserve">60 </w:t>
            </w:r>
            <w:r>
              <w:rPr>
                <w:rFonts w:ascii="Times New Roman"/>
                <w:spacing w:val="-1"/>
              </w:rPr>
              <w:t>(35.3)</w:t>
            </w:r>
          </w:p>
        </w:tc>
        <w:tc>
          <w:tcPr>
            <w:tcW w:w="2487"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rPr>
              <w:t xml:space="preserve">9 </w:t>
            </w:r>
            <w:r>
              <w:rPr>
                <w:rFonts w:ascii="Times New Roman"/>
                <w:spacing w:val="-1"/>
              </w:rPr>
              <w:t>(10.7)</w:t>
            </w:r>
          </w:p>
        </w:tc>
      </w:tr>
      <w:tr w:rsidR="00F72327" w:rsidTr="00F72327">
        <w:trPr>
          <w:trHeight w:hRule="exact" w:val="260"/>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59"/>
              <w:rPr>
                <w:rFonts w:ascii="Times New Roman" w:eastAsia="Times New Roman" w:hAnsi="Times New Roman" w:cs="Times New Roman"/>
                <w:sz w:val="14"/>
                <w:szCs w:val="14"/>
              </w:rPr>
            </w:pPr>
            <w:r>
              <w:rPr>
                <w:rFonts w:ascii="Times New Roman"/>
                <w:spacing w:val="-1"/>
              </w:rPr>
              <w:t>Stable disease</w:t>
            </w:r>
            <w:r>
              <w:rPr>
                <w:rFonts w:ascii="Times New Roman"/>
                <w:spacing w:val="-2"/>
              </w:rPr>
              <w:t xml:space="preserve"> </w:t>
            </w:r>
            <w:r>
              <w:rPr>
                <w:rFonts w:ascii="Times New Roman"/>
                <w:spacing w:val="-1"/>
              </w:rPr>
              <w:t>(SD)</w:t>
            </w:r>
            <w:r>
              <w:rPr>
                <w:rFonts w:ascii="Times New Roman"/>
                <w:spacing w:val="-1"/>
                <w:position w:val="8"/>
                <w:sz w:val="14"/>
              </w:rPr>
              <w:t>b</w:t>
            </w:r>
          </w:p>
        </w:tc>
        <w:tc>
          <w:tcPr>
            <w:tcW w:w="2582"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
              <w:jc w:val="center"/>
              <w:rPr>
                <w:rFonts w:ascii="Times New Roman" w:eastAsia="Times New Roman" w:hAnsi="Times New Roman" w:cs="Times New Roman"/>
              </w:rPr>
            </w:pPr>
            <w:r>
              <w:rPr>
                <w:rFonts w:ascii="Times New Roman"/>
              </w:rPr>
              <w:t xml:space="preserve">50 </w:t>
            </w:r>
            <w:r>
              <w:rPr>
                <w:rFonts w:ascii="Times New Roman"/>
                <w:spacing w:val="-1"/>
              </w:rPr>
              <w:t>(29.4)</w:t>
            </w:r>
          </w:p>
        </w:tc>
        <w:tc>
          <w:tcPr>
            <w:tcW w:w="2487"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2"/>
              <w:jc w:val="center"/>
              <w:rPr>
                <w:rFonts w:ascii="Times New Roman" w:eastAsia="Times New Roman" w:hAnsi="Times New Roman" w:cs="Times New Roman"/>
              </w:rPr>
            </w:pPr>
            <w:r>
              <w:rPr>
                <w:rFonts w:ascii="Times New Roman"/>
              </w:rPr>
              <w:t xml:space="preserve">44 </w:t>
            </w:r>
            <w:r>
              <w:rPr>
                <w:rFonts w:ascii="Times New Roman"/>
                <w:spacing w:val="-1"/>
              </w:rPr>
              <w:t>(52.4)</w:t>
            </w:r>
          </w:p>
        </w:tc>
      </w:tr>
      <w:tr w:rsidR="00F72327" w:rsidTr="00F72327">
        <w:trPr>
          <w:trHeight w:hRule="exact" w:val="253"/>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Progressive</w:t>
            </w:r>
            <w:r>
              <w:rPr>
                <w:rFonts w:ascii="Times New Roman"/>
              </w:rPr>
              <w:t xml:space="preserve"> </w:t>
            </w:r>
            <w:r>
              <w:rPr>
                <w:rFonts w:ascii="Times New Roman"/>
                <w:spacing w:val="-1"/>
              </w:rPr>
              <w:t>disease</w:t>
            </w:r>
            <w:r>
              <w:rPr>
                <w:rFonts w:ascii="Times New Roman"/>
              </w:rPr>
              <w:t xml:space="preserve"> </w:t>
            </w:r>
            <w:r>
              <w:rPr>
                <w:rFonts w:ascii="Times New Roman"/>
                <w:spacing w:val="-1"/>
              </w:rPr>
              <w:t>(PD)</w:t>
            </w:r>
          </w:p>
        </w:tc>
        <w:tc>
          <w:tcPr>
            <w:tcW w:w="2582"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34 </w:t>
            </w:r>
            <w:r>
              <w:rPr>
                <w:rFonts w:ascii="Times New Roman"/>
                <w:spacing w:val="-1"/>
              </w:rPr>
              <w:t>(20.0)</w:t>
            </w:r>
          </w:p>
        </w:tc>
        <w:tc>
          <w:tcPr>
            <w:tcW w:w="2487"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2"/>
              <w:jc w:val="center"/>
              <w:rPr>
                <w:rFonts w:ascii="Times New Roman" w:eastAsia="Times New Roman" w:hAnsi="Times New Roman" w:cs="Times New Roman"/>
              </w:rPr>
            </w:pPr>
            <w:r>
              <w:rPr>
                <w:rFonts w:ascii="Times New Roman"/>
              </w:rPr>
              <w:t xml:space="preserve">26 </w:t>
            </w:r>
            <w:r>
              <w:rPr>
                <w:rFonts w:ascii="Times New Roman"/>
                <w:spacing w:val="-1"/>
              </w:rPr>
              <w:t>(31.0)</w:t>
            </w:r>
          </w:p>
        </w:tc>
      </w:tr>
      <w:tr w:rsidR="00F72327" w:rsidTr="00F72327">
        <w:trPr>
          <w:trHeight w:hRule="exact" w:val="252"/>
        </w:trPr>
        <w:tc>
          <w:tcPr>
            <w:tcW w:w="4785"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Not</w:t>
            </w:r>
            <w:r>
              <w:rPr>
                <w:rFonts w:ascii="Times New Roman"/>
                <w:spacing w:val="1"/>
              </w:rPr>
              <w:t xml:space="preserve"> </w:t>
            </w:r>
            <w:r>
              <w:rPr>
                <w:rFonts w:ascii="Times New Roman"/>
                <w:spacing w:val="-1"/>
              </w:rPr>
              <w:t>done/Missing</w:t>
            </w:r>
          </w:p>
        </w:tc>
        <w:tc>
          <w:tcPr>
            <w:tcW w:w="2582"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18 </w:t>
            </w:r>
            <w:r>
              <w:rPr>
                <w:rFonts w:ascii="Times New Roman"/>
                <w:spacing w:val="-1"/>
              </w:rPr>
              <w:t>(10.6)</w:t>
            </w:r>
          </w:p>
        </w:tc>
        <w:tc>
          <w:tcPr>
            <w:tcW w:w="2487"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5 </w:t>
            </w:r>
            <w:r>
              <w:rPr>
                <w:rFonts w:ascii="Times New Roman"/>
                <w:spacing w:val="-1"/>
              </w:rPr>
              <w:t>(6.0)</w:t>
            </w:r>
          </w:p>
        </w:tc>
      </w:tr>
      <w:tr w:rsidR="00F72327" w:rsidTr="00F72327">
        <w:trPr>
          <w:trHeight w:hRule="exact" w:val="264"/>
        </w:trPr>
        <w:tc>
          <w:tcPr>
            <w:tcW w:w="4785" w:type="dxa"/>
            <w:vMerge w:val="restart"/>
            <w:tcBorders>
              <w:top w:val="single" w:sz="8" w:space="0" w:color="000000"/>
              <w:left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49" w:lineRule="exact"/>
              <w:ind w:left="102"/>
              <w:rPr>
                <w:rFonts w:ascii="Times New Roman" w:eastAsia="Times New Roman" w:hAnsi="Times New Roman" w:cs="Times New Roman"/>
                <w:sz w:val="14"/>
                <w:szCs w:val="14"/>
                <w:lang w:val="es-ES"/>
              </w:rPr>
            </w:pPr>
            <w:r w:rsidRPr="00B75DCD">
              <w:rPr>
                <w:rFonts w:ascii="Times New Roman"/>
                <w:b/>
                <w:spacing w:val="-1"/>
                <w:lang w:val="es-ES"/>
              </w:rPr>
              <w:t>ORR</w:t>
            </w:r>
            <w:r w:rsidRPr="00B75DCD">
              <w:rPr>
                <w:rFonts w:ascii="Times New Roman"/>
                <w:b/>
                <w:spacing w:val="-2"/>
                <w:lang w:val="es-ES"/>
              </w:rPr>
              <w:t xml:space="preserve"> </w:t>
            </w:r>
            <w:r w:rsidRPr="00B75DCD">
              <w:rPr>
                <w:rFonts w:ascii="Times New Roman"/>
                <w:b/>
                <w:spacing w:val="-1"/>
                <w:lang w:val="es-ES"/>
              </w:rPr>
              <w:t>(CR,</w:t>
            </w:r>
            <w:r w:rsidRPr="00B75DCD">
              <w:rPr>
                <w:rFonts w:ascii="Times New Roman"/>
                <w:b/>
                <w:lang w:val="es-ES"/>
              </w:rPr>
              <w:t xml:space="preserve"> </w:t>
            </w:r>
            <w:r w:rsidRPr="00B75DCD">
              <w:rPr>
                <w:rFonts w:ascii="Times New Roman"/>
                <w:b/>
                <w:spacing w:val="-1"/>
                <w:lang w:val="es-ES"/>
              </w:rPr>
              <w:t>CRu,</w:t>
            </w:r>
            <w:r w:rsidRPr="00B75DCD">
              <w:rPr>
                <w:rFonts w:ascii="Times New Roman"/>
                <w:b/>
                <w:lang w:val="es-ES"/>
              </w:rPr>
              <w:t xml:space="preserve"> </w:t>
            </w:r>
            <w:r w:rsidRPr="00B75DCD">
              <w:rPr>
                <w:rFonts w:ascii="Times New Roman"/>
                <w:b/>
                <w:spacing w:val="-1"/>
                <w:lang w:val="es-ES"/>
              </w:rPr>
              <w:t>PR)</w:t>
            </w:r>
            <w:r w:rsidRPr="00B75DCD">
              <w:rPr>
                <w:rFonts w:ascii="Times New Roman"/>
                <w:spacing w:val="-1"/>
                <w:lang w:val="es-ES"/>
              </w:rPr>
              <w:t>,</w:t>
            </w:r>
            <w:r w:rsidRPr="00B75DCD">
              <w:rPr>
                <w:rFonts w:ascii="Times New Roman"/>
                <w:lang w:val="es-ES"/>
              </w:rPr>
              <w:t xml:space="preserve"> n</w:t>
            </w:r>
            <w:r w:rsidRPr="00B75DCD">
              <w:rPr>
                <w:rFonts w:ascii="Times New Roman"/>
                <w:spacing w:val="-2"/>
                <w:lang w:val="es-ES"/>
              </w:rPr>
              <w:t xml:space="preserve"> </w:t>
            </w:r>
            <w:r w:rsidRPr="00B75DCD">
              <w:rPr>
                <w:rFonts w:ascii="Times New Roman"/>
                <w:spacing w:val="-1"/>
                <w:lang w:val="es-ES"/>
              </w:rPr>
              <w:t>(%)</w:t>
            </w:r>
            <w:r w:rsidRPr="00B75DCD">
              <w:rPr>
                <w:rFonts w:ascii="Times New Roman"/>
                <w:spacing w:val="-2"/>
                <w:lang w:val="es-ES"/>
              </w:rPr>
              <w:t xml:space="preserve"> </w:t>
            </w:r>
            <w:r w:rsidRPr="00B75DCD">
              <w:rPr>
                <w:rFonts w:ascii="Times New Roman"/>
                <w:spacing w:val="-1"/>
                <w:lang w:val="es-ES"/>
              </w:rPr>
              <w:t>[95%</w:t>
            </w:r>
            <w:r w:rsidRPr="00B75DCD">
              <w:rPr>
                <w:rFonts w:ascii="Times New Roman"/>
                <w:spacing w:val="1"/>
                <w:lang w:val="es-ES"/>
              </w:rPr>
              <w:t xml:space="preserve"> </w:t>
            </w:r>
            <w:r w:rsidRPr="00B75DCD">
              <w:rPr>
                <w:rFonts w:ascii="Times New Roman"/>
                <w:spacing w:val="-2"/>
                <w:lang w:val="es-ES"/>
              </w:rPr>
              <w:t>CI]</w:t>
            </w:r>
            <w:r w:rsidRPr="00B75DCD">
              <w:rPr>
                <w:rFonts w:ascii="Times New Roman"/>
                <w:spacing w:val="-2"/>
                <w:position w:val="8"/>
                <w:sz w:val="14"/>
                <w:lang w:val="es-ES"/>
              </w:rPr>
              <w:t>c</w:t>
            </w:r>
          </w:p>
          <w:p w:rsidR="00F72327" w:rsidRDefault="00F72327" w:rsidP="00B2301B">
            <w:pPr>
              <w:pStyle w:val="TableParagraph"/>
              <w:shd w:val="clear" w:color="auto" w:fill="DBE5F1" w:themeFill="accent1" w:themeFillTint="33"/>
              <w:spacing w:line="256" w:lineRule="exact"/>
              <w:ind w:left="159"/>
              <w:rPr>
                <w:rFonts w:ascii="Times New Roman" w:eastAsia="Times New Roman" w:hAnsi="Times New Roman" w:cs="Times New Roman"/>
                <w:sz w:val="14"/>
                <w:szCs w:val="14"/>
              </w:rPr>
            </w:pP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231"/>
              <w:rPr>
                <w:rFonts w:ascii="Times New Roman" w:eastAsia="Times New Roman" w:hAnsi="Times New Roman" w:cs="Times New Roman"/>
              </w:rPr>
            </w:pPr>
            <w:r>
              <w:rPr>
                <w:rFonts w:ascii="Times New Roman"/>
              </w:rPr>
              <w:t xml:space="preserve">68 </w:t>
            </w:r>
            <w:r>
              <w:rPr>
                <w:rFonts w:ascii="Times New Roman"/>
                <w:spacing w:val="-1"/>
              </w:rPr>
              <w:t>(40.0)</w:t>
            </w:r>
            <w:r>
              <w:rPr>
                <w:rFonts w:ascii="Times New Roman"/>
                <w:spacing w:val="1"/>
              </w:rPr>
              <w:t xml:space="preserve"> </w:t>
            </w:r>
            <w:r>
              <w:rPr>
                <w:rFonts w:ascii="Times New Roman"/>
                <w:spacing w:val="-1"/>
              </w:rPr>
              <w:t>[32.58,</w:t>
            </w:r>
            <w:r>
              <w:rPr>
                <w:rFonts w:ascii="Times New Roman"/>
                <w:spacing w:val="-3"/>
              </w:rPr>
              <w:t xml:space="preserve"> </w:t>
            </w:r>
            <w:r>
              <w:rPr>
                <w:rFonts w:ascii="Times New Roman"/>
                <w:spacing w:val="-1"/>
              </w:rPr>
              <w:t>47.78]</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267"/>
              <w:rPr>
                <w:rFonts w:ascii="Times New Roman" w:eastAsia="Times New Roman" w:hAnsi="Times New Roman" w:cs="Times New Roman"/>
              </w:rPr>
            </w:pPr>
            <w:r>
              <w:rPr>
                <w:rFonts w:ascii="Times New Roman"/>
              </w:rPr>
              <w:t>9</w:t>
            </w:r>
            <w:r>
              <w:rPr>
                <w:rFonts w:ascii="Times New Roman"/>
                <w:spacing w:val="-1"/>
              </w:rPr>
              <w:t xml:space="preserve"> (10.7)</w:t>
            </w:r>
            <w:r>
              <w:rPr>
                <w:rFonts w:ascii="Times New Roman"/>
                <w:spacing w:val="-1"/>
                <w:position w:val="8"/>
                <w:sz w:val="14"/>
              </w:rPr>
              <w:t>d</w:t>
            </w:r>
            <w:r>
              <w:rPr>
                <w:rFonts w:ascii="Times New Roman"/>
                <w:spacing w:val="1"/>
                <w:position w:val="8"/>
                <w:sz w:val="14"/>
              </w:rPr>
              <w:t xml:space="preserve"> </w:t>
            </w:r>
            <w:r>
              <w:rPr>
                <w:rFonts w:ascii="Times New Roman"/>
                <w:spacing w:val="-1"/>
              </w:rPr>
              <w:t>[5.02,</w:t>
            </w:r>
            <w:r>
              <w:rPr>
                <w:rFonts w:ascii="Times New Roman"/>
              </w:rPr>
              <w:t xml:space="preserve"> </w:t>
            </w:r>
            <w:r>
              <w:rPr>
                <w:rFonts w:ascii="Times New Roman"/>
                <w:spacing w:val="-1"/>
              </w:rPr>
              <w:t>19.37]</w:t>
            </w:r>
          </w:p>
        </w:tc>
      </w:tr>
      <w:tr w:rsidR="00F72327" w:rsidTr="00F72327">
        <w:trPr>
          <w:trHeight w:hRule="exact" w:val="262"/>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jc w:val="center"/>
              <w:rPr>
                <w:rFonts w:ascii="Times New Roman" w:eastAsia="Times New Roman" w:hAnsi="Times New Roman" w:cs="Times New Roman"/>
              </w:rPr>
            </w:pPr>
            <w:r>
              <w:rPr>
                <w:rFonts w:ascii="Times New Roman"/>
              </w:rPr>
              <w:t>&lt; 0.001</w:t>
            </w:r>
          </w:p>
        </w:tc>
      </w:tr>
      <w:tr w:rsidR="00F72327" w:rsidTr="00F72327">
        <w:trPr>
          <w:trHeight w:hRule="exact" w:val="264"/>
        </w:trPr>
        <w:tc>
          <w:tcPr>
            <w:tcW w:w="4785" w:type="dxa"/>
            <w:vMerge w:val="restart"/>
            <w:tcBorders>
              <w:top w:val="single" w:sz="8" w:space="0" w:color="000000"/>
              <w:left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50" w:lineRule="exact"/>
              <w:ind w:left="159"/>
              <w:rPr>
                <w:rFonts w:ascii="Times New Roman" w:eastAsia="Times New Roman" w:hAnsi="Times New Roman" w:cs="Times New Roman"/>
                <w:sz w:val="14"/>
                <w:szCs w:val="14"/>
                <w:lang w:val="es-ES"/>
              </w:rPr>
            </w:pPr>
            <w:r w:rsidRPr="00B75DCD">
              <w:rPr>
                <w:rFonts w:ascii="Times New Roman"/>
                <w:b/>
                <w:spacing w:val="-1"/>
                <w:lang w:val="es-ES"/>
              </w:rPr>
              <w:t>CRR</w:t>
            </w:r>
            <w:r w:rsidRPr="00B75DCD">
              <w:rPr>
                <w:rFonts w:ascii="Times New Roman"/>
                <w:b/>
                <w:spacing w:val="-2"/>
                <w:lang w:val="es-ES"/>
              </w:rPr>
              <w:t xml:space="preserve"> </w:t>
            </w:r>
            <w:r w:rsidRPr="00B75DCD">
              <w:rPr>
                <w:rFonts w:ascii="Times New Roman"/>
                <w:b/>
                <w:spacing w:val="-1"/>
                <w:lang w:val="es-ES"/>
              </w:rPr>
              <w:t>(CR,</w:t>
            </w:r>
            <w:r w:rsidRPr="00B75DCD">
              <w:rPr>
                <w:rFonts w:ascii="Times New Roman"/>
                <w:b/>
                <w:lang w:val="es-ES"/>
              </w:rPr>
              <w:t xml:space="preserve"> </w:t>
            </w:r>
            <w:r w:rsidRPr="00B75DCD">
              <w:rPr>
                <w:rFonts w:ascii="Times New Roman"/>
                <w:b/>
                <w:spacing w:val="-1"/>
                <w:lang w:val="es-ES"/>
              </w:rPr>
              <w:t>CRu)</w:t>
            </w:r>
            <w:r w:rsidRPr="00B75DCD">
              <w:rPr>
                <w:rFonts w:ascii="Times New Roman"/>
                <w:spacing w:val="-1"/>
                <w:lang w:val="es-ES"/>
              </w:rPr>
              <w:t>,</w:t>
            </w:r>
            <w:r w:rsidRPr="00B75DCD">
              <w:rPr>
                <w:rFonts w:ascii="Times New Roman"/>
                <w:lang w:val="es-ES"/>
              </w:rPr>
              <w:t xml:space="preserve"> n </w:t>
            </w:r>
            <w:r w:rsidRPr="00B75DCD">
              <w:rPr>
                <w:rFonts w:ascii="Times New Roman"/>
                <w:spacing w:val="-1"/>
                <w:lang w:val="es-ES"/>
              </w:rPr>
              <w:t>(%)</w:t>
            </w:r>
            <w:r w:rsidRPr="00B75DCD">
              <w:rPr>
                <w:rFonts w:ascii="Times New Roman"/>
                <w:spacing w:val="1"/>
                <w:lang w:val="es-ES"/>
              </w:rPr>
              <w:t xml:space="preserve"> </w:t>
            </w:r>
            <w:r w:rsidRPr="00B75DCD">
              <w:rPr>
                <w:rFonts w:ascii="Times New Roman"/>
                <w:spacing w:val="-1"/>
                <w:lang w:val="es-ES"/>
              </w:rPr>
              <w:t>[95%</w:t>
            </w:r>
            <w:r w:rsidRPr="00B75DCD">
              <w:rPr>
                <w:rFonts w:ascii="Times New Roman"/>
                <w:spacing w:val="1"/>
                <w:lang w:val="es-ES"/>
              </w:rPr>
              <w:t xml:space="preserve"> </w:t>
            </w:r>
            <w:r w:rsidRPr="00B75DCD">
              <w:rPr>
                <w:rFonts w:ascii="Times New Roman"/>
                <w:spacing w:val="-2"/>
                <w:lang w:val="es-ES"/>
              </w:rPr>
              <w:t>CI]</w:t>
            </w:r>
            <w:r w:rsidRPr="00B75DCD">
              <w:rPr>
                <w:rFonts w:ascii="Times New Roman"/>
                <w:spacing w:val="-2"/>
                <w:position w:val="8"/>
                <w:sz w:val="14"/>
                <w:lang w:val="es-ES"/>
              </w:rPr>
              <w:t>c</w:t>
            </w:r>
          </w:p>
          <w:p w:rsidR="00F72327" w:rsidRDefault="00F72327" w:rsidP="00B2301B">
            <w:pPr>
              <w:pStyle w:val="TableParagraph"/>
              <w:shd w:val="clear" w:color="auto" w:fill="DBE5F1" w:themeFill="accent1" w:themeFillTint="33"/>
              <w:spacing w:line="255" w:lineRule="exact"/>
              <w:ind w:left="159"/>
              <w:rPr>
                <w:rFonts w:ascii="Times New Roman" w:eastAsia="Times New Roman" w:hAnsi="Times New Roman" w:cs="Times New Roman"/>
                <w:sz w:val="14"/>
                <w:szCs w:val="14"/>
              </w:rPr>
            </w:pP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ind w:left="450"/>
              <w:rPr>
                <w:rFonts w:ascii="Times New Roman" w:eastAsia="Times New Roman" w:hAnsi="Times New Roman" w:cs="Times New Roman"/>
              </w:rPr>
            </w:pPr>
            <w:r>
              <w:rPr>
                <w:rFonts w:ascii="Times New Roman"/>
              </w:rPr>
              <w:t xml:space="preserve">8 </w:t>
            </w:r>
            <w:r>
              <w:rPr>
                <w:rFonts w:ascii="Times New Roman"/>
                <w:spacing w:val="-1"/>
              </w:rPr>
              <w:t>(4.7)</w:t>
            </w:r>
            <w:r>
              <w:rPr>
                <w:rFonts w:ascii="Times New Roman"/>
                <w:spacing w:val="1"/>
              </w:rPr>
              <w:t xml:space="preserve"> </w:t>
            </w:r>
            <w:r>
              <w:rPr>
                <w:rFonts w:ascii="Times New Roman"/>
                <w:spacing w:val="-1"/>
              </w:rPr>
              <w:t>[2.05,</w:t>
            </w:r>
            <w:r>
              <w:rPr>
                <w:rFonts w:ascii="Times New Roman"/>
              </w:rPr>
              <w:t xml:space="preserve"> </w:t>
            </w:r>
            <w:r>
              <w:rPr>
                <w:rFonts w:ascii="Times New Roman"/>
                <w:spacing w:val="-1"/>
              </w:rPr>
              <w:t>9.06]</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ind w:left="236"/>
              <w:rPr>
                <w:rFonts w:ascii="Times New Roman" w:eastAsia="Times New Roman" w:hAnsi="Times New Roman" w:cs="Times New Roman"/>
              </w:rPr>
            </w:pPr>
            <w:r>
              <w:rPr>
                <w:rFonts w:ascii="Times New Roman"/>
              </w:rPr>
              <w:t xml:space="preserve">0 </w:t>
            </w:r>
            <w:r>
              <w:rPr>
                <w:rFonts w:ascii="Times New Roman"/>
                <w:spacing w:val="-1"/>
              </w:rPr>
              <w:t>(0.0)</w:t>
            </w:r>
            <w:r>
              <w:rPr>
                <w:rFonts w:ascii="Times New Roman"/>
                <w:spacing w:val="1"/>
              </w:rPr>
              <w:t xml:space="preserve"> </w:t>
            </w:r>
            <w:r>
              <w:rPr>
                <w:rFonts w:ascii="Times New Roman"/>
                <w:spacing w:val="-1"/>
              </w:rPr>
              <w:t>[95.70,</w:t>
            </w:r>
            <w:r>
              <w:rPr>
                <w:rFonts w:ascii="Times New Roman"/>
              </w:rPr>
              <w:t xml:space="preserve"> </w:t>
            </w:r>
            <w:r>
              <w:rPr>
                <w:rFonts w:ascii="Times New Roman"/>
                <w:spacing w:val="-1"/>
              </w:rPr>
              <w:t>100.00]</w:t>
            </w:r>
          </w:p>
        </w:tc>
      </w:tr>
      <w:tr w:rsidR="00F72327" w:rsidTr="00F72327">
        <w:trPr>
          <w:trHeight w:hRule="exact" w:val="262"/>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2"/>
              <w:jc w:val="center"/>
              <w:rPr>
                <w:rFonts w:ascii="Times New Roman" w:eastAsia="Times New Roman" w:hAnsi="Times New Roman" w:cs="Times New Roman"/>
              </w:rPr>
            </w:pPr>
            <w:r>
              <w:rPr>
                <w:rFonts w:ascii="Times New Roman"/>
              </w:rPr>
              <w:t>0.043</w:t>
            </w:r>
          </w:p>
        </w:tc>
      </w:tr>
      <w:tr w:rsidR="00F72327" w:rsidTr="00F72327">
        <w:trPr>
          <w:trHeight w:hRule="exact" w:val="269"/>
        </w:trPr>
        <w:tc>
          <w:tcPr>
            <w:tcW w:w="4785"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102"/>
              <w:rPr>
                <w:rFonts w:ascii="Times New Roman" w:eastAsia="Times New Roman" w:hAnsi="Times New Roman" w:cs="Times New Roman"/>
              </w:rPr>
            </w:pPr>
            <w:r>
              <w:rPr>
                <w:rFonts w:ascii="Times New Roman"/>
                <w:b/>
                <w:spacing w:val="-1"/>
              </w:rPr>
              <w:t>Duration</w:t>
            </w:r>
            <w:r>
              <w:rPr>
                <w:rFonts w:ascii="Times New Roman"/>
                <w:b/>
                <w:spacing w:val="-4"/>
              </w:rPr>
              <w:t xml:space="preserve"> </w:t>
            </w:r>
            <w:r>
              <w:rPr>
                <w:rFonts w:ascii="Times New Roman"/>
                <w:b/>
                <w:spacing w:val="-2"/>
              </w:rPr>
              <w:t>of</w:t>
            </w:r>
            <w:r>
              <w:rPr>
                <w:rFonts w:ascii="Times New Roman"/>
                <w:b/>
                <w:spacing w:val="3"/>
              </w:rPr>
              <w:t xml:space="preserve"> </w:t>
            </w:r>
            <w:r>
              <w:rPr>
                <w:rFonts w:ascii="Times New Roman"/>
                <w:b/>
                <w:spacing w:val="-1"/>
              </w:rPr>
              <w:t>Response,</w:t>
            </w:r>
            <w:r>
              <w:rPr>
                <w:rFonts w:ascii="Times New Roman"/>
                <w:b/>
              </w:rPr>
              <w:t xml:space="preserve"> </w:t>
            </w:r>
            <w:r>
              <w:rPr>
                <w:rFonts w:ascii="Times New Roman"/>
                <w:b/>
                <w:spacing w:val="-1"/>
              </w:rPr>
              <w:t>median</w:t>
            </w:r>
            <w:r>
              <w:rPr>
                <w:rFonts w:ascii="Times New Roman"/>
                <w:spacing w:val="-1"/>
                <w:position w:val="8"/>
                <w:sz w:val="14"/>
              </w:rPr>
              <w:t xml:space="preserve">a </w:t>
            </w:r>
            <w:r>
              <w:rPr>
                <w:rFonts w:ascii="Times New Roman"/>
                <w:spacing w:val="-1"/>
              </w:rPr>
              <w:t>[95%</w:t>
            </w:r>
            <w:r>
              <w:rPr>
                <w:rFonts w:ascii="Times New Roman"/>
                <w:spacing w:val="1"/>
              </w:rPr>
              <w:t xml:space="preserve"> </w:t>
            </w:r>
            <w:r>
              <w:rPr>
                <w:rFonts w:ascii="Times New Roman"/>
                <w:spacing w:val="-2"/>
              </w:rPr>
              <w:t>CI]</w:t>
            </w:r>
            <w:r>
              <w:rPr>
                <w:rFonts w:ascii="Times New Roman"/>
                <w:spacing w:val="1"/>
              </w:rPr>
              <w:t xml:space="preserve"> </w:t>
            </w:r>
            <w:r>
              <w:rPr>
                <w:rFonts w:ascii="Times New Roman"/>
                <w:spacing w:val="-1"/>
              </w:rPr>
              <w:t>(weeks)</w:t>
            </w:r>
          </w:p>
        </w:tc>
        <w:tc>
          <w:tcPr>
            <w:tcW w:w="2582"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551"/>
              <w:rPr>
                <w:rFonts w:ascii="Times New Roman" w:eastAsia="Times New Roman" w:hAnsi="Times New Roman" w:cs="Times New Roman"/>
              </w:rPr>
            </w:pPr>
            <w:r>
              <w:rPr>
                <w:rFonts w:ascii="Times New Roman"/>
              </w:rPr>
              <w:t xml:space="preserve">69.6 </w:t>
            </w:r>
            <w:r>
              <w:rPr>
                <w:rFonts w:ascii="Times New Roman"/>
                <w:spacing w:val="-1"/>
              </w:rPr>
              <w:t>[41.1,</w:t>
            </w:r>
            <w:r>
              <w:rPr>
                <w:rFonts w:ascii="Times New Roman"/>
              </w:rPr>
              <w:t xml:space="preserve"> </w:t>
            </w:r>
            <w:r>
              <w:rPr>
                <w:rFonts w:ascii="Times New Roman"/>
                <w:spacing w:val="-1"/>
              </w:rPr>
              <w:t>86.7]</w:t>
            </w:r>
          </w:p>
        </w:tc>
        <w:tc>
          <w:tcPr>
            <w:tcW w:w="2487"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502"/>
              <w:rPr>
                <w:rFonts w:ascii="Times New Roman" w:eastAsia="Times New Roman" w:hAnsi="Times New Roman" w:cs="Times New Roman"/>
              </w:rPr>
            </w:pPr>
            <w:r>
              <w:rPr>
                <w:rFonts w:ascii="Times New Roman"/>
              </w:rPr>
              <w:t xml:space="preserve">45.1 </w:t>
            </w:r>
            <w:r>
              <w:rPr>
                <w:rFonts w:ascii="Times New Roman"/>
                <w:spacing w:val="-1"/>
              </w:rPr>
              <w:t>[36.3,</w:t>
            </w:r>
            <w:r>
              <w:rPr>
                <w:rFonts w:ascii="Times New Roman"/>
              </w:rPr>
              <w:t xml:space="preserve"> </w:t>
            </w:r>
            <w:r>
              <w:rPr>
                <w:rFonts w:ascii="Times New Roman"/>
                <w:spacing w:val="-1"/>
              </w:rPr>
              <w:t>80.9]</w:t>
            </w:r>
          </w:p>
        </w:tc>
      </w:tr>
      <w:tr w:rsidR="00F72327" w:rsidTr="00F72327">
        <w:trPr>
          <w:trHeight w:hRule="exact" w:val="262"/>
        </w:trPr>
        <w:tc>
          <w:tcPr>
            <w:tcW w:w="4785"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02"/>
              <w:rPr>
                <w:rFonts w:ascii="Times New Roman" w:eastAsia="Times New Roman" w:hAnsi="Times New Roman" w:cs="Times New Roman"/>
              </w:rPr>
            </w:pPr>
            <w:r>
              <w:rPr>
                <w:rFonts w:ascii="Times New Roman"/>
                <w:b/>
                <w:spacing w:val="-1"/>
              </w:rPr>
              <w:t>Overall</w:t>
            </w:r>
            <w:r>
              <w:rPr>
                <w:rFonts w:ascii="Times New Roman"/>
                <w:b/>
                <w:spacing w:val="1"/>
              </w:rPr>
              <w:t xml:space="preserve"> </w:t>
            </w:r>
            <w:r>
              <w:rPr>
                <w:rFonts w:ascii="Times New Roman"/>
                <w:b/>
                <w:spacing w:val="-1"/>
              </w:rPr>
              <w:t>Survival</w:t>
            </w:r>
          </w:p>
        </w:tc>
        <w:tc>
          <w:tcPr>
            <w:tcW w:w="5069" w:type="dxa"/>
            <w:gridSpan w:val="2"/>
            <w:vMerge w:val="restart"/>
            <w:tcBorders>
              <w:top w:val="single" w:sz="5" w:space="0" w:color="000000"/>
              <w:left w:val="single" w:sz="5" w:space="0" w:color="000000"/>
              <w:right w:val="single" w:sz="5" w:space="0" w:color="000000"/>
            </w:tcBorders>
          </w:tcPr>
          <w:p w:rsidR="00F72327"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jc w:val="center"/>
              <w:rPr>
                <w:rFonts w:ascii="Times New Roman" w:eastAsia="Times New Roman" w:hAnsi="Times New Roman" w:cs="Times New Roman"/>
              </w:rPr>
            </w:pPr>
            <w:r>
              <w:rPr>
                <w:rFonts w:ascii="Times New Roman"/>
              </w:rPr>
              <w:t xml:space="preserve">0.89 </w:t>
            </w:r>
            <w:r>
              <w:rPr>
                <w:rFonts w:ascii="Times New Roman"/>
                <w:spacing w:val="-1"/>
              </w:rPr>
              <w:t>[0.62, 1.28]</w:t>
            </w:r>
          </w:p>
        </w:tc>
      </w:tr>
      <w:tr w:rsidR="00F72327" w:rsidTr="00F72327">
        <w:trPr>
          <w:trHeight w:hRule="exact" w:val="260"/>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59"/>
              <w:rPr>
                <w:rFonts w:ascii="Times New Roman" w:eastAsia="Times New Roman" w:hAnsi="Times New Roman" w:cs="Times New Roman"/>
                <w:sz w:val="14"/>
                <w:szCs w:val="14"/>
              </w:rPr>
            </w:pPr>
            <w:r>
              <w:rPr>
                <w:rFonts w:ascii="Times New Roman"/>
                <w:b/>
              </w:rPr>
              <w:t>HR</w:t>
            </w:r>
            <w:r>
              <w:rPr>
                <w:rFonts w:ascii="Times New Roman"/>
                <w:b/>
                <w:spacing w:val="-2"/>
              </w:rPr>
              <w:t xml:space="preserve"> </w:t>
            </w:r>
            <w:r>
              <w:rPr>
                <w:rFonts w:ascii="Times New Roman"/>
                <w:spacing w:val="-1"/>
              </w:rPr>
              <w:t>[95%</w:t>
            </w:r>
            <w:r>
              <w:rPr>
                <w:rFonts w:ascii="Times New Roman"/>
                <w:spacing w:val="1"/>
              </w:rPr>
              <w:t xml:space="preserve"> </w:t>
            </w:r>
            <w:r>
              <w:rPr>
                <w:rFonts w:ascii="Times New Roman"/>
                <w:spacing w:val="-2"/>
              </w:rPr>
              <w:t>CI]</w:t>
            </w:r>
            <w:r>
              <w:rPr>
                <w:rFonts w:ascii="Times New Roman"/>
                <w:spacing w:val="-2"/>
                <w:position w:val="8"/>
                <w:sz w:val="14"/>
              </w:rPr>
              <w:t>c</w:t>
            </w:r>
          </w:p>
        </w:tc>
        <w:tc>
          <w:tcPr>
            <w:tcW w:w="5069" w:type="dxa"/>
            <w:gridSpan w:val="2"/>
            <w:vMerge/>
            <w:tcBorders>
              <w:left w:val="single" w:sz="5" w:space="0" w:color="000000"/>
              <w:bottom w:val="nil"/>
              <w:right w:val="single" w:sz="5" w:space="0" w:color="000000"/>
            </w:tcBorders>
          </w:tcPr>
          <w:p w:rsidR="00F72327" w:rsidRDefault="00F72327" w:rsidP="00B2301B">
            <w:pPr>
              <w:shd w:val="clear" w:color="auto" w:fill="DBE5F1" w:themeFill="accent1" w:themeFillTint="33"/>
            </w:pPr>
          </w:p>
        </w:tc>
      </w:tr>
      <w:tr w:rsidR="00F72327" w:rsidTr="00F72327">
        <w:trPr>
          <w:trHeight w:hRule="exact" w:val="249"/>
        </w:trPr>
        <w:tc>
          <w:tcPr>
            <w:tcW w:w="4785" w:type="dxa"/>
            <w:tcBorders>
              <w:top w:val="nil"/>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Log-rank</w:t>
            </w:r>
            <w:r>
              <w:rPr>
                <w:rFonts w:ascii="Times New Roman"/>
                <w:spacing w:val="-2"/>
              </w:rPr>
              <w:t xml:space="preserve"> </w:t>
            </w:r>
            <w:r>
              <w:rPr>
                <w:rFonts w:ascii="Times New Roman"/>
              </w:rPr>
              <w:t xml:space="preserve">test, </w:t>
            </w:r>
            <w:r>
              <w:rPr>
                <w:rFonts w:ascii="Times New Roman"/>
                <w:spacing w:val="-1"/>
              </w:rPr>
              <w:t>p-value</w:t>
            </w:r>
          </w:p>
        </w:tc>
        <w:tc>
          <w:tcPr>
            <w:tcW w:w="5069" w:type="dxa"/>
            <w:gridSpan w:val="2"/>
            <w:tcBorders>
              <w:top w:val="nil"/>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2"/>
              <w:jc w:val="center"/>
              <w:rPr>
                <w:rFonts w:ascii="Times New Roman" w:eastAsia="Times New Roman" w:hAnsi="Times New Roman" w:cs="Times New Roman"/>
              </w:rPr>
            </w:pPr>
            <w:r>
              <w:rPr>
                <w:rFonts w:ascii="Times New Roman"/>
              </w:rPr>
              <w:t>0.520</w:t>
            </w:r>
          </w:p>
        </w:tc>
      </w:tr>
    </w:tbl>
    <w:p w:rsidR="00F72327" w:rsidRDefault="00F72327" w:rsidP="00B2301B">
      <w:pPr>
        <w:shd w:val="clear" w:color="auto" w:fill="DBE5F1" w:themeFill="accent1" w:themeFillTint="33"/>
        <w:ind w:right="380"/>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CRR </w:t>
      </w:r>
      <w:r>
        <w:rPr>
          <w:sz w:val="16"/>
        </w:rPr>
        <w:t>=</w:t>
      </w:r>
      <w:r>
        <w:rPr>
          <w:spacing w:val="-1"/>
          <w:sz w:val="16"/>
        </w:rPr>
        <w:t xml:space="preserve"> complete response</w:t>
      </w:r>
      <w:r>
        <w:rPr>
          <w:spacing w:val="-2"/>
          <w:sz w:val="16"/>
        </w:rPr>
        <w:t xml:space="preserve"> </w:t>
      </w:r>
      <w:r>
        <w:rPr>
          <w:spacing w:val="-1"/>
          <w:sz w:val="16"/>
        </w:rPr>
        <w:t>rate;</w:t>
      </w:r>
      <w:r>
        <w:rPr>
          <w:spacing w:val="1"/>
          <w:sz w:val="16"/>
        </w:rPr>
        <w:t xml:space="preserve"> </w:t>
      </w:r>
      <w:r>
        <w:rPr>
          <w:spacing w:val="-1"/>
          <w:sz w:val="16"/>
        </w:rPr>
        <w:t xml:space="preserve">CR </w:t>
      </w:r>
      <w:r>
        <w:rPr>
          <w:sz w:val="16"/>
        </w:rPr>
        <w:t>=</w:t>
      </w:r>
      <w:r>
        <w:rPr>
          <w:spacing w:val="1"/>
          <w:sz w:val="16"/>
        </w:rPr>
        <w:t xml:space="preserve"> </w:t>
      </w:r>
      <w:r>
        <w:rPr>
          <w:spacing w:val="-1"/>
          <w:sz w:val="16"/>
        </w:rPr>
        <w:t xml:space="preserve">complete response; CRu </w:t>
      </w:r>
      <w:r>
        <w:rPr>
          <w:sz w:val="16"/>
        </w:rPr>
        <w:t>=</w:t>
      </w:r>
      <w:r>
        <w:rPr>
          <w:spacing w:val="-1"/>
          <w:sz w:val="16"/>
        </w:rPr>
        <w:t xml:space="preserve"> complete</w:t>
      </w:r>
      <w:r>
        <w:rPr>
          <w:spacing w:val="-2"/>
          <w:sz w:val="16"/>
        </w:rPr>
        <w:t xml:space="preserve"> </w:t>
      </w:r>
      <w:r>
        <w:rPr>
          <w:spacing w:val="-1"/>
          <w:sz w:val="16"/>
        </w:rPr>
        <w:t>response unconfirmed;</w:t>
      </w:r>
      <w:r>
        <w:rPr>
          <w:spacing w:val="1"/>
          <w:sz w:val="16"/>
        </w:rPr>
        <w:t xml:space="preserve"> </w:t>
      </w:r>
      <w:r>
        <w:rPr>
          <w:spacing w:val="-2"/>
          <w:sz w:val="16"/>
        </w:rPr>
        <w:t>DMC</w:t>
      </w:r>
      <w:r>
        <w:rPr>
          <w:spacing w:val="1"/>
          <w:sz w:val="16"/>
        </w:rPr>
        <w:t xml:space="preserve"> </w:t>
      </w:r>
      <w:r>
        <w:rPr>
          <w:sz w:val="16"/>
        </w:rPr>
        <w:t>=</w:t>
      </w:r>
      <w:r>
        <w:rPr>
          <w:spacing w:val="-2"/>
          <w:sz w:val="16"/>
        </w:rPr>
        <w:t xml:space="preserve"> </w:t>
      </w:r>
      <w:r>
        <w:rPr>
          <w:spacing w:val="-1"/>
          <w:sz w:val="16"/>
        </w:rPr>
        <w:t>Data Monitoring</w:t>
      </w:r>
      <w:r>
        <w:rPr>
          <w:spacing w:val="91"/>
          <w:sz w:val="16"/>
        </w:rPr>
        <w:t xml:space="preserve"> </w:t>
      </w:r>
      <w:r>
        <w:rPr>
          <w:spacing w:val="-1"/>
          <w:sz w:val="16"/>
        </w:rPr>
        <w:t>Committee;</w:t>
      </w:r>
      <w:r>
        <w:rPr>
          <w:spacing w:val="3"/>
          <w:sz w:val="16"/>
        </w:rPr>
        <w:t xml:space="preserve"> </w:t>
      </w:r>
      <w:r>
        <w:rPr>
          <w:spacing w:val="-2"/>
          <w:sz w:val="16"/>
        </w:rPr>
        <w:t xml:space="preserve">ITT </w:t>
      </w:r>
      <w:r>
        <w:rPr>
          <w:sz w:val="16"/>
        </w:rPr>
        <w:t>=</w:t>
      </w:r>
      <w:r>
        <w:rPr>
          <w:spacing w:val="1"/>
          <w:sz w:val="16"/>
        </w:rPr>
        <w:t xml:space="preserve"> </w:t>
      </w:r>
      <w:r>
        <w:rPr>
          <w:spacing w:val="-1"/>
          <w:sz w:val="16"/>
        </w:rPr>
        <w:t>intent-to-treat;</w:t>
      </w:r>
      <w:r>
        <w:rPr>
          <w:spacing w:val="1"/>
          <w:sz w:val="16"/>
        </w:rPr>
        <w:t xml:space="preserve"> </w:t>
      </w:r>
      <w:r>
        <w:rPr>
          <w:spacing w:val="-2"/>
          <w:sz w:val="16"/>
        </w:rPr>
        <w:t>HR</w:t>
      </w:r>
      <w:r>
        <w:rPr>
          <w:spacing w:val="-1"/>
          <w:sz w:val="16"/>
        </w:rPr>
        <w:t xml:space="preserve"> </w:t>
      </w:r>
      <w:r>
        <w:rPr>
          <w:sz w:val="16"/>
        </w:rPr>
        <w:t>=</w:t>
      </w:r>
      <w:r>
        <w:rPr>
          <w:spacing w:val="1"/>
          <w:sz w:val="16"/>
        </w:rPr>
        <w:t xml:space="preserve"> </w:t>
      </w:r>
      <w:r>
        <w:rPr>
          <w:spacing w:val="-1"/>
          <w:sz w:val="16"/>
        </w:rPr>
        <w:t>hazard</w:t>
      </w:r>
      <w:r>
        <w:rPr>
          <w:spacing w:val="2"/>
          <w:sz w:val="16"/>
        </w:rPr>
        <w:t xml:space="preserve"> </w:t>
      </w:r>
      <w:r>
        <w:rPr>
          <w:spacing w:val="-2"/>
          <w:sz w:val="16"/>
        </w:rPr>
        <w:t>ratio;</w:t>
      </w:r>
      <w:r>
        <w:rPr>
          <w:spacing w:val="1"/>
          <w:sz w:val="16"/>
        </w:rPr>
        <w:t xml:space="preserve"> </w:t>
      </w:r>
      <w:r>
        <w:rPr>
          <w:spacing w:val="-2"/>
          <w:sz w:val="16"/>
        </w:rPr>
        <w:t>KM</w:t>
      </w:r>
      <w:r>
        <w:rPr>
          <w:spacing w:val="1"/>
          <w:sz w:val="16"/>
        </w:rPr>
        <w:t xml:space="preserve"> </w:t>
      </w:r>
      <w:r>
        <w:rPr>
          <w:sz w:val="16"/>
        </w:rPr>
        <w:t>=</w:t>
      </w:r>
      <w:r>
        <w:rPr>
          <w:spacing w:val="-1"/>
          <w:sz w:val="16"/>
        </w:rPr>
        <w:t xml:space="preserve"> Kaplan-Meier; MIPI</w:t>
      </w:r>
      <w:r>
        <w:rPr>
          <w:spacing w:val="-5"/>
          <w:sz w:val="16"/>
        </w:rPr>
        <w:t xml:space="preserve"> </w:t>
      </w:r>
      <w:r>
        <w:rPr>
          <w:sz w:val="16"/>
        </w:rPr>
        <w:t>=</w:t>
      </w:r>
      <w:r>
        <w:rPr>
          <w:spacing w:val="1"/>
          <w:sz w:val="16"/>
        </w:rPr>
        <w:t xml:space="preserve"> </w:t>
      </w:r>
      <w:r>
        <w:rPr>
          <w:spacing w:val="-1"/>
          <w:sz w:val="16"/>
        </w:rPr>
        <w:t>Mantle Cell</w:t>
      </w:r>
      <w:r>
        <w:rPr>
          <w:spacing w:val="1"/>
          <w:sz w:val="16"/>
        </w:rPr>
        <w:t xml:space="preserve"> </w:t>
      </w:r>
      <w:r>
        <w:rPr>
          <w:spacing w:val="-1"/>
          <w:sz w:val="16"/>
        </w:rPr>
        <w:t>Lymphoma</w:t>
      </w:r>
      <w:r>
        <w:rPr>
          <w:spacing w:val="1"/>
          <w:sz w:val="16"/>
        </w:rPr>
        <w:t xml:space="preserve"> </w:t>
      </w:r>
      <w:r>
        <w:rPr>
          <w:spacing w:val="-1"/>
          <w:sz w:val="16"/>
        </w:rPr>
        <w:t>International Prognostic</w:t>
      </w:r>
      <w:r>
        <w:rPr>
          <w:spacing w:val="1"/>
          <w:sz w:val="16"/>
        </w:rPr>
        <w:t xml:space="preserve"> </w:t>
      </w:r>
      <w:r>
        <w:rPr>
          <w:spacing w:val="-2"/>
          <w:sz w:val="16"/>
        </w:rPr>
        <w:t>Index;</w:t>
      </w:r>
      <w:r>
        <w:rPr>
          <w:spacing w:val="1"/>
          <w:sz w:val="16"/>
        </w:rPr>
        <w:t xml:space="preserve"> </w:t>
      </w:r>
      <w:r>
        <w:rPr>
          <w:spacing w:val="-1"/>
          <w:sz w:val="16"/>
        </w:rPr>
        <w:t>NA</w:t>
      </w:r>
      <w:r>
        <w:rPr>
          <w:spacing w:val="-3"/>
          <w:sz w:val="16"/>
        </w:rPr>
        <w:t xml:space="preserve"> </w:t>
      </w:r>
      <w:r>
        <w:rPr>
          <w:sz w:val="16"/>
        </w:rPr>
        <w:t>=</w:t>
      </w:r>
      <w:r>
        <w:rPr>
          <w:spacing w:val="1"/>
          <w:sz w:val="16"/>
        </w:rPr>
        <w:t xml:space="preserve"> </w:t>
      </w:r>
      <w:r>
        <w:rPr>
          <w:spacing w:val="-1"/>
          <w:sz w:val="16"/>
        </w:rPr>
        <w:t>not</w:t>
      </w:r>
      <w:r>
        <w:rPr>
          <w:spacing w:val="79"/>
          <w:sz w:val="16"/>
        </w:rPr>
        <w:t xml:space="preserve"> </w:t>
      </w:r>
      <w:r>
        <w:rPr>
          <w:spacing w:val="-1"/>
          <w:sz w:val="16"/>
        </w:rPr>
        <w:t>applicable;</w:t>
      </w:r>
      <w:r>
        <w:rPr>
          <w:spacing w:val="1"/>
          <w:sz w:val="16"/>
        </w:rPr>
        <w:t xml:space="preserve"> </w:t>
      </w:r>
      <w:r>
        <w:rPr>
          <w:spacing w:val="-1"/>
          <w:sz w:val="16"/>
        </w:rPr>
        <w:t xml:space="preserve">ORR </w:t>
      </w:r>
      <w:r>
        <w:rPr>
          <w:sz w:val="16"/>
        </w:rPr>
        <w:t>=</w:t>
      </w:r>
      <w:r>
        <w:rPr>
          <w:spacing w:val="1"/>
          <w:sz w:val="16"/>
        </w:rPr>
        <w:t xml:space="preserve"> </w:t>
      </w:r>
      <w:r>
        <w:rPr>
          <w:spacing w:val="-2"/>
          <w:sz w:val="16"/>
        </w:rPr>
        <w:t>overall</w:t>
      </w:r>
      <w:r>
        <w:rPr>
          <w:spacing w:val="-1"/>
          <w:sz w:val="16"/>
        </w:rPr>
        <w:t xml:space="preserve"> response</w:t>
      </w:r>
      <w:r>
        <w:rPr>
          <w:spacing w:val="-2"/>
          <w:sz w:val="16"/>
        </w:rPr>
        <w:t xml:space="preserve"> </w:t>
      </w:r>
      <w:r>
        <w:rPr>
          <w:spacing w:val="-1"/>
          <w:sz w:val="16"/>
        </w:rPr>
        <w:t>rate;</w:t>
      </w:r>
      <w:r>
        <w:rPr>
          <w:spacing w:val="1"/>
          <w:sz w:val="16"/>
        </w:rPr>
        <w:t xml:space="preserve"> </w:t>
      </w:r>
      <w:r>
        <w:rPr>
          <w:spacing w:val="-1"/>
          <w:sz w:val="16"/>
        </w:rPr>
        <w:t>PD</w:t>
      </w:r>
      <w:r>
        <w:rPr>
          <w:sz w:val="16"/>
        </w:rPr>
        <w:t xml:space="preserve"> =</w:t>
      </w:r>
      <w:r>
        <w:rPr>
          <w:spacing w:val="-2"/>
          <w:sz w:val="16"/>
        </w:rPr>
        <w:t xml:space="preserve"> </w:t>
      </w:r>
      <w:r>
        <w:rPr>
          <w:spacing w:val="-1"/>
          <w:sz w:val="16"/>
        </w:rPr>
        <w:t>progressive disease;</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2"/>
          <w:sz w:val="16"/>
        </w:rPr>
        <w:t xml:space="preserve"> </w:t>
      </w:r>
      <w:r>
        <w:rPr>
          <w:spacing w:val="-1"/>
          <w:sz w:val="16"/>
        </w:rPr>
        <w:t>survival;</w:t>
      </w:r>
      <w:r>
        <w:rPr>
          <w:spacing w:val="1"/>
          <w:sz w:val="16"/>
        </w:rPr>
        <w:t xml:space="preserve"> </w:t>
      </w:r>
      <w:r>
        <w:rPr>
          <w:spacing w:val="-1"/>
          <w:sz w:val="16"/>
        </w:rPr>
        <w:t>PR= partial response;</w:t>
      </w:r>
      <w:r>
        <w:rPr>
          <w:spacing w:val="1"/>
          <w:sz w:val="16"/>
        </w:rPr>
        <w:t xml:space="preserve"> </w:t>
      </w:r>
      <w:r>
        <w:rPr>
          <w:spacing w:val="-1"/>
          <w:sz w:val="16"/>
        </w:rPr>
        <w:t>SCT</w:t>
      </w:r>
      <w:r>
        <w:rPr>
          <w:spacing w:val="-2"/>
          <w:sz w:val="16"/>
        </w:rPr>
        <w:t xml:space="preserve"> </w:t>
      </w:r>
      <w:r>
        <w:rPr>
          <w:sz w:val="16"/>
        </w:rPr>
        <w:t>=</w:t>
      </w:r>
      <w:r>
        <w:rPr>
          <w:spacing w:val="-1"/>
          <w:sz w:val="16"/>
        </w:rPr>
        <w:t xml:space="preserve"> stem</w:t>
      </w:r>
      <w:r>
        <w:rPr>
          <w:sz w:val="16"/>
        </w:rPr>
        <w:t xml:space="preserve"> </w:t>
      </w:r>
      <w:r>
        <w:rPr>
          <w:spacing w:val="-1"/>
          <w:sz w:val="16"/>
        </w:rPr>
        <w:t>cell</w:t>
      </w:r>
      <w:r>
        <w:rPr>
          <w:spacing w:val="97"/>
          <w:sz w:val="16"/>
        </w:rPr>
        <w:t xml:space="preserve"> </w:t>
      </w:r>
      <w:r>
        <w:rPr>
          <w:spacing w:val="-1"/>
          <w:sz w:val="16"/>
        </w:rPr>
        <w:t>transplantation; SD</w:t>
      </w:r>
      <w:r>
        <w:rPr>
          <w:sz w:val="16"/>
        </w:rPr>
        <w:t xml:space="preserve"> =</w:t>
      </w:r>
      <w:r>
        <w:rPr>
          <w:spacing w:val="1"/>
          <w:sz w:val="16"/>
        </w:rPr>
        <w:t xml:space="preserve"> </w:t>
      </w:r>
      <w:r>
        <w:rPr>
          <w:spacing w:val="-1"/>
          <w:sz w:val="16"/>
        </w:rPr>
        <w:t>stable disease;</w:t>
      </w:r>
      <w:r>
        <w:rPr>
          <w:spacing w:val="-4"/>
          <w:sz w:val="16"/>
        </w:rPr>
        <w:t xml:space="preserve"> </w:t>
      </w:r>
      <w:r>
        <w:rPr>
          <w:spacing w:val="-1"/>
          <w:sz w:val="16"/>
        </w:rPr>
        <w:t>SE</w:t>
      </w:r>
      <w:r>
        <w:rPr>
          <w:spacing w:val="1"/>
          <w:sz w:val="16"/>
        </w:rPr>
        <w:t xml:space="preserve"> </w:t>
      </w:r>
      <w:r>
        <w:rPr>
          <w:sz w:val="16"/>
        </w:rPr>
        <w:t>=</w:t>
      </w:r>
      <w:r>
        <w:rPr>
          <w:spacing w:val="1"/>
          <w:sz w:val="16"/>
        </w:rPr>
        <w:t xml:space="preserve"> </w:t>
      </w:r>
      <w:r>
        <w:rPr>
          <w:spacing w:val="-1"/>
          <w:sz w:val="16"/>
        </w:rPr>
        <w:t xml:space="preserve">standard </w:t>
      </w:r>
      <w:r>
        <w:rPr>
          <w:spacing w:val="-2"/>
          <w:sz w:val="16"/>
        </w:rPr>
        <w:t>error.</w:t>
      </w:r>
    </w:p>
    <w:p w:rsidR="00F72327" w:rsidRDefault="00F72327" w:rsidP="00B2301B">
      <w:pPr>
        <w:shd w:val="clear" w:color="auto" w:fill="DBE5F1" w:themeFill="accent1" w:themeFillTint="33"/>
        <w:spacing w:line="183" w:lineRule="exact"/>
        <w:rPr>
          <w:rFonts w:eastAsia="Times New Roman"/>
          <w:sz w:val="16"/>
          <w:szCs w:val="16"/>
        </w:rPr>
      </w:pPr>
      <w:r>
        <w:rPr>
          <w:position w:val="6"/>
          <w:sz w:val="10"/>
        </w:rPr>
        <w:t>a</w:t>
      </w:r>
      <w:r>
        <w:rPr>
          <w:spacing w:val="16"/>
          <w:position w:val="6"/>
          <w:sz w:val="10"/>
        </w:rPr>
        <w:t xml:space="preserve"> </w:t>
      </w:r>
      <w:r>
        <w:rPr>
          <w:spacing w:val="-1"/>
          <w:sz w:val="16"/>
        </w:rPr>
        <w:t xml:space="preserve">The median </w:t>
      </w:r>
      <w:r>
        <w:rPr>
          <w:spacing w:val="-2"/>
          <w:sz w:val="16"/>
        </w:rPr>
        <w:t>was</w:t>
      </w:r>
      <w:r>
        <w:rPr>
          <w:sz w:val="16"/>
        </w:rPr>
        <w:t xml:space="preserve"> </w:t>
      </w:r>
      <w:r>
        <w:rPr>
          <w:spacing w:val="-1"/>
          <w:sz w:val="16"/>
        </w:rPr>
        <w:t xml:space="preserve">based on the </w:t>
      </w:r>
      <w:r>
        <w:rPr>
          <w:spacing w:val="-2"/>
          <w:sz w:val="16"/>
        </w:rPr>
        <w:t>KM</w:t>
      </w:r>
      <w:r>
        <w:rPr>
          <w:spacing w:val="2"/>
          <w:sz w:val="16"/>
        </w:rPr>
        <w:t xml:space="preserve"> </w:t>
      </w:r>
      <w:r>
        <w:rPr>
          <w:spacing w:val="-1"/>
          <w:sz w:val="16"/>
        </w:rPr>
        <w:t>estimate.</w:t>
      </w:r>
    </w:p>
    <w:p w:rsidR="00F72327" w:rsidRDefault="00F72327" w:rsidP="00B2301B">
      <w:pPr>
        <w:shd w:val="clear" w:color="auto" w:fill="DBE5F1" w:themeFill="accent1" w:themeFillTint="33"/>
        <w:spacing w:line="184" w:lineRule="exact"/>
        <w:rPr>
          <w:rFonts w:eastAsia="Times New Roman"/>
          <w:sz w:val="16"/>
          <w:szCs w:val="16"/>
        </w:rPr>
      </w:pPr>
      <w:r>
        <w:rPr>
          <w:position w:val="6"/>
          <w:sz w:val="10"/>
        </w:rPr>
        <w:t>b</w:t>
      </w:r>
      <w:r>
        <w:rPr>
          <w:spacing w:val="13"/>
          <w:position w:val="6"/>
          <w:sz w:val="10"/>
        </w:rPr>
        <w:t xml:space="preserve"> </w:t>
      </w:r>
      <w:r>
        <w:rPr>
          <w:sz w:val="16"/>
        </w:rPr>
        <w:t>Range</w:t>
      </w:r>
      <w:r>
        <w:rPr>
          <w:spacing w:val="-1"/>
          <w:sz w:val="16"/>
        </w:rPr>
        <w:t xml:space="preserve"> </w:t>
      </w:r>
      <w:r>
        <w:rPr>
          <w:spacing w:val="-2"/>
          <w:sz w:val="16"/>
        </w:rPr>
        <w:t>was</w:t>
      </w:r>
      <w:r>
        <w:rPr>
          <w:sz w:val="16"/>
        </w:rPr>
        <w:t xml:space="preserve"> </w:t>
      </w:r>
      <w:r>
        <w:rPr>
          <w:spacing w:val="-1"/>
          <w:sz w:val="16"/>
        </w:rPr>
        <w:t xml:space="preserve">calculated </w:t>
      </w:r>
      <w:r>
        <w:rPr>
          <w:sz w:val="16"/>
        </w:rPr>
        <w:t>as</w:t>
      </w:r>
      <w:r>
        <w:rPr>
          <w:spacing w:val="-2"/>
          <w:sz w:val="16"/>
        </w:rPr>
        <w:t xml:space="preserve"> </w:t>
      </w:r>
      <w:r>
        <w:rPr>
          <w:spacing w:val="-1"/>
          <w:sz w:val="16"/>
        </w:rPr>
        <w:t>95%</w:t>
      </w:r>
      <w:r>
        <w:rPr>
          <w:spacing w:val="-2"/>
          <w:sz w:val="16"/>
        </w:rPr>
        <w:t xml:space="preserve"> CIs</w:t>
      </w:r>
      <w:r>
        <w:rPr>
          <w:sz w:val="16"/>
        </w:rPr>
        <w:t xml:space="preserve"> about</w:t>
      </w:r>
      <w:r>
        <w:rPr>
          <w:spacing w:val="-1"/>
          <w:sz w:val="16"/>
        </w:rPr>
        <w:t xml:space="preserve"> </w:t>
      </w:r>
      <w:r>
        <w:rPr>
          <w:sz w:val="16"/>
        </w:rPr>
        <w:t>the</w:t>
      </w:r>
      <w:r>
        <w:rPr>
          <w:spacing w:val="-2"/>
          <w:sz w:val="16"/>
        </w:rPr>
        <w:t xml:space="preserve"> </w:t>
      </w:r>
      <w:r>
        <w:rPr>
          <w:spacing w:val="-1"/>
          <w:sz w:val="16"/>
        </w:rPr>
        <w:t>median</w:t>
      </w:r>
      <w:r>
        <w:rPr>
          <w:spacing w:val="1"/>
          <w:sz w:val="16"/>
        </w:rPr>
        <w:t xml:space="preserve"> </w:t>
      </w:r>
      <w:r>
        <w:rPr>
          <w:spacing w:val="-1"/>
          <w:sz w:val="16"/>
        </w:rPr>
        <w:t>survival time.</w:t>
      </w:r>
    </w:p>
    <w:p w:rsidR="00F72327" w:rsidRDefault="00F72327" w:rsidP="00B2301B">
      <w:pPr>
        <w:shd w:val="clear" w:color="auto" w:fill="DBE5F1" w:themeFill="accent1" w:themeFillTint="33"/>
        <w:spacing w:line="184" w:lineRule="exact"/>
        <w:rPr>
          <w:rFonts w:eastAsia="Times New Roman"/>
          <w:sz w:val="16"/>
          <w:szCs w:val="16"/>
        </w:rPr>
      </w:pPr>
      <w:r>
        <w:rPr>
          <w:position w:val="6"/>
          <w:sz w:val="10"/>
        </w:rPr>
        <w:t>c</w:t>
      </w:r>
      <w:r>
        <w:rPr>
          <w:spacing w:val="14"/>
          <w:position w:val="6"/>
          <w:sz w:val="10"/>
        </w:rPr>
        <w:t xml:space="preserve"> </w:t>
      </w:r>
      <w:r>
        <w:rPr>
          <w:spacing w:val="-1"/>
          <w:sz w:val="16"/>
        </w:rPr>
        <w:t>The</w:t>
      </w:r>
      <w:r>
        <w:rPr>
          <w:spacing w:val="-2"/>
          <w:sz w:val="16"/>
        </w:rPr>
        <w:t xml:space="preserve"> </w:t>
      </w:r>
      <w:r>
        <w:rPr>
          <w:spacing w:val="-1"/>
          <w:sz w:val="16"/>
        </w:rPr>
        <w:t>mean</w:t>
      </w:r>
      <w:r>
        <w:rPr>
          <w:spacing w:val="2"/>
          <w:sz w:val="16"/>
        </w:rPr>
        <w:t xml:space="preserve"> </w:t>
      </w:r>
      <w:r>
        <w:rPr>
          <w:spacing w:val="-1"/>
          <w:sz w:val="16"/>
        </w:rPr>
        <w:t>and median are</w:t>
      </w:r>
      <w:r>
        <w:rPr>
          <w:spacing w:val="-2"/>
          <w:sz w:val="16"/>
        </w:rPr>
        <w:t xml:space="preserve"> </w:t>
      </w:r>
      <w:r>
        <w:rPr>
          <w:spacing w:val="-1"/>
          <w:sz w:val="16"/>
        </w:rPr>
        <w:t>the univariate</w:t>
      </w:r>
      <w:r>
        <w:rPr>
          <w:spacing w:val="-2"/>
          <w:sz w:val="16"/>
        </w:rPr>
        <w:t xml:space="preserve"> </w:t>
      </w:r>
      <w:r>
        <w:rPr>
          <w:spacing w:val="-1"/>
          <w:sz w:val="16"/>
        </w:rPr>
        <w:t>statistics</w:t>
      </w:r>
      <w:r>
        <w:rPr>
          <w:spacing w:val="-2"/>
          <w:sz w:val="16"/>
        </w:rPr>
        <w:t xml:space="preserve"> </w:t>
      </w:r>
      <w:r>
        <w:rPr>
          <w:spacing w:val="-1"/>
          <w:sz w:val="16"/>
        </w:rPr>
        <w:t>without adjusting for</w:t>
      </w:r>
      <w:r>
        <w:rPr>
          <w:sz w:val="16"/>
        </w:rPr>
        <w:t xml:space="preserve"> </w:t>
      </w:r>
      <w:r>
        <w:rPr>
          <w:spacing w:val="-1"/>
          <w:sz w:val="16"/>
        </w:rPr>
        <w:t>censoring.</w:t>
      </w:r>
    </w:p>
    <w:p w:rsidR="00F72327" w:rsidRDefault="00F72327" w:rsidP="00B2301B">
      <w:pPr>
        <w:shd w:val="clear" w:color="auto" w:fill="DBE5F1" w:themeFill="accent1" w:themeFillTint="33"/>
        <w:ind w:right="277"/>
        <w:rPr>
          <w:rFonts w:eastAsia="Times New Roman"/>
          <w:sz w:val="16"/>
          <w:szCs w:val="16"/>
        </w:rPr>
      </w:pPr>
      <w:r>
        <w:rPr>
          <w:rFonts w:eastAsia="Times New Roman"/>
          <w:position w:val="6"/>
          <w:sz w:val="10"/>
          <w:szCs w:val="10"/>
        </w:rPr>
        <w:t>d</w:t>
      </w:r>
      <w:r>
        <w:rPr>
          <w:rFonts w:eastAsia="Times New Roman"/>
          <w:spacing w:val="15"/>
          <w:position w:val="6"/>
          <w:sz w:val="10"/>
          <w:szCs w:val="10"/>
        </w:rPr>
        <w:t xml:space="preserve"> </w:t>
      </w:r>
      <w:r>
        <w:rPr>
          <w:rFonts w:eastAsia="Times New Roman"/>
          <w:spacing w:val="-1"/>
          <w:sz w:val="16"/>
          <w:szCs w:val="16"/>
        </w:rPr>
        <w:t>The stratification variables</w:t>
      </w:r>
      <w:r>
        <w:rPr>
          <w:rFonts w:eastAsia="Times New Roman"/>
          <w:sz w:val="16"/>
          <w:szCs w:val="16"/>
        </w:rPr>
        <w:t xml:space="preserve"> </w:t>
      </w:r>
      <w:r>
        <w:rPr>
          <w:rFonts w:eastAsia="Times New Roman"/>
          <w:spacing w:val="-1"/>
          <w:sz w:val="16"/>
          <w:szCs w:val="16"/>
        </w:rPr>
        <w:t xml:space="preserve">included </w:t>
      </w:r>
      <w:r>
        <w:rPr>
          <w:rFonts w:eastAsia="Times New Roman"/>
          <w:sz w:val="16"/>
          <w:szCs w:val="16"/>
        </w:rPr>
        <w:t>time</w:t>
      </w:r>
      <w:r>
        <w:rPr>
          <w:rFonts w:eastAsia="Times New Roman"/>
          <w:spacing w:val="-1"/>
          <w:sz w:val="16"/>
          <w:szCs w:val="16"/>
        </w:rPr>
        <w:t xml:space="preserve"> from</w:t>
      </w:r>
      <w:r>
        <w:rPr>
          <w:rFonts w:eastAsia="Times New Roman"/>
          <w:sz w:val="16"/>
          <w:szCs w:val="16"/>
        </w:rPr>
        <w:t xml:space="preserve"> </w:t>
      </w:r>
      <w:r>
        <w:rPr>
          <w:rFonts w:eastAsia="Times New Roman"/>
          <w:spacing w:val="-1"/>
          <w:sz w:val="16"/>
          <w:szCs w:val="16"/>
        </w:rPr>
        <w:t>diagnosis</w:t>
      </w:r>
      <w:r>
        <w:rPr>
          <w:rFonts w:eastAsia="Times New Roman"/>
          <w:sz w:val="16"/>
          <w:szCs w:val="16"/>
        </w:rPr>
        <w:t xml:space="preserve"> to</w:t>
      </w:r>
      <w:r>
        <w:rPr>
          <w:rFonts w:eastAsia="Times New Roman"/>
          <w:spacing w:val="-1"/>
          <w:sz w:val="16"/>
          <w:szCs w:val="16"/>
        </w:rPr>
        <w:t xml:space="preserve"> </w:t>
      </w:r>
      <w:r>
        <w:rPr>
          <w:rFonts w:eastAsia="Times New Roman"/>
          <w:spacing w:val="-2"/>
          <w:sz w:val="16"/>
          <w:szCs w:val="16"/>
        </w:rPr>
        <w:t>first</w:t>
      </w:r>
      <w:r>
        <w:rPr>
          <w:rFonts w:eastAsia="Times New Roman"/>
          <w:spacing w:val="-1"/>
          <w:sz w:val="16"/>
          <w:szCs w:val="16"/>
        </w:rPr>
        <w:t xml:space="preserve"> dose (&lt; </w:t>
      </w:r>
      <w:r>
        <w:rPr>
          <w:rFonts w:eastAsia="Times New Roman"/>
          <w:sz w:val="16"/>
          <w:szCs w:val="16"/>
        </w:rPr>
        <w:t>3</w:t>
      </w:r>
      <w:r>
        <w:rPr>
          <w:rFonts w:eastAsia="Times New Roman"/>
          <w:spacing w:val="-1"/>
          <w:sz w:val="16"/>
          <w:szCs w:val="16"/>
        </w:rPr>
        <w:t xml:space="preserve"> years</w:t>
      </w:r>
      <w:r>
        <w:rPr>
          <w:rFonts w:eastAsia="Times New Roman"/>
          <w:sz w:val="16"/>
          <w:szCs w:val="16"/>
        </w:rPr>
        <w:t xml:space="preserve"> and</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w:t>
      </w:r>
      <w:r>
        <w:rPr>
          <w:rFonts w:eastAsia="Times New Roman"/>
          <w:sz w:val="16"/>
          <w:szCs w:val="16"/>
        </w:rPr>
        <w:t>3</w:t>
      </w:r>
      <w:r>
        <w:rPr>
          <w:rFonts w:eastAsia="Times New Roman"/>
          <w:spacing w:val="2"/>
          <w:sz w:val="16"/>
          <w:szCs w:val="16"/>
        </w:rPr>
        <w:t xml:space="preserve"> </w:t>
      </w:r>
      <w:r>
        <w:rPr>
          <w:rFonts w:eastAsia="Times New Roman"/>
          <w:spacing w:val="-2"/>
          <w:sz w:val="16"/>
          <w:szCs w:val="16"/>
        </w:rPr>
        <w:t>years),</w:t>
      </w:r>
      <w:r>
        <w:rPr>
          <w:rFonts w:eastAsia="Times New Roman"/>
          <w:spacing w:val="1"/>
          <w:sz w:val="16"/>
          <w:szCs w:val="16"/>
        </w:rPr>
        <w:t xml:space="preserve"> </w:t>
      </w:r>
      <w:r>
        <w:rPr>
          <w:rFonts w:eastAsia="Times New Roman"/>
          <w:sz w:val="16"/>
          <w:szCs w:val="16"/>
        </w:rPr>
        <w:t>time</w:t>
      </w:r>
      <w:r>
        <w:rPr>
          <w:rFonts w:eastAsia="Times New Roman"/>
          <w:spacing w:val="-1"/>
          <w:sz w:val="16"/>
          <w:szCs w:val="16"/>
        </w:rPr>
        <w:t xml:space="preserve"> from</w:t>
      </w:r>
      <w:r>
        <w:rPr>
          <w:rFonts w:eastAsia="Times New Roman"/>
          <w:sz w:val="16"/>
          <w:szCs w:val="16"/>
        </w:rPr>
        <w:t xml:space="preserve"> </w:t>
      </w:r>
      <w:r>
        <w:rPr>
          <w:rFonts w:eastAsia="Times New Roman"/>
          <w:spacing w:val="-1"/>
          <w:sz w:val="16"/>
          <w:szCs w:val="16"/>
        </w:rPr>
        <w:t>last prior</w:t>
      </w:r>
      <w:r>
        <w:rPr>
          <w:rFonts w:eastAsia="Times New Roman"/>
          <w:sz w:val="16"/>
          <w:szCs w:val="16"/>
        </w:rPr>
        <w:t xml:space="preserve"> </w:t>
      </w:r>
      <w:r>
        <w:rPr>
          <w:rFonts w:eastAsia="Times New Roman"/>
          <w:spacing w:val="-1"/>
          <w:sz w:val="16"/>
          <w:szCs w:val="16"/>
        </w:rPr>
        <w:t>systemic</w:t>
      </w:r>
      <w:r>
        <w:rPr>
          <w:rFonts w:eastAsia="Times New Roman"/>
          <w:spacing w:val="1"/>
          <w:sz w:val="16"/>
          <w:szCs w:val="16"/>
        </w:rPr>
        <w:t xml:space="preserve"> </w:t>
      </w:r>
      <w:r>
        <w:rPr>
          <w:rFonts w:eastAsia="Times New Roman"/>
          <w:spacing w:val="-1"/>
          <w:sz w:val="16"/>
          <w:szCs w:val="16"/>
        </w:rPr>
        <w:t>anti-lymphoma therapy</w:t>
      </w:r>
      <w:r>
        <w:rPr>
          <w:rFonts w:eastAsia="Times New Roman"/>
          <w:spacing w:val="83"/>
          <w:sz w:val="16"/>
          <w:szCs w:val="16"/>
        </w:rPr>
        <w:t xml:space="preserve"> </w:t>
      </w:r>
      <w:r>
        <w:rPr>
          <w:rFonts w:eastAsia="Times New Roman"/>
          <w:sz w:val="16"/>
          <w:szCs w:val="16"/>
        </w:rPr>
        <w:t>to</w:t>
      </w:r>
      <w:r>
        <w:rPr>
          <w:rFonts w:eastAsia="Times New Roman"/>
          <w:spacing w:val="-1"/>
          <w:sz w:val="16"/>
          <w:szCs w:val="16"/>
        </w:rPr>
        <w:t xml:space="preserve"> first dose (&lt; </w:t>
      </w:r>
      <w:r>
        <w:rPr>
          <w:rFonts w:eastAsia="Times New Roman"/>
          <w:sz w:val="16"/>
          <w:szCs w:val="16"/>
        </w:rPr>
        <w:t>6</w:t>
      </w:r>
      <w:r>
        <w:rPr>
          <w:rFonts w:eastAsia="Times New Roman"/>
          <w:spacing w:val="2"/>
          <w:sz w:val="16"/>
          <w:szCs w:val="16"/>
        </w:rPr>
        <w:t xml:space="preserve"> </w:t>
      </w:r>
      <w:r>
        <w:rPr>
          <w:rFonts w:eastAsia="Times New Roman"/>
          <w:spacing w:val="-1"/>
          <w:sz w:val="16"/>
          <w:szCs w:val="16"/>
        </w:rPr>
        <w:t>months</w:t>
      </w:r>
      <w:r>
        <w:rPr>
          <w:rFonts w:eastAsia="Times New Roman"/>
          <w:sz w:val="16"/>
          <w:szCs w:val="16"/>
        </w:rPr>
        <w:t xml:space="preserve"> </w:t>
      </w:r>
      <w:r>
        <w:rPr>
          <w:rFonts w:eastAsia="Times New Roman"/>
          <w:spacing w:val="-1"/>
          <w:sz w:val="16"/>
          <w:szCs w:val="16"/>
        </w:rPr>
        <w:t xml:space="preserve">and </w:t>
      </w:r>
      <w:r>
        <w:rPr>
          <w:rFonts w:eastAsia="Times New Roman"/>
          <w:sz w:val="16"/>
          <w:szCs w:val="16"/>
        </w:rPr>
        <w:t>≥</w:t>
      </w:r>
      <w:r>
        <w:rPr>
          <w:rFonts w:eastAsia="Times New Roman"/>
          <w:spacing w:val="-2"/>
          <w:sz w:val="16"/>
          <w:szCs w:val="16"/>
        </w:rPr>
        <w:t xml:space="preserve"> </w:t>
      </w:r>
      <w:r>
        <w:rPr>
          <w:rFonts w:eastAsia="Times New Roman"/>
          <w:sz w:val="16"/>
          <w:szCs w:val="16"/>
        </w:rPr>
        <w:t>6</w:t>
      </w:r>
      <w:r>
        <w:rPr>
          <w:rFonts w:eastAsia="Times New Roman"/>
          <w:spacing w:val="2"/>
          <w:sz w:val="16"/>
          <w:szCs w:val="16"/>
        </w:rPr>
        <w:t xml:space="preserve"> </w:t>
      </w:r>
      <w:r>
        <w:rPr>
          <w:rFonts w:eastAsia="Times New Roman"/>
          <w:spacing w:val="-1"/>
          <w:sz w:val="16"/>
          <w:szCs w:val="16"/>
        </w:rPr>
        <w:t>months),</w:t>
      </w:r>
      <w:r>
        <w:rPr>
          <w:rFonts w:eastAsia="Times New Roman"/>
          <w:spacing w:val="-2"/>
          <w:sz w:val="16"/>
          <w:szCs w:val="16"/>
        </w:rPr>
        <w:t xml:space="preserve"> </w:t>
      </w:r>
      <w:r>
        <w:rPr>
          <w:rFonts w:eastAsia="Times New Roman"/>
          <w:spacing w:val="-1"/>
          <w:sz w:val="16"/>
          <w:szCs w:val="16"/>
        </w:rPr>
        <w:t>prior</w:t>
      </w:r>
      <w:r>
        <w:rPr>
          <w:rFonts w:eastAsia="Times New Roman"/>
          <w:sz w:val="16"/>
          <w:szCs w:val="16"/>
        </w:rPr>
        <w:t xml:space="preserve"> </w:t>
      </w:r>
      <w:r>
        <w:rPr>
          <w:rFonts w:eastAsia="Times New Roman"/>
          <w:spacing w:val="-1"/>
          <w:sz w:val="16"/>
          <w:szCs w:val="16"/>
        </w:rPr>
        <w:t>SCT</w:t>
      </w:r>
      <w:r>
        <w:rPr>
          <w:rFonts w:eastAsia="Times New Roman"/>
          <w:spacing w:val="-2"/>
          <w:sz w:val="16"/>
          <w:szCs w:val="16"/>
        </w:rPr>
        <w:t xml:space="preserve"> (yes</w:t>
      </w:r>
      <w:r>
        <w:rPr>
          <w:rFonts w:eastAsia="Times New Roman"/>
          <w:sz w:val="16"/>
          <w:szCs w:val="16"/>
        </w:rPr>
        <w:t xml:space="preserve"> </w:t>
      </w:r>
      <w:r>
        <w:rPr>
          <w:rFonts w:eastAsia="Times New Roman"/>
          <w:spacing w:val="-1"/>
          <w:sz w:val="16"/>
          <w:szCs w:val="16"/>
        </w:rPr>
        <w:t>or</w:t>
      </w:r>
      <w:r>
        <w:rPr>
          <w:rFonts w:eastAsia="Times New Roman"/>
          <w:sz w:val="16"/>
          <w:szCs w:val="16"/>
        </w:rPr>
        <w:t xml:space="preserve"> </w:t>
      </w:r>
      <w:r>
        <w:rPr>
          <w:rFonts w:eastAsia="Times New Roman"/>
          <w:spacing w:val="-1"/>
          <w:sz w:val="16"/>
          <w:szCs w:val="16"/>
        </w:rPr>
        <w:t>no),</w:t>
      </w:r>
      <w:r>
        <w:rPr>
          <w:rFonts w:eastAsia="Times New Roman"/>
          <w:spacing w:val="1"/>
          <w:sz w:val="16"/>
          <w:szCs w:val="16"/>
        </w:rPr>
        <w:t xml:space="preserve"> </w:t>
      </w:r>
      <w:r>
        <w:rPr>
          <w:rFonts w:eastAsia="Times New Roman"/>
          <w:spacing w:val="-1"/>
          <w:sz w:val="16"/>
          <w:szCs w:val="16"/>
        </w:rPr>
        <w:t>and MIPI</w:t>
      </w:r>
      <w:r>
        <w:rPr>
          <w:rFonts w:eastAsia="Times New Roman"/>
          <w:sz w:val="16"/>
          <w:szCs w:val="16"/>
        </w:rPr>
        <w:t xml:space="preserve"> at</w:t>
      </w:r>
      <w:r>
        <w:rPr>
          <w:rFonts w:eastAsia="Times New Roman"/>
          <w:spacing w:val="-1"/>
          <w:sz w:val="16"/>
          <w:szCs w:val="16"/>
        </w:rPr>
        <w:t xml:space="preserve"> baseline </w:t>
      </w:r>
      <w:r>
        <w:rPr>
          <w:rFonts w:eastAsia="Times New Roman"/>
          <w:spacing w:val="-2"/>
          <w:sz w:val="16"/>
          <w:szCs w:val="16"/>
        </w:rPr>
        <w:t>(low,</w:t>
      </w:r>
      <w:r>
        <w:rPr>
          <w:rFonts w:eastAsia="Times New Roman"/>
          <w:spacing w:val="1"/>
          <w:sz w:val="16"/>
          <w:szCs w:val="16"/>
        </w:rPr>
        <w:t xml:space="preserve"> </w:t>
      </w:r>
      <w:r>
        <w:rPr>
          <w:rFonts w:eastAsia="Times New Roman"/>
          <w:spacing w:val="-1"/>
          <w:sz w:val="16"/>
          <w:szCs w:val="16"/>
        </w:rPr>
        <w:t>intermediate,</w:t>
      </w:r>
      <w:r>
        <w:rPr>
          <w:rFonts w:eastAsia="Times New Roman"/>
          <w:spacing w:val="1"/>
          <w:sz w:val="16"/>
          <w:szCs w:val="16"/>
        </w:rPr>
        <w:t xml:space="preserve"> </w:t>
      </w:r>
      <w:r>
        <w:rPr>
          <w:rFonts w:eastAsia="Times New Roman"/>
          <w:spacing w:val="-1"/>
          <w:sz w:val="16"/>
          <w:szCs w:val="16"/>
        </w:rPr>
        <w:t>and high</w:t>
      </w:r>
      <w:r>
        <w:rPr>
          <w:rFonts w:eastAsia="Times New Roman"/>
          <w:spacing w:val="2"/>
          <w:sz w:val="16"/>
          <w:szCs w:val="16"/>
        </w:rPr>
        <w:t xml:space="preserve"> </w:t>
      </w:r>
      <w:r>
        <w:rPr>
          <w:rFonts w:eastAsia="Times New Roman"/>
          <w:spacing w:val="-1"/>
          <w:sz w:val="16"/>
          <w:szCs w:val="16"/>
        </w:rPr>
        <w:t>risk).</w:t>
      </w:r>
    </w:p>
    <w:p w:rsidR="00F72327" w:rsidRDefault="00F72327" w:rsidP="00B2301B">
      <w:pPr>
        <w:shd w:val="clear" w:color="auto" w:fill="DBE5F1" w:themeFill="accent1" w:themeFillTint="33"/>
        <w:ind w:right="310"/>
        <w:rPr>
          <w:rFonts w:eastAsia="Times New Roman"/>
          <w:sz w:val="16"/>
          <w:szCs w:val="16"/>
        </w:rPr>
      </w:pPr>
      <w:r>
        <w:rPr>
          <w:position w:val="6"/>
          <w:sz w:val="10"/>
        </w:rPr>
        <w:t>e</w:t>
      </w:r>
      <w:r>
        <w:rPr>
          <w:spacing w:val="14"/>
          <w:position w:val="6"/>
          <w:sz w:val="10"/>
        </w:rPr>
        <w:t xml:space="preserve"> </w:t>
      </w:r>
      <w:r>
        <w:rPr>
          <w:spacing w:val="-1"/>
          <w:sz w:val="16"/>
        </w:rPr>
        <w:t>Sequential test</w:t>
      </w:r>
      <w:r>
        <w:rPr>
          <w:spacing w:val="1"/>
          <w:sz w:val="16"/>
        </w:rPr>
        <w:t xml:space="preserve"> </w:t>
      </w:r>
      <w:r>
        <w:rPr>
          <w:spacing w:val="-2"/>
          <w:sz w:val="16"/>
        </w:rPr>
        <w:t xml:space="preserve">was </w:t>
      </w:r>
      <w:r>
        <w:rPr>
          <w:spacing w:val="-1"/>
          <w:sz w:val="16"/>
        </w:rPr>
        <w:t xml:space="preserve">based on </w:t>
      </w:r>
      <w:r>
        <w:rPr>
          <w:sz w:val="16"/>
        </w:rPr>
        <w:t>a</w:t>
      </w:r>
      <w:r>
        <w:rPr>
          <w:spacing w:val="1"/>
          <w:sz w:val="16"/>
        </w:rPr>
        <w:t xml:space="preserve"> </w:t>
      </w:r>
      <w:r>
        <w:rPr>
          <w:spacing w:val="-1"/>
          <w:sz w:val="16"/>
        </w:rPr>
        <w:t>weighted mean</w:t>
      </w:r>
      <w:r>
        <w:rPr>
          <w:spacing w:val="2"/>
          <w:sz w:val="16"/>
        </w:rPr>
        <w:t xml:space="preserve"> </w:t>
      </w:r>
      <w:r>
        <w:rPr>
          <w:spacing w:val="-1"/>
          <w:sz w:val="16"/>
        </w:rPr>
        <w:t>of</w:t>
      </w:r>
      <w:r>
        <w:rPr>
          <w:spacing w:val="-3"/>
          <w:sz w:val="16"/>
        </w:rPr>
        <w:t xml:space="preserve"> </w:t>
      </w:r>
      <w:r>
        <w:rPr>
          <w:sz w:val="16"/>
        </w:rPr>
        <w:t>a</w:t>
      </w:r>
      <w:r>
        <w:rPr>
          <w:spacing w:val="1"/>
          <w:sz w:val="16"/>
        </w:rPr>
        <w:t xml:space="preserve"> </w:t>
      </w:r>
      <w:r>
        <w:rPr>
          <w:spacing w:val="-1"/>
          <w:sz w:val="16"/>
        </w:rPr>
        <w:t>log-rank test</w:t>
      </w:r>
      <w:r>
        <w:rPr>
          <w:spacing w:val="1"/>
          <w:sz w:val="16"/>
        </w:rPr>
        <w:t xml:space="preserve"> </w:t>
      </w:r>
      <w:r>
        <w:rPr>
          <w:spacing w:val="-1"/>
          <w:sz w:val="16"/>
        </w:rPr>
        <w:t>statistic using</w:t>
      </w:r>
      <w:r>
        <w:rPr>
          <w:spacing w:val="-3"/>
          <w:sz w:val="16"/>
        </w:rPr>
        <w:t xml:space="preserve"> </w:t>
      </w:r>
      <w:r>
        <w:rPr>
          <w:sz w:val="16"/>
        </w:rPr>
        <w:t>the</w:t>
      </w:r>
      <w:r>
        <w:rPr>
          <w:spacing w:val="-4"/>
          <w:sz w:val="16"/>
        </w:rPr>
        <w:t xml:space="preserve"> </w:t>
      </w:r>
      <w:r>
        <w:rPr>
          <w:spacing w:val="-1"/>
          <w:sz w:val="16"/>
        </w:rPr>
        <w:t>unstratified log-rank test</w:t>
      </w:r>
      <w:r>
        <w:rPr>
          <w:spacing w:val="1"/>
          <w:sz w:val="16"/>
        </w:rPr>
        <w:t xml:space="preserve"> </w:t>
      </w:r>
      <w:r>
        <w:rPr>
          <w:spacing w:val="-1"/>
          <w:sz w:val="16"/>
        </w:rPr>
        <w:t>for</w:t>
      </w:r>
      <w:r>
        <w:rPr>
          <w:sz w:val="16"/>
        </w:rPr>
        <w:t xml:space="preserve"> </w:t>
      </w:r>
      <w:r>
        <w:rPr>
          <w:spacing w:val="-1"/>
          <w:sz w:val="16"/>
        </w:rPr>
        <w:t>sample</w:t>
      </w:r>
      <w:r>
        <w:rPr>
          <w:spacing w:val="-2"/>
          <w:sz w:val="16"/>
        </w:rPr>
        <w:t xml:space="preserve"> </w:t>
      </w:r>
      <w:r>
        <w:rPr>
          <w:spacing w:val="-1"/>
          <w:sz w:val="16"/>
        </w:rPr>
        <w:t>size increase</w:t>
      </w:r>
      <w:r>
        <w:rPr>
          <w:spacing w:val="-2"/>
          <w:sz w:val="16"/>
        </w:rPr>
        <w:t xml:space="preserve"> </w:t>
      </w:r>
      <w:r>
        <w:rPr>
          <w:spacing w:val="-1"/>
          <w:sz w:val="16"/>
        </w:rPr>
        <w:t xml:space="preserve">and </w:t>
      </w:r>
      <w:r>
        <w:rPr>
          <w:sz w:val="16"/>
        </w:rPr>
        <w:t>the</w:t>
      </w:r>
      <w:r>
        <w:rPr>
          <w:spacing w:val="101"/>
          <w:sz w:val="16"/>
        </w:rPr>
        <w:t xml:space="preserve"> </w:t>
      </w:r>
      <w:r>
        <w:rPr>
          <w:spacing w:val="-1"/>
          <w:sz w:val="16"/>
        </w:rPr>
        <w:t>unstratified log-rank test</w:t>
      </w:r>
      <w:r>
        <w:rPr>
          <w:spacing w:val="1"/>
          <w:sz w:val="16"/>
        </w:rPr>
        <w:t xml:space="preserve"> </w:t>
      </w:r>
      <w:r>
        <w:rPr>
          <w:spacing w:val="-1"/>
          <w:sz w:val="16"/>
        </w:rPr>
        <w:t>of</w:t>
      </w:r>
      <w:r>
        <w:rPr>
          <w:sz w:val="16"/>
        </w:rPr>
        <w:t xml:space="preserve"> </w:t>
      </w:r>
      <w:r>
        <w:rPr>
          <w:spacing w:val="-1"/>
          <w:sz w:val="16"/>
        </w:rPr>
        <w:t>the primary</w:t>
      </w:r>
      <w:r>
        <w:rPr>
          <w:spacing w:val="-3"/>
          <w:sz w:val="16"/>
        </w:rPr>
        <w:t xml:space="preserve"> </w:t>
      </w:r>
      <w:r>
        <w:rPr>
          <w:spacing w:val="-1"/>
          <w:sz w:val="16"/>
        </w:rPr>
        <w:t>analysis.</w:t>
      </w:r>
      <w:r>
        <w:rPr>
          <w:spacing w:val="1"/>
          <w:sz w:val="16"/>
        </w:rPr>
        <w:t xml:space="preserve"> </w:t>
      </w:r>
      <w:r>
        <w:rPr>
          <w:spacing w:val="-1"/>
          <w:sz w:val="16"/>
        </w:rPr>
        <w:t>The</w:t>
      </w:r>
      <w:r>
        <w:rPr>
          <w:spacing w:val="1"/>
          <w:sz w:val="16"/>
        </w:rPr>
        <w:t xml:space="preserve"> </w:t>
      </w:r>
      <w:r>
        <w:rPr>
          <w:spacing w:val="-1"/>
          <w:sz w:val="16"/>
        </w:rPr>
        <w:t>weights</w:t>
      </w:r>
      <w:r>
        <w:rPr>
          <w:sz w:val="16"/>
        </w:rPr>
        <w:t xml:space="preserve"> </w:t>
      </w:r>
      <w:r>
        <w:rPr>
          <w:spacing w:val="-1"/>
          <w:sz w:val="16"/>
        </w:rPr>
        <w:t>are based</w:t>
      </w:r>
      <w:r>
        <w:rPr>
          <w:spacing w:val="2"/>
          <w:sz w:val="16"/>
        </w:rPr>
        <w:t xml:space="preserve"> </w:t>
      </w:r>
      <w:r>
        <w:rPr>
          <w:spacing w:val="-1"/>
          <w:sz w:val="16"/>
        </w:rPr>
        <w:t>on</w:t>
      </w:r>
      <w:r>
        <w:rPr>
          <w:spacing w:val="-3"/>
          <w:sz w:val="16"/>
        </w:rPr>
        <w:t xml:space="preserve"> </w:t>
      </w:r>
      <w:r>
        <w:rPr>
          <w:spacing w:val="-1"/>
          <w:sz w:val="16"/>
        </w:rPr>
        <w:t>observed</w:t>
      </w:r>
      <w:r>
        <w:rPr>
          <w:spacing w:val="2"/>
          <w:sz w:val="16"/>
        </w:rPr>
        <w:t xml:space="preserve"> </w:t>
      </w:r>
      <w:r>
        <w:rPr>
          <w:spacing w:val="-1"/>
          <w:sz w:val="16"/>
        </w:rPr>
        <w:t>events</w:t>
      </w:r>
      <w:r>
        <w:rPr>
          <w:sz w:val="16"/>
        </w:rPr>
        <w:t xml:space="preserve"> </w:t>
      </w:r>
      <w:r>
        <w:rPr>
          <w:spacing w:val="-1"/>
          <w:sz w:val="16"/>
        </w:rPr>
        <w:t>at</w:t>
      </w:r>
      <w:r>
        <w:rPr>
          <w:spacing w:val="1"/>
          <w:sz w:val="16"/>
        </w:rPr>
        <w:t xml:space="preserve"> </w:t>
      </w:r>
      <w:r>
        <w:rPr>
          <w:spacing w:val="-1"/>
          <w:sz w:val="16"/>
        </w:rPr>
        <w:t>the time</w:t>
      </w:r>
      <w:r>
        <w:rPr>
          <w:spacing w:val="-2"/>
          <w:sz w:val="16"/>
        </w:rPr>
        <w:t xml:space="preserve"> </w:t>
      </w:r>
      <w:r>
        <w:rPr>
          <w:spacing w:val="-1"/>
          <w:sz w:val="16"/>
        </w:rPr>
        <w:t xml:space="preserve">the third </w:t>
      </w:r>
      <w:r>
        <w:rPr>
          <w:sz w:val="16"/>
        </w:rPr>
        <w:t>DMC</w:t>
      </w:r>
      <w:r>
        <w:rPr>
          <w:spacing w:val="-1"/>
          <w:sz w:val="16"/>
        </w:rPr>
        <w:t xml:space="preserve"> meeting </w:t>
      </w:r>
      <w:r>
        <w:rPr>
          <w:spacing w:val="-2"/>
          <w:sz w:val="16"/>
        </w:rPr>
        <w:t>was</w:t>
      </w:r>
      <w:r>
        <w:rPr>
          <w:sz w:val="16"/>
        </w:rPr>
        <w:t xml:space="preserve"> </w:t>
      </w:r>
      <w:r>
        <w:rPr>
          <w:spacing w:val="-1"/>
          <w:sz w:val="16"/>
        </w:rPr>
        <w:t>held and based on</w:t>
      </w:r>
      <w:r>
        <w:rPr>
          <w:spacing w:val="91"/>
          <w:sz w:val="16"/>
        </w:rPr>
        <w:t xml:space="preserve"> </w:t>
      </w:r>
      <w:r>
        <w:rPr>
          <w:sz w:val="16"/>
        </w:rPr>
        <w:t>the</w:t>
      </w:r>
      <w:r>
        <w:rPr>
          <w:spacing w:val="-4"/>
          <w:sz w:val="16"/>
        </w:rPr>
        <w:t xml:space="preserve"> </w:t>
      </w:r>
      <w:r>
        <w:rPr>
          <w:spacing w:val="-1"/>
          <w:sz w:val="16"/>
        </w:rPr>
        <w:t>difference between</w:t>
      </w:r>
      <w:r>
        <w:rPr>
          <w:spacing w:val="2"/>
          <w:sz w:val="16"/>
        </w:rPr>
        <w:t xml:space="preserve"> </w:t>
      </w:r>
      <w:r>
        <w:rPr>
          <w:spacing w:val="-1"/>
          <w:sz w:val="16"/>
        </w:rPr>
        <w:t>observed</w:t>
      </w:r>
      <w:r>
        <w:rPr>
          <w:spacing w:val="2"/>
          <w:sz w:val="16"/>
        </w:rPr>
        <w:t xml:space="preserve"> </w:t>
      </w:r>
      <w:r>
        <w:rPr>
          <w:spacing w:val="-1"/>
          <w:sz w:val="16"/>
        </w:rPr>
        <w:t>and expected</w:t>
      </w:r>
      <w:r>
        <w:rPr>
          <w:spacing w:val="2"/>
          <w:sz w:val="16"/>
        </w:rPr>
        <w:t xml:space="preserve"> </w:t>
      </w:r>
      <w:r>
        <w:rPr>
          <w:spacing w:val="-1"/>
          <w:sz w:val="16"/>
        </w:rPr>
        <w:t>events</w:t>
      </w:r>
      <w:r>
        <w:rPr>
          <w:sz w:val="16"/>
        </w:rPr>
        <w:t xml:space="preserve"> at</w:t>
      </w:r>
      <w:r>
        <w:rPr>
          <w:spacing w:val="-1"/>
          <w:sz w:val="16"/>
        </w:rPr>
        <w:t xml:space="preserve"> the</w:t>
      </w:r>
      <w:r>
        <w:rPr>
          <w:spacing w:val="-2"/>
          <w:sz w:val="16"/>
        </w:rPr>
        <w:t xml:space="preserve"> </w:t>
      </w:r>
      <w:r>
        <w:rPr>
          <w:spacing w:val="-1"/>
          <w:sz w:val="16"/>
        </w:rPr>
        <w:t>time of</w:t>
      </w:r>
      <w:r>
        <w:rPr>
          <w:sz w:val="16"/>
        </w:rPr>
        <w:t xml:space="preserve"> the</w:t>
      </w:r>
      <w:r>
        <w:rPr>
          <w:spacing w:val="-4"/>
          <w:sz w:val="16"/>
        </w:rPr>
        <w:t xml:space="preserve"> </w:t>
      </w:r>
      <w:r>
        <w:rPr>
          <w:spacing w:val="-1"/>
          <w:sz w:val="16"/>
        </w:rPr>
        <w:t>primary</w:t>
      </w:r>
      <w:r>
        <w:rPr>
          <w:spacing w:val="-3"/>
          <w:sz w:val="16"/>
        </w:rPr>
        <w:t xml:space="preserve"> </w:t>
      </w:r>
      <w:r>
        <w:rPr>
          <w:spacing w:val="-1"/>
          <w:sz w:val="16"/>
        </w:rPr>
        <w:t>analysis.</w:t>
      </w:r>
      <w:r>
        <w:rPr>
          <w:spacing w:val="1"/>
          <w:sz w:val="16"/>
        </w:rPr>
        <w:t xml:space="preserve"> </w:t>
      </w:r>
      <w:r>
        <w:rPr>
          <w:spacing w:val="-1"/>
          <w:sz w:val="16"/>
        </w:rPr>
        <w:t>The associated</w:t>
      </w:r>
      <w:r>
        <w:rPr>
          <w:spacing w:val="2"/>
          <w:sz w:val="16"/>
        </w:rPr>
        <w:t xml:space="preserve"> </w:t>
      </w:r>
      <w:r>
        <w:rPr>
          <w:spacing w:val="-1"/>
          <w:sz w:val="16"/>
        </w:rPr>
        <w:t>sequential HR and the corresponding</w:t>
      </w:r>
      <w:r>
        <w:rPr>
          <w:spacing w:val="-3"/>
          <w:sz w:val="16"/>
        </w:rPr>
        <w:t xml:space="preserve"> </w:t>
      </w:r>
      <w:r>
        <w:rPr>
          <w:spacing w:val="-1"/>
          <w:sz w:val="16"/>
        </w:rPr>
        <w:t xml:space="preserve">95% </w:t>
      </w:r>
      <w:r>
        <w:rPr>
          <w:sz w:val="16"/>
        </w:rPr>
        <w:t>CI</w:t>
      </w:r>
      <w:r>
        <w:rPr>
          <w:spacing w:val="91"/>
          <w:sz w:val="16"/>
        </w:rPr>
        <w:t xml:space="preserve"> </w:t>
      </w:r>
      <w:r>
        <w:rPr>
          <w:spacing w:val="-1"/>
          <w:sz w:val="16"/>
        </w:rPr>
        <w:t>are</w:t>
      </w:r>
      <w:r>
        <w:rPr>
          <w:spacing w:val="-2"/>
          <w:sz w:val="16"/>
        </w:rPr>
        <w:t xml:space="preserve"> </w:t>
      </w:r>
      <w:r>
        <w:rPr>
          <w:spacing w:val="-1"/>
          <w:sz w:val="16"/>
        </w:rPr>
        <w:t>presented.</w:t>
      </w:r>
    </w:p>
    <w:p w:rsidR="00F72327" w:rsidRDefault="00F72327" w:rsidP="00B2301B">
      <w:pPr>
        <w:shd w:val="clear" w:color="auto" w:fill="DBE5F1" w:themeFill="accent1" w:themeFillTint="33"/>
        <w:spacing w:before="10"/>
        <w:rPr>
          <w:rFonts w:eastAsia="Times New Roman"/>
          <w:sz w:val="21"/>
          <w:szCs w:val="21"/>
        </w:rPr>
      </w:pPr>
    </w:p>
    <w:p w:rsidR="00F72327" w:rsidRDefault="00F72327" w:rsidP="00B2301B">
      <w:pPr>
        <w:pStyle w:val="BodyText"/>
        <w:shd w:val="clear" w:color="auto" w:fill="DBE5F1" w:themeFill="accent1" w:themeFillTint="33"/>
        <w:ind w:right="277"/>
      </w:pPr>
      <w:r>
        <w:rPr>
          <w:spacing w:val="-3"/>
        </w:rPr>
        <w:t>In</w:t>
      </w:r>
      <w:r>
        <w:t xml:space="preserve"> study</w:t>
      </w:r>
      <w:r>
        <w:rPr>
          <w:spacing w:val="-2"/>
        </w:rPr>
        <w:t xml:space="preserve"> </w:t>
      </w:r>
      <w:r>
        <w:rPr>
          <w:spacing w:val="-1"/>
        </w:rPr>
        <w:t>MCL-002</w:t>
      </w:r>
      <w:r>
        <w:t xml:space="preserve"> in the </w:t>
      </w:r>
      <w:r>
        <w:rPr>
          <w:spacing w:val="-2"/>
        </w:rPr>
        <w:t>ITT</w:t>
      </w:r>
      <w:r>
        <w:rPr>
          <w:spacing w:val="2"/>
        </w:rPr>
        <w:t xml:space="preserve"> </w:t>
      </w:r>
      <w:r>
        <w:rPr>
          <w:spacing w:val="-1"/>
        </w:rPr>
        <w:t>population,</w:t>
      </w:r>
      <w:r>
        <w:rPr>
          <w:spacing w:val="-2"/>
        </w:rPr>
        <w:t xml:space="preserve"> </w:t>
      </w:r>
      <w:r>
        <w:rPr>
          <w:spacing w:val="-1"/>
        </w:rPr>
        <w:t>there</w:t>
      </w:r>
      <w:r>
        <w:t xml:space="preserve"> </w:t>
      </w:r>
      <w:r>
        <w:rPr>
          <w:spacing w:val="-1"/>
        </w:rPr>
        <w:t>was</w:t>
      </w:r>
      <w:r>
        <w:rPr>
          <w:spacing w:val="-2"/>
        </w:rPr>
        <w:t xml:space="preserve"> an</w:t>
      </w:r>
      <w:r>
        <w:t xml:space="preserve"> </w:t>
      </w:r>
      <w:r>
        <w:rPr>
          <w:spacing w:val="-1"/>
        </w:rPr>
        <w:t>overall</w:t>
      </w:r>
      <w:r>
        <w:rPr>
          <w:spacing w:val="1"/>
        </w:rPr>
        <w:t xml:space="preserve"> </w:t>
      </w:r>
      <w:r>
        <w:rPr>
          <w:spacing w:val="-1"/>
        </w:rPr>
        <w:t>apparent</w:t>
      </w:r>
      <w:r>
        <w:rPr>
          <w:spacing w:val="-2"/>
        </w:rPr>
        <w:t xml:space="preserve"> </w:t>
      </w:r>
      <w:r>
        <w:rPr>
          <w:spacing w:val="-1"/>
        </w:rPr>
        <w:t>increase</w:t>
      </w:r>
      <w:r>
        <w:rPr>
          <w:spacing w:val="-2"/>
        </w:rPr>
        <w:t xml:space="preserve"> </w:t>
      </w:r>
      <w:r>
        <w:t xml:space="preserve">in </w:t>
      </w:r>
      <w:r>
        <w:rPr>
          <w:spacing w:val="-1"/>
        </w:rPr>
        <w:t>deaths</w:t>
      </w:r>
      <w:r>
        <w:t xml:space="preserve"> </w:t>
      </w:r>
      <w:r>
        <w:rPr>
          <w:spacing w:val="-1"/>
        </w:rPr>
        <w:t>within</w:t>
      </w:r>
      <w:r>
        <w:rPr>
          <w:spacing w:val="-3"/>
        </w:rPr>
        <w:t xml:space="preserve"> </w:t>
      </w:r>
      <w:r>
        <w:t xml:space="preserve">20 </w:t>
      </w:r>
      <w:r>
        <w:rPr>
          <w:spacing w:val="-1"/>
        </w:rPr>
        <w:t>weeks</w:t>
      </w:r>
      <w:r>
        <w:t xml:space="preserve"> </w:t>
      </w:r>
      <w:r>
        <w:rPr>
          <w:spacing w:val="-1"/>
        </w:rPr>
        <w:t>in</w:t>
      </w:r>
      <w:r>
        <w:rPr>
          <w:spacing w:val="75"/>
        </w:rPr>
        <w:t xml:space="preserve"> </w:t>
      </w:r>
      <w:r>
        <w:t>the</w:t>
      </w:r>
      <w:r>
        <w:rPr>
          <w:spacing w:val="-2"/>
        </w:rPr>
        <w:t xml:space="preserve"> </w:t>
      </w:r>
      <w:r>
        <w:rPr>
          <w:spacing w:val="-1"/>
        </w:rPr>
        <w:t>lenalidomide</w:t>
      </w:r>
      <w:r>
        <w:t xml:space="preserve"> arm</w:t>
      </w:r>
      <w:r>
        <w:rPr>
          <w:spacing w:val="-4"/>
        </w:rPr>
        <w:t xml:space="preserve"> </w:t>
      </w:r>
      <w:r>
        <w:rPr>
          <w:spacing w:val="-1"/>
        </w:rPr>
        <w:t>22/170</w:t>
      </w:r>
      <w:r>
        <w:t xml:space="preserve"> </w:t>
      </w:r>
      <w:r>
        <w:rPr>
          <w:spacing w:val="-1"/>
        </w:rPr>
        <w:t>(13%)</w:t>
      </w:r>
      <w:r>
        <w:rPr>
          <w:spacing w:val="1"/>
        </w:rPr>
        <w:t xml:space="preserve"> </w:t>
      </w:r>
      <w:r>
        <w:rPr>
          <w:spacing w:val="-1"/>
        </w:rPr>
        <w:t>versus</w:t>
      </w:r>
      <w:r>
        <w:t xml:space="preserve"> </w:t>
      </w:r>
      <w:r>
        <w:rPr>
          <w:spacing w:val="-1"/>
        </w:rPr>
        <w:t>6/84</w:t>
      </w:r>
      <w:r>
        <w:rPr>
          <w:spacing w:val="-2"/>
        </w:rPr>
        <w:t xml:space="preserve"> </w:t>
      </w:r>
      <w:r>
        <w:rPr>
          <w:spacing w:val="-1"/>
        </w:rPr>
        <w:t>(7%)</w:t>
      </w:r>
      <w:r>
        <w:rPr>
          <w:spacing w:val="-2"/>
        </w:rPr>
        <w:t xml:space="preserve"> </w:t>
      </w:r>
      <w:r>
        <w:rPr>
          <w:spacing w:val="-1"/>
        </w:rPr>
        <w:t>in</w:t>
      </w:r>
      <w:r>
        <w:t xml:space="preserve"> the</w:t>
      </w:r>
      <w:r>
        <w:rPr>
          <w:spacing w:val="-2"/>
        </w:rPr>
        <w:t xml:space="preserve"> </w:t>
      </w:r>
      <w:r>
        <w:rPr>
          <w:spacing w:val="-1"/>
        </w:rPr>
        <w:t>control</w:t>
      </w:r>
      <w:r>
        <w:rPr>
          <w:spacing w:val="1"/>
        </w:rPr>
        <w:t xml:space="preserve"> </w:t>
      </w:r>
      <w:r>
        <w:rPr>
          <w:spacing w:val="-2"/>
        </w:rPr>
        <w:t>arm.</w:t>
      </w:r>
      <w:r>
        <w:rPr>
          <w:spacing w:val="2"/>
        </w:rPr>
        <w:t xml:space="preserve"> </w:t>
      </w:r>
      <w:r>
        <w:rPr>
          <w:spacing w:val="-2"/>
        </w:rPr>
        <w:t>In</w:t>
      </w:r>
      <w:r>
        <w:t xml:space="preserve"> </w:t>
      </w:r>
      <w:r>
        <w:rPr>
          <w:spacing w:val="-1"/>
        </w:rPr>
        <w:t>patients</w:t>
      </w:r>
      <w:r>
        <w:t xml:space="preserve"> with</w:t>
      </w:r>
      <w:r>
        <w:rPr>
          <w:spacing w:val="-3"/>
        </w:rPr>
        <w:t xml:space="preserve"> </w:t>
      </w:r>
      <w:r>
        <w:rPr>
          <w:spacing w:val="-1"/>
        </w:rPr>
        <w:t>high</w:t>
      </w:r>
      <w:r>
        <w:t xml:space="preserve"> </w:t>
      </w:r>
      <w:r>
        <w:rPr>
          <w:spacing w:val="-1"/>
        </w:rPr>
        <w:t>tumour</w:t>
      </w:r>
      <w:r>
        <w:t xml:space="preserve"> </w:t>
      </w:r>
      <w:r>
        <w:rPr>
          <w:spacing w:val="-1"/>
        </w:rPr>
        <w:t>burden,</w:t>
      </w:r>
      <w:r>
        <w:rPr>
          <w:spacing w:val="71"/>
        </w:rPr>
        <w:t xml:space="preserve"> </w:t>
      </w:r>
      <w:r>
        <w:rPr>
          <w:spacing w:val="-1"/>
        </w:rPr>
        <w:t>corresponding</w:t>
      </w:r>
      <w:r>
        <w:rPr>
          <w:spacing w:val="-3"/>
        </w:rPr>
        <w:t xml:space="preserve"> </w:t>
      </w:r>
      <w:r>
        <w:rPr>
          <w:spacing w:val="-1"/>
        </w:rPr>
        <w:t>figures</w:t>
      </w:r>
      <w:r>
        <w:t xml:space="preserve"> </w:t>
      </w:r>
      <w:r>
        <w:rPr>
          <w:spacing w:val="-1"/>
        </w:rPr>
        <w:t>were</w:t>
      </w:r>
      <w:r>
        <w:t xml:space="preserve"> </w:t>
      </w:r>
      <w:r>
        <w:rPr>
          <w:spacing w:val="-1"/>
        </w:rPr>
        <w:t>16/81</w:t>
      </w:r>
      <w:r>
        <w:rPr>
          <w:spacing w:val="-2"/>
        </w:rPr>
        <w:t xml:space="preserve"> </w:t>
      </w:r>
      <w:r>
        <w:rPr>
          <w:spacing w:val="-1"/>
        </w:rPr>
        <w:t>(20%)</w:t>
      </w:r>
      <w:r>
        <w:rPr>
          <w:spacing w:val="-2"/>
        </w:rPr>
        <w:t xml:space="preserve"> </w:t>
      </w:r>
      <w:r>
        <w:t xml:space="preserve">and </w:t>
      </w:r>
      <w:r>
        <w:rPr>
          <w:spacing w:val="-1"/>
        </w:rPr>
        <w:t>2/28</w:t>
      </w:r>
      <w:r>
        <w:t xml:space="preserve"> </w:t>
      </w:r>
      <w:r>
        <w:rPr>
          <w:spacing w:val="-1"/>
        </w:rPr>
        <w:t>(7%)</w:t>
      </w:r>
      <w:r>
        <w:rPr>
          <w:spacing w:val="1"/>
        </w:rPr>
        <w:t xml:space="preserve"> </w:t>
      </w:r>
      <w:r>
        <w:rPr>
          <w:spacing w:val="-1"/>
        </w:rPr>
        <w:t>(see</w:t>
      </w:r>
      <w:r>
        <w:rPr>
          <w:spacing w:val="-2"/>
        </w:rPr>
        <w:t xml:space="preserve"> </w:t>
      </w:r>
      <w:r>
        <w:rPr>
          <w:spacing w:val="-1"/>
        </w:rPr>
        <w:t>section</w:t>
      </w:r>
      <w:r>
        <w:t xml:space="preserve"> </w:t>
      </w:r>
      <w:r>
        <w:rPr>
          <w:spacing w:val="-1"/>
        </w:rPr>
        <w:t>4.4).</w:t>
      </w:r>
    </w:p>
    <w:p w:rsidR="00F72327" w:rsidRDefault="00F72327" w:rsidP="00514498">
      <w:pPr>
        <w:spacing w:before="10"/>
        <w:rPr>
          <w:rFonts w:eastAsia="Times New Roman"/>
          <w:sz w:val="21"/>
          <w:szCs w:val="21"/>
        </w:rPr>
      </w:pPr>
    </w:p>
    <w:p w:rsidR="00F72327" w:rsidRDefault="00F72327" w:rsidP="00514498">
      <w:pPr>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p>
    <w:p w:rsidR="00F72327" w:rsidRDefault="00F72327" w:rsidP="00514498">
      <w:pPr>
        <w:pStyle w:val="BodyText"/>
        <w:spacing w:before="1" w:line="252" w:lineRule="exact"/>
      </w:pPr>
      <w:r>
        <w:rPr>
          <w:spacing w:val="-1"/>
        </w:rPr>
        <w:t>AUGMENT</w:t>
      </w:r>
      <w:r>
        <w:rPr>
          <w:spacing w:val="2"/>
        </w:rPr>
        <w:t xml:space="preserve"> </w:t>
      </w:r>
      <w:r>
        <w:t>-</w:t>
      </w:r>
      <w:r>
        <w:rPr>
          <w:spacing w:val="-4"/>
        </w:rPr>
        <w:t xml:space="preserve"> </w:t>
      </w:r>
      <w:r>
        <w:rPr>
          <w:spacing w:val="-1"/>
        </w:rPr>
        <w:t>CC-5013-NHL-007</w:t>
      </w:r>
    </w:p>
    <w:p w:rsidR="00F72327" w:rsidRDefault="00F72327" w:rsidP="00514498">
      <w:pPr>
        <w:pStyle w:val="BodyText"/>
        <w:ind w:right="515"/>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in</w:t>
      </w:r>
      <w:r>
        <w:t xml:space="preserve"> </w:t>
      </w:r>
      <w:r>
        <w:rPr>
          <w:spacing w:val="-1"/>
        </w:rPr>
        <w:t>combination</w:t>
      </w:r>
      <w:r>
        <w:t xml:space="preserve"> with</w:t>
      </w:r>
      <w:r>
        <w:rPr>
          <w:spacing w:val="-3"/>
        </w:rPr>
        <w:t xml:space="preserve"> </w:t>
      </w:r>
      <w:r>
        <w:rPr>
          <w:spacing w:val="-1"/>
        </w:rPr>
        <w:t>rituximab</w:t>
      </w:r>
      <w:r>
        <w:t xml:space="preserve"> </w:t>
      </w:r>
      <w:r>
        <w:rPr>
          <w:spacing w:val="-1"/>
        </w:rPr>
        <w:t>versus</w:t>
      </w:r>
      <w:r>
        <w:t xml:space="preserve"> </w:t>
      </w:r>
      <w:r>
        <w:rPr>
          <w:spacing w:val="-2"/>
        </w:rPr>
        <w:t>rituximab</w:t>
      </w:r>
      <w:r>
        <w:t xml:space="preserve"> plus</w:t>
      </w:r>
      <w:r>
        <w:rPr>
          <w:spacing w:val="1"/>
        </w:rPr>
        <w:t xml:space="preserve"> </w:t>
      </w:r>
      <w:r>
        <w:rPr>
          <w:spacing w:val="-1"/>
        </w:rPr>
        <w:t>placebo</w:t>
      </w:r>
      <w:r>
        <w:t xml:space="preserve"> </w:t>
      </w:r>
      <w:r>
        <w:rPr>
          <w:spacing w:val="-1"/>
        </w:rPr>
        <w:t>was</w:t>
      </w:r>
      <w:r>
        <w:rPr>
          <w:spacing w:val="83"/>
        </w:rPr>
        <w:t xml:space="preserve"> </w:t>
      </w:r>
      <w:r>
        <w:rPr>
          <w:spacing w:val="-1"/>
        </w:rPr>
        <w:t>evaluated</w:t>
      </w:r>
      <w:r>
        <w:t xml:space="preserve"> </w:t>
      </w:r>
      <w:r>
        <w:rPr>
          <w:spacing w:val="-1"/>
        </w:rPr>
        <w:t>in</w:t>
      </w:r>
      <w:r>
        <w:t xml:space="preserve"> </w:t>
      </w:r>
      <w:r>
        <w:rPr>
          <w:spacing w:val="-1"/>
        </w:rPr>
        <w:t>patients</w:t>
      </w:r>
      <w:r>
        <w:t xml:space="preserve"> </w:t>
      </w:r>
      <w:r>
        <w:rPr>
          <w:spacing w:val="-1"/>
        </w:rPr>
        <w:t>with</w:t>
      </w:r>
      <w:r>
        <w:t xml:space="preserve"> </w:t>
      </w:r>
      <w:r>
        <w:rPr>
          <w:spacing w:val="-1"/>
        </w:rPr>
        <w:t>relapsed/refractory</w:t>
      </w:r>
      <w:r>
        <w:rPr>
          <w:spacing w:val="-3"/>
        </w:rPr>
        <w:t xml:space="preserve"> </w:t>
      </w:r>
      <w:r>
        <w:rPr>
          <w:spacing w:val="-1"/>
        </w:rPr>
        <w:t>iNHL including</w:t>
      </w:r>
      <w:r>
        <w:rPr>
          <w:spacing w:val="-3"/>
        </w:rPr>
        <w:t xml:space="preserve"> </w:t>
      </w:r>
      <w:r>
        <w:t>FL in a</w:t>
      </w:r>
      <w:r>
        <w:rPr>
          <w:spacing w:val="-2"/>
        </w:rPr>
        <w:t xml:space="preserve"> </w:t>
      </w:r>
      <w:r>
        <w:rPr>
          <w:spacing w:val="-1"/>
        </w:rPr>
        <w:t>phase</w:t>
      </w:r>
      <w:r>
        <w:t xml:space="preserve"> 3, </w:t>
      </w:r>
      <w:r>
        <w:rPr>
          <w:spacing w:val="-1"/>
        </w:rPr>
        <w:t>multicentre,</w:t>
      </w:r>
      <w:r>
        <w:t xml:space="preserve"> </w:t>
      </w:r>
      <w:r>
        <w:rPr>
          <w:spacing w:val="-1"/>
        </w:rPr>
        <w:t>randomised,</w:t>
      </w:r>
      <w:r>
        <w:rPr>
          <w:spacing w:val="81"/>
        </w:rPr>
        <w:t xml:space="preserve"> </w:t>
      </w:r>
      <w:r>
        <w:t>double-</w:t>
      </w:r>
      <w:r>
        <w:rPr>
          <w:spacing w:val="-4"/>
        </w:rPr>
        <w:t xml:space="preserve"> </w:t>
      </w:r>
      <w:r>
        <w:rPr>
          <w:spacing w:val="-1"/>
        </w:rPr>
        <w:t>blind</w:t>
      </w:r>
      <w:r>
        <w:t xml:space="preserve"> </w:t>
      </w:r>
      <w:r>
        <w:rPr>
          <w:spacing w:val="-1"/>
        </w:rPr>
        <w:t>controlled</w:t>
      </w:r>
      <w:r>
        <w:t xml:space="preserve"> </w:t>
      </w:r>
      <w:r>
        <w:rPr>
          <w:spacing w:val="-1"/>
        </w:rPr>
        <w:t>study</w:t>
      </w:r>
      <w:r>
        <w:rPr>
          <w:spacing w:val="-2"/>
        </w:rPr>
        <w:t xml:space="preserve"> </w:t>
      </w:r>
      <w:r>
        <w:rPr>
          <w:spacing w:val="-1"/>
        </w:rPr>
        <w:t>(CC-5013-NHL-007</w:t>
      </w:r>
      <w:r>
        <w:t xml:space="preserve"> </w:t>
      </w:r>
      <w:r>
        <w:rPr>
          <w:spacing w:val="-1"/>
        </w:rPr>
        <w:t>[AUGMENT]).</w:t>
      </w:r>
    </w:p>
    <w:p w:rsidR="00F72327" w:rsidRDefault="00F72327" w:rsidP="00514498">
      <w:pPr>
        <w:rPr>
          <w:rFonts w:eastAsia="Times New Roman"/>
        </w:rPr>
      </w:pPr>
    </w:p>
    <w:p w:rsidR="00F72327" w:rsidRDefault="00F72327" w:rsidP="004273C8">
      <w:pPr>
        <w:pStyle w:val="BodyText"/>
        <w:ind w:right="310"/>
      </w:pPr>
      <w:r>
        <w:t>A</w:t>
      </w:r>
      <w:r>
        <w:rPr>
          <w:spacing w:val="-1"/>
        </w:rPr>
        <w:t xml:space="preserve"> </w:t>
      </w:r>
      <w:r>
        <w:t>total</w:t>
      </w:r>
      <w:r>
        <w:rPr>
          <w:spacing w:val="1"/>
        </w:rPr>
        <w:t xml:space="preserve"> </w:t>
      </w:r>
      <w:r>
        <w:rPr>
          <w:spacing w:val="-2"/>
        </w:rPr>
        <w:t>of</w:t>
      </w:r>
      <w:r>
        <w:rPr>
          <w:spacing w:val="1"/>
        </w:rPr>
        <w:t xml:space="preserve"> </w:t>
      </w:r>
      <w:r>
        <w:t xml:space="preserve">358 </w:t>
      </w:r>
      <w:r>
        <w:rPr>
          <w:spacing w:val="-1"/>
        </w:rPr>
        <w:t>patients</w:t>
      </w:r>
      <w:r>
        <w:t xml:space="preserve"> </w:t>
      </w:r>
      <w:r>
        <w:rPr>
          <w:spacing w:val="-1"/>
        </w:rPr>
        <w:t>who</w:t>
      </w:r>
      <w:r>
        <w:rPr>
          <w:spacing w:val="-2"/>
        </w:rPr>
        <w:t xml:space="preserve"> </w:t>
      </w:r>
      <w:r>
        <w:rPr>
          <w:spacing w:val="-1"/>
        </w:rPr>
        <w:t>were</w:t>
      </w:r>
      <w:r>
        <w:t xml:space="preserve"> </w:t>
      </w:r>
      <w:r>
        <w:rPr>
          <w:spacing w:val="-2"/>
        </w:rPr>
        <w:t>at</w:t>
      </w:r>
      <w:r>
        <w:rPr>
          <w:spacing w:val="-1"/>
        </w:rPr>
        <w:t xml:space="preserve"> least</w:t>
      </w:r>
      <w:r>
        <w:rPr>
          <w:spacing w:val="1"/>
        </w:rPr>
        <w:t xml:space="preserve"> </w:t>
      </w:r>
      <w:r>
        <w:t xml:space="preserve">18 </w:t>
      </w:r>
      <w:r>
        <w:rPr>
          <w:spacing w:val="-1"/>
        </w:rPr>
        <w:t>years</w:t>
      </w:r>
      <w:r>
        <w:t xml:space="preserve"> </w:t>
      </w:r>
      <w:r>
        <w:rPr>
          <w:spacing w:val="-2"/>
        </w:rPr>
        <w:t>of</w:t>
      </w:r>
      <w:r>
        <w:rPr>
          <w:spacing w:val="1"/>
        </w:rPr>
        <w:t xml:space="preserve"> </w:t>
      </w:r>
      <w:r>
        <w:rPr>
          <w:spacing w:val="-1"/>
        </w:rPr>
        <w:t>age</w:t>
      </w:r>
      <w:r>
        <w:t xml:space="preserve"> with</w:t>
      </w:r>
      <w:r>
        <w:rPr>
          <w:spacing w:val="-3"/>
        </w:rPr>
        <w:t xml:space="preserve"> </w:t>
      </w:r>
      <w:r>
        <w:rPr>
          <w:spacing w:val="-1"/>
        </w:rPr>
        <w:t>histologically</w:t>
      </w:r>
      <w:r>
        <w:rPr>
          <w:spacing w:val="-2"/>
        </w:rPr>
        <w:t xml:space="preserve"> confirmed</w:t>
      </w:r>
      <w:r>
        <w:t xml:space="preserve"> </w:t>
      </w:r>
      <w:r>
        <w:rPr>
          <w:spacing w:val="-1"/>
        </w:rPr>
        <w:t xml:space="preserve">MZL </w:t>
      </w:r>
      <w:r>
        <w:t>or</w:t>
      </w:r>
      <w:r>
        <w:rPr>
          <w:spacing w:val="1"/>
        </w:rPr>
        <w:t xml:space="preserve"> </w:t>
      </w:r>
      <w:r>
        <w:rPr>
          <w:spacing w:val="-1"/>
        </w:rPr>
        <w:t>Grade</w:t>
      </w:r>
      <w:r>
        <w:t xml:space="preserve"> 1, 2 </w:t>
      </w:r>
      <w:r>
        <w:rPr>
          <w:spacing w:val="-2"/>
        </w:rPr>
        <w:t>or</w:t>
      </w:r>
      <w:r>
        <w:rPr>
          <w:spacing w:val="67"/>
        </w:rPr>
        <w:t xml:space="preserve"> </w:t>
      </w:r>
      <w:r>
        <w:t xml:space="preserve">3a </w:t>
      </w:r>
      <w:r>
        <w:rPr>
          <w:spacing w:val="-1"/>
        </w:rPr>
        <w:t>FL (CD20+</w:t>
      </w:r>
      <w:r>
        <w:rPr>
          <w:spacing w:val="-2"/>
        </w:rPr>
        <w:t xml:space="preserve"> </w:t>
      </w:r>
      <w:r>
        <w:t>by</w:t>
      </w:r>
      <w:r>
        <w:rPr>
          <w:spacing w:val="-3"/>
        </w:rPr>
        <w:t xml:space="preserve"> </w:t>
      </w:r>
      <w:r>
        <w:t>flow</w:t>
      </w:r>
      <w:r>
        <w:rPr>
          <w:spacing w:val="-1"/>
        </w:rPr>
        <w:t xml:space="preserve"> cytometry</w:t>
      </w:r>
      <w:r>
        <w:rPr>
          <w:spacing w:val="-3"/>
        </w:rPr>
        <w:t xml:space="preserve"> </w:t>
      </w:r>
      <w:r>
        <w:t>or</w:t>
      </w:r>
      <w:r>
        <w:rPr>
          <w:spacing w:val="1"/>
        </w:rPr>
        <w:t xml:space="preserve"> </w:t>
      </w:r>
      <w:r>
        <w:rPr>
          <w:spacing w:val="-1"/>
        </w:rPr>
        <w:t>histochemistry)</w:t>
      </w:r>
      <w:r>
        <w:rPr>
          <w:spacing w:val="1"/>
        </w:rPr>
        <w:t xml:space="preserve"> </w:t>
      </w:r>
      <w:r>
        <w:rPr>
          <w:spacing w:val="-2"/>
        </w:rPr>
        <w:t>as</w:t>
      </w:r>
      <w:r>
        <w:t xml:space="preserve"> </w:t>
      </w:r>
      <w:r>
        <w:rPr>
          <w:spacing w:val="-1"/>
        </w:rPr>
        <w:t>assessed</w:t>
      </w:r>
      <w:r>
        <w:t xml:space="preserve"> by</w:t>
      </w:r>
      <w:r>
        <w:rPr>
          <w:spacing w:val="-2"/>
        </w:rPr>
        <w:t xml:space="preserve"> </w:t>
      </w:r>
      <w:r>
        <w:t>the</w:t>
      </w:r>
      <w:r>
        <w:rPr>
          <w:spacing w:val="-2"/>
        </w:rPr>
        <w:t xml:space="preserve"> </w:t>
      </w:r>
      <w:r>
        <w:rPr>
          <w:spacing w:val="-1"/>
        </w:rPr>
        <w:t>investigator</w:t>
      </w:r>
      <w:r>
        <w:rPr>
          <w:spacing w:val="1"/>
        </w:rPr>
        <w:t xml:space="preserve"> </w:t>
      </w:r>
      <w:r>
        <w:t>or</w:t>
      </w:r>
      <w:r>
        <w:rPr>
          <w:spacing w:val="-2"/>
        </w:rPr>
        <w:t xml:space="preserve"> </w:t>
      </w:r>
      <w:r>
        <w:rPr>
          <w:spacing w:val="-1"/>
        </w:rPr>
        <w:t>local pathologist</w:t>
      </w:r>
      <w:r>
        <w:rPr>
          <w:spacing w:val="1"/>
        </w:rPr>
        <w:t xml:space="preserve"> </w:t>
      </w:r>
      <w:r>
        <w:rPr>
          <w:spacing w:val="-1"/>
        </w:rPr>
        <w:t>were</w:t>
      </w:r>
      <w:r w:rsidR="002C544C">
        <w:rPr>
          <w:noProof/>
        </w:rPr>
        <mc:AlternateContent>
          <mc:Choice Requires="wpg">
            <w:drawing>
              <wp:anchor distT="0" distB="0" distL="114300" distR="114300" simplePos="0" relativeHeight="251660288" behindDoc="1" locked="0" layoutInCell="1" allowOverlap="1" wp14:anchorId="54D866C3" wp14:editId="592704DA">
                <wp:simplePos x="0" y="0"/>
                <wp:positionH relativeFrom="page">
                  <wp:posOffset>996950</wp:posOffset>
                </wp:positionH>
                <wp:positionV relativeFrom="page">
                  <wp:posOffset>7113905</wp:posOffset>
                </wp:positionV>
                <wp:extent cx="662940" cy="1270"/>
                <wp:effectExtent l="0" t="0" r="3810" b="0"/>
                <wp:wrapNone/>
                <wp:docPr id="20"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1270"/>
                          <a:chOff x="1570" y="11203"/>
                          <a:chExt cx="1044" cy="2"/>
                        </a:xfrm>
                      </wpg:grpSpPr>
                      <wps:wsp>
                        <wps:cNvPr id="21" name="Freeform 369"/>
                        <wps:cNvSpPr>
                          <a:spLocks/>
                        </wps:cNvSpPr>
                        <wps:spPr bwMode="auto">
                          <a:xfrm>
                            <a:off x="1570" y="11203"/>
                            <a:ext cx="1044" cy="2"/>
                          </a:xfrm>
                          <a:custGeom>
                            <a:avLst/>
                            <a:gdLst>
                              <a:gd name="T0" fmla="+- 0 1570 1570"/>
                              <a:gd name="T1" fmla="*/ T0 w 1044"/>
                              <a:gd name="T2" fmla="+- 0 2613 1570"/>
                              <a:gd name="T3" fmla="*/ T2 w 1044"/>
                            </a:gdLst>
                            <a:ahLst/>
                            <a:cxnLst>
                              <a:cxn ang="0">
                                <a:pos x="T1" y="0"/>
                              </a:cxn>
                              <a:cxn ang="0">
                                <a:pos x="T3" y="0"/>
                              </a:cxn>
                            </a:cxnLst>
                            <a:rect l="0" t="0" r="r" b="b"/>
                            <a:pathLst>
                              <a:path w="1044">
                                <a:moveTo>
                                  <a:pt x="0" y="0"/>
                                </a:moveTo>
                                <a:lnTo>
                                  <a:pt x="1043"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83D00" id="Group 368" o:spid="_x0000_s1026" style="position:absolute;margin-left:78.5pt;margin-top:560.15pt;width:52.2pt;height:.1pt;z-index:-251656192;mso-position-horizontal-relative:page;mso-position-vertical-relative:page" coordorigin="1570,11203" coordsize="1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ZkXwMAAOkHAAAOAAAAZHJzL2Uyb0RvYy54bWykVW2P2zYM/j6g/0Hwxw05v8SXuxiXK4q8&#10;HAbctgLNfoAiyy+oLXmSEuda7L+PpOxckrZo0eWDQpkU+fAhRT28PbYNO0hja60WQXwTBUwqofNa&#10;lYvg7+1mch8w67jKeaOVXAQv0gZvH9/88tB3mUx0pZtcGgZOlM36bhFUznVZGFpRyZbbG91JBcpC&#10;m5Y72JoyzA3vwXvbhEkUzcJem7wzWkhr4evKK4NH8l8UUri/isJKx5pFANgcrYbWHa7h4wPPSsO7&#10;qhYDDP4TKFpeKwh6crXijrO9qb9w1dbCaKsLdyN0G+qiqIWkHCCbOLrK5snofUe5lFlfdieagNor&#10;nn7arfjz8N6wOl8ECdCjeAs1orBsOrtHdvquzMDoyXQfuvfGpwjisxYfLajDaz3uS2/Mdv0fOgeH&#10;fO80sXMsTIsuIG92pCK8nIogj44J+DibJfMUsAhQxcndUCJRQR3xTHwLnxjq4iSa+vqJaj0cjqM0&#10;9UcTVIU88yEJ5gALc4Jms6982v/H54eKd5LKZJGqkc945HNjpMQOBkrnnlKyG/m052SeaRClBc6/&#10;S+PXKBnZ/BYhPBN7656kpnrww7N1/irkIFGV86EbtkB30TZwK36bsIhhMFo89eXJDNL1Zr+GbBux&#10;nlHowenoKxmNyFcyi6df9TUdzdBXcuYLClqOCHk1ghZHNaAGiXEcPRH1W6ct9swWsI2NBh7ACDP8&#10;hi3Evrb1Z4YQBmbK9TQxAYNpsvOUdNwhMgyBIuuhV7Et8UOrD3KrSeWubgAEedU26twKjl+i8mo4&#10;gQGozU9BEetZZZXe1E1DVWgUQrlLpnOCYnVT56hENNaUu2Vj2IHjnKTfcH8uzGAeqZycVZLn60F2&#10;vG68DMEb4hbab6AAG5EG4ed5NF/fr+/TSZrM1pM0Wq0m7zbLdDLbxHe3q+lquVzF/yK0OM2qOs+l&#10;QnTjUI7TH7ukw/Pgx+lpLF9kcZHshn5fJhtewiCSIZfxn7KDqeKvqB8pO52/wHU12r8y8CqCUGnz&#10;KWA9vDCLwP6z50YGrPldwciZxynOOUeb9PYOB7A51+zONVwJcLUIXAANjuLS+Wds35m6rCBSTGVV&#10;+h1M26LG60z4PKphA1OPJHpPKJfh7cMH63xPVq8v9ON/AAAA//8DAFBLAwQUAAYACAAAACEAQ7he&#10;EOEAAAANAQAADwAAAGRycy9kb3ducmV2LnhtbEyPQUvDQBCF74L/YRnBm91saqrEbEop6qkItkLp&#10;bZpMk9Dsbshuk/TfO+JBb/NmHm++ly0n04qBet84q0HNIhBkC1c2ttLwtXt7eAbhA9oSW2dJw5U8&#10;LPPbmwzT0o32k4ZtqASHWJ+ihjqELpXSFzUZ9DPXkeXbyfUGA8u+kmWPI4ebVsZRtJAGG8sfauxo&#10;XVNx3l6MhvcRx9VcvQ6b82l9PeySj/1Gkdb3d9PqBUSgKfyZ4Qef0SFnpqO72NKLlnXyxF0CDyqO&#10;5iDYEi/UI4jj7yoBmWfyf4v8GwAA//8DAFBLAQItABQABgAIAAAAIQC2gziS/gAAAOEBAAATAAAA&#10;AAAAAAAAAAAAAAAAAABbQ29udGVudF9UeXBlc10ueG1sUEsBAi0AFAAGAAgAAAAhADj9If/WAAAA&#10;lAEAAAsAAAAAAAAAAAAAAAAALwEAAF9yZWxzLy5yZWxzUEsBAi0AFAAGAAgAAAAhAAfplmRfAwAA&#10;6QcAAA4AAAAAAAAAAAAAAAAALgIAAGRycy9lMm9Eb2MueG1sUEsBAi0AFAAGAAgAAAAhAEO4XhDh&#10;AAAADQEAAA8AAAAAAAAAAAAAAAAAuQUAAGRycy9kb3ducmV2LnhtbFBLBQYAAAAABAAEAPMAAADH&#10;BgAAAAA=&#10;">
                <v:shape id="Freeform 369" o:spid="_x0000_s1027" style="position:absolute;left:1570;top:11203;width:1044;height:2;visibility:visible;mso-wrap-style:square;v-text-anchor:top" coordsize="1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XiwQAAANsAAAAPAAAAZHJzL2Rvd25yZXYueG1sRI/NqsIw&#10;FIT3gu8QjuBOU12IVKOIKFwXcv3D9bE5tsXmpCa5Wt/+RhBcDjPzDTOdN6YSD3K+tKxg0E9AEGdW&#10;l5wrOB3XvTEIH5A1VpZJwYs8zGft1hRTbZ+8p8ch5CJC2KeooAihTqX0WUEGfd/WxNG7WmcwROly&#10;qR0+I9xUcpgkI2mw5LhQYE3LgrLb4c8o2K7qy2a30uvf19GVG3n2o/vJK9XtNIsJiEBN+IY/7R+t&#10;YDiA95f4A+TsHwAA//8DAFBLAQItABQABgAIAAAAIQDb4fbL7gAAAIUBAAATAAAAAAAAAAAAAAAA&#10;AAAAAABbQ29udGVudF9UeXBlc10ueG1sUEsBAi0AFAAGAAgAAAAhAFr0LFu/AAAAFQEAAAsAAAAA&#10;AAAAAAAAAAAAHwEAAF9yZWxzLy5yZWxzUEsBAi0AFAAGAAgAAAAhAKDGxeLBAAAA2wAAAA8AAAAA&#10;AAAAAAAAAAAABwIAAGRycy9kb3ducmV2LnhtbFBLBQYAAAAAAwADALcAAAD1AgAAAAA=&#10;" path="m,l1043,e" filled="f" strokeweight=".57pt">
                  <v:path arrowok="t" o:connecttype="custom" o:connectlocs="0,0;1043,0" o:connectangles="0,0"/>
                </v:shape>
                <w10:wrap anchorx="page" anchory="page"/>
              </v:group>
            </w:pict>
          </mc:Fallback>
        </mc:AlternateContent>
      </w:r>
      <w:r w:rsidR="002C544C">
        <w:rPr>
          <w:noProof/>
        </w:rPr>
        <mc:AlternateContent>
          <mc:Choice Requires="wpg">
            <w:drawing>
              <wp:anchor distT="0" distB="0" distL="114300" distR="114300" simplePos="0" relativeHeight="251661312" behindDoc="1" locked="0" layoutInCell="1" allowOverlap="1" wp14:anchorId="0CEB3823" wp14:editId="5EA789FC">
                <wp:simplePos x="0" y="0"/>
                <wp:positionH relativeFrom="page">
                  <wp:posOffset>1809115</wp:posOffset>
                </wp:positionH>
                <wp:positionV relativeFrom="page">
                  <wp:posOffset>7113905</wp:posOffset>
                </wp:positionV>
                <wp:extent cx="512445" cy="1270"/>
                <wp:effectExtent l="0" t="0" r="1905" b="0"/>
                <wp:wrapNone/>
                <wp:docPr id="18"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1270"/>
                          <a:chOff x="2849" y="11203"/>
                          <a:chExt cx="807" cy="2"/>
                        </a:xfrm>
                      </wpg:grpSpPr>
                      <wps:wsp>
                        <wps:cNvPr id="19" name="Freeform 367"/>
                        <wps:cNvSpPr>
                          <a:spLocks/>
                        </wps:cNvSpPr>
                        <wps:spPr bwMode="auto">
                          <a:xfrm>
                            <a:off x="2849" y="11203"/>
                            <a:ext cx="807" cy="2"/>
                          </a:xfrm>
                          <a:custGeom>
                            <a:avLst/>
                            <a:gdLst>
                              <a:gd name="T0" fmla="+- 0 2849 2849"/>
                              <a:gd name="T1" fmla="*/ T0 w 807"/>
                              <a:gd name="T2" fmla="+- 0 3655 2849"/>
                              <a:gd name="T3" fmla="*/ T2 w 807"/>
                            </a:gdLst>
                            <a:ahLst/>
                            <a:cxnLst>
                              <a:cxn ang="0">
                                <a:pos x="T1" y="0"/>
                              </a:cxn>
                              <a:cxn ang="0">
                                <a:pos x="T3" y="0"/>
                              </a:cxn>
                            </a:cxnLst>
                            <a:rect l="0" t="0" r="r" b="b"/>
                            <a:pathLst>
                              <a:path w="807">
                                <a:moveTo>
                                  <a:pt x="0" y="0"/>
                                </a:moveTo>
                                <a:lnTo>
                                  <a:pt x="806"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0306F" id="Group 366" o:spid="_x0000_s1026" style="position:absolute;margin-left:142.45pt;margin-top:560.15pt;width:40.35pt;height:.1pt;z-index:-251655168;mso-position-horizontal-relative:page;mso-position-vertical-relative:page" coordorigin="2849,11203" coordsize="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T8XwMAAOMHAAAOAAAAZHJzL2Uyb0RvYy54bWykVduO2zgMfS+w/yDocYuML3FuxmSKIpdB&#10;gekFaPoBiixfsLbkSkqcabH/vqRkZ5K0xS66eVAkkyIPDyny/s2pqclRaFMpuaTRXUiJkFxllSyW&#10;9MtuO5pTYiyTGauVFEv6LAx98/DHq/uuTUWsSlVnQhMwIk3atUtaWtumQWB4KRpm7lQrJAhzpRtm&#10;4aiLINOsA+tNHcRhOA06pbNWKy6Mga9rL6QPzn6eC24/5rkRltRLCtisW7Vb97gGD/csLTRry4r3&#10;MNhvoGhYJcHp2dSaWUYOuvrBVFNxrYzK7R1XTaDyvOLCxQDRROFNNI9aHVoXS5F2RXumCai94em3&#10;zfIPx0+aVBnkDjIlWQM5cm7JeDpFdrq2SEHpUbef20/ahwjbJ8X/MiAObuV4Lrwy2XfvVQYG2cEq&#10;x84p1w2agLjJySXh+ZwEcbKEw8dJFCfJhBIOoiie9SniJeQR78TzZEEJyqI4HPv88XLTX56HM38z&#10;RknAUu/RoexRYUhQa+aFTvP/6Pxcsla4LBlkaqATUHo6t1oILGBgdOYZdXoDneaSywsJojRA+b+y&#10;+DNGBjJ/wQdL+cHYR6FcNtjxyVj/EDLYuRxnPfgdPJq8qeFNvB6RkKAvt3jii7NaNKj9GZBdSDqC&#10;nnubg6l40HGmxtPJ5KemxoMamopfTEE2iwEfKwfI/CR7zLAjDNtO6GqtVQbrZQfIhiIDC6CE8f1C&#10;F1zf6vo7vQsN/eS2k2hKoJPsfbAts4gMXeCWdEuKROC5UUexU05ib4offLxIa3mpNQ+nV5i8FC6g&#10;eVfhZ5eI9CKrUm2runYpqCUCmcXjhUNiVF1lKEQwRhf7Va3JkWGHdD8MBYxdqUEnkpkzVgqWbfq9&#10;ZVXt96BfO2ah8noCsAZdC/y+CBeb+WaejJJ4uhkl4Xo9ertdJaPpNppN1uP1arWO/kZoUZKWVZYJ&#10;ieiGdhwl/+199oPBN9JzQ76K4irYrfv9GGxwDcNxAbEM/y46aCj+dfpuslfZM7xUrfx8gXkIm1Lp&#10;b5R0MFuW1Hw9MC0oqd9J6DaLKElwGLlDMpnFcNCXkv2lhEkOppbUUihv3K6sH2CHVldFCZ4il1ap&#10;3kKfzSt8yg6fR9UfoOG5nZskLpZ+6uGoujw7rZfZ/PAPAAAA//8DAFBLAwQUAAYACAAAACEAhMQk&#10;EeIAAAANAQAADwAAAGRycy9kb3ducmV2LnhtbEyPTUvDQBCG74L/YRnBm918mFBjNqUU9VSEtoJ4&#10;2ybTJDQ7G7LbJP33jnjQ48z78M4z+Wo2nRhxcK0lBeEiAIFU2qqlWsHH4fVhCcJ5TZXuLKGCKzpY&#10;Fbc3uc4qO9EOx72vBZeQy7SCxvs+k9KVDRrtFrZH4uxkB6M9j0Mtq0FPXG46GQVBKo1uiS80usdN&#10;g+V5fzEK3iY9rePwZdyeT5vr1yF5/9yGqNT93bx+BuFx9n8w/OizOhTsdLQXqpzoFETLxydGOQij&#10;IAbBSJwmKYjj7yoBWeTy/xfFNwAAAP//AwBQSwECLQAUAAYACAAAACEAtoM4kv4AAADhAQAAEwAA&#10;AAAAAAAAAAAAAAAAAAAAW0NvbnRlbnRfVHlwZXNdLnhtbFBLAQItABQABgAIAAAAIQA4/SH/1gAA&#10;AJQBAAALAAAAAAAAAAAAAAAAAC8BAABfcmVscy8ucmVsc1BLAQItABQABgAIAAAAIQDF8hT8XwMA&#10;AOMHAAAOAAAAAAAAAAAAAAAAAC4CAABkcnMvZTJvRG9jLnhtbFBLAQItABQABgAIAAAAIQCExCQR&#10;4gAAAA0BAAAPAAAAAAAAAAAAAAAAALkFAABkcnMvZG93bnJldi54bWxQSwUGAAAAAAQABADzAAAA&#10;yAYAAAAA&#10;">
                <v:shape id="Freeform 367" o:spid="_x0000_s1027" style="position:absolute;left:2849;top:11203;width:807;height:2;visibility:visible;mso-wrap-style:square;v-text-anchor:top" coordsize="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KMwAAAANsAAAAPAAAAZHJzL2Rvd25yZXYueG1sRE9Ni8Iw&#10;EL0L/ocwgjdN3YOs1SiiK8jCLlr1PjRjW9pMapNq999vBMHbPN7nLFadqcSdGldYVjAZRyCIU6sL&#10;zhScT7vRJwjnkTVWlknBHzlYLfu9BcbaPvhI98RnIoSwi1FB7n0dS+nSnAy6sa2JA3e1jUEfYJNJ&#10;3eAjhJtKfkTRVBosODTkWNMmp7RMWqOgTfz2q7wdLgVmTMfq9/zTfpdKDQfdeg7CU+ff4pd7r8P8&#10;GTx/CQfI5T8AAAD//wMAUEsBAi0AFAAGAAgAAAAhANvh9svuAAAAhQEAABMAAAAAAAAAAAAAAAAA&#10;AAAAAFtDb250ZW50X1R5cGVzXS54bWxQSwECLQAUAAYACAAAACEAWvQsW78AAAAVAQAACwAAAAAA&#10;AAAAAAAAAAAfAQAAX3JlbHMvLnJlbHNQSwECLQAUAAYACAAAACEAyssCjMAAAADbAAAADwAAAAAA&#10;AAAAAAAAAAAHAgAAZHJzL2Rvd25yZXYueG1sUEsFBgAAAAADAAMAtwAAAPQCAAAAAA==&#10;" path="m,l806,e" filled="f" strokeweight=".57pt">
                  <v:path arrowok="t" o:connecttype="custom" o:connectlocs="0,0;806,0" o:connectangles="0,0"/>
                </v:shape>
                <w10:wrap anchorx="page" anchory="page"/>
              </v:group>
            </w:pict>
          </mc:Fallback>
        </mc:AlternateContent>
      </w:r>
      <w:r w:rsidR="00B85F0C">
        <w:t xml:space="preserve"> </w:t>
      </w:r>
      <w:r>
        <w:rPr>
          <w:spacing w:val="-1"/>
        </w:rPr>
        <w:t>randomised</w:t>
      </w:r>
      <w:r>
        <w:rPr>
          <w:spacing w:val="-2"/>
        </w:rPr>
        <w:t xml:space="preserve"> </w:t>
      </w:r>
      <w:r>
        <w:t>in a</w:t>
      </w:r>
      <w:r>
        <w:rPr>
          <w:spacing w:val="-2"/>
        </w:rPr>
        <w:t xml:space="preserve"> </w:t>
      </w:r>
      <w:r>
        <w:t>1:1</w:t>
      </w:r>
      <w:r>
        <w:rPr>
          <w:spacing w:val="-2"/>
        </w:rPr>
        <w:t xml:space="preserve"> </w:t>
      </w:r>
      <w:r>
        <w:rPr>
          <w:spacing w:val="-1"/>
        </w:rPr>
        <w:t>ratio.</w:t>
      </w:r>
      <w:r>
        <w:t xml:space="preserve"> </w:t>
      </w:r>
      <w:r>
        <w:rPr>
          <w:spacing w:val="-1"/>
        </w:rPr>
        <w:t>Subjects</w:t>
      </w:r>
      <w:r>
        <w:rPr>
          <w:spacing w:val="-2"/>
        </w:rPr>
        <w:t xml:space="preserve"> </w:t>
      </w:r>
      <w:r>
        <w:t xml:space="preserve">had </w:t>
      </w:r>
      <w:r>
        <w:rPr>
          <w:spacing w:val="-1"/>
        </w:rPr>
        <w:t>been</w:t>
      </w:r>
      <w:r>
        <w:t xml:space="preserve"> </w:t>
      </w:r>
      <w:r>
        <w:rPr>
          <w:spacing w:val="-1"/>
        </w:rPr>
        <w:t>previously</w:t>
      </w:r>
      <w:r>
        <w:rPr>
          <w:spacing w:val="-3"/>
        </w:rPr>
        <w:t xml:space="preserve"> </w:t>
      </w:r>
      <w:r>
        <w:rPr>
          <w:spacing w:val="-1"/>
        </w:rPr>
        <w:t>treated</w:t>
      </w:r>
      <w:r>
        <w:t xml:space="preserve"> </w:t>
      </w:r>
      <w:r>
        <w:rPr>
          <w:spacing w:val="-1"/>
        </w:rPr>
        <w:t>with</w:t>
      </w:r>
      <w:r>
        <w:t xml:space="preserve"> </w:t>
      </w:r>
      <w:r>
        <w:rPr>
          <w:spacing w:val="-1"/>
        </w:rPr>
        <w:t>at</w:t>
      </w:r>
      <w:r>
        <w:rPr>
          <w:spacing w:val="1"/>
        </w:rPr>
        <w:t xml:space="preserve"> </w:t>
      </w:r>
      <w:r>
        <w:rPr>
          <w:spacing w:val="-1"/>
        </w:rPr>
        <w:t>least</w:t>
      </w:r>
      <w:r>
        <w:rPr>
          <w:spacing w:val="1"/>
        </w:rPr>
        <w:t xml:space="preserve"> </w:t>
      </w:r>
      <w:r>
        <w:rPr>
          <w:spacing w:val="-1"/>
        </w:rPr>
        <w:t>one</w:t>
      </w:r>
      <w:r>
        <w:t xml:space="preserve"> </w:t>
      </w:r>
      <w:r>
        <w:rPr>
          <w:spacing w:val="-1"/>
        </w:rPr>
        <w:t>prior</w:t>
      </w:r>
      <w:r>
        <w:rPr>
          <w:spacing w:val="1"/>
        </w:rPr>
        <w:t xml:space="preserve"> </w:t>
      </w:r>
      <w:r>
        <w:rPr>
          <w:spacing w:val="-1"/>
        </w:rPr>
        <w:t>systemic</w:t>
      </w:r>
      <w:r w:rsidR="00B85F0C">
        <w:rPr>
          <w:spacing w:val="59"/>
        </w:rPr>
        <w:t xml:space="preserve"> </w:t>
      </w:r>
      <w:r>
        <w:rPr>
          <w:spacing w:val="-1"/>
        </w:rPr>
        <w:t>chemotherapy,</w:t>
      </w:r>
      <w:r>
        <w:t xml:space="preserve"> </w:t>
      </w:r>
      <w:r>
        <w:rPr>
          <w:spacing w:val="-1"/>
        </w:rPr>
        <w:t>immunotherapy</w:t>
      </w:r>
      <w:r>
        <w:rPr>
          <w:spacing w:val="-3"/>
        </w:rPr>
        <w:t xml:space="preserve"> </w:t>
      </w:r>
      <w:r>
        <w:t>or</w:t>
      </w:r>
      <w:r>
        <w:rPr>
          <w:spacing w:val="1"/>
        </w:rPr>
        <w:t xml:space="preserve"> </w:t>
      </w:r>
      <w:r>
        <w:rPr>
          <w:spacing w:val="-1"/>
        </w:rPr>
        <w:t>chemoimmunotherapy.</w:t>
      </w:r>
    </w:p>
    <w:p w:rsidR="00F72327" w:rsidRDefault="00F72327" w:rsidP="00514498">
      <w:pPr>
        <w:spacing w:before="2"/>
        <w:rPr>
          <w:rFonts w:eastAsia="Times New Roman"/>
        </w:rPr>
      </w:pPr>
    </w:p>
    <w:p w:rsidR="00F72327" w:rsidRDefault="00F72327" w:rsidP="00514498">
      <w:pPr>
        <w:pStyle w:val="BodyText"/>
        <w:spacing w:line="238" w:lineRule="auto"/>
        <w:ind w:right="335"/>
      </w:pPr>
      <w:r>
        <w:rPr>
          <w:spacing w:val="-1"/>
        </w:rPr>
        <w:t>Lenalidomide</w:t>
      </w:r>
      <w:r>
        <w:rPr>
          <w:spacing w:val="1"/>
        </w:rPr>
        <w:t xml:space="preserve"> </w:t>
      </w:r>
      <w:r>
        <w:rPr>
          <w:spacing w:val="-1"/>
        </w:rPr>
        <w:t>was</w:t>
      </w:r>
      <w:r>
        <w:rPr>
          <w:spacing w:val="-2"/>
        </w:rPr>
        <w:t xml:space="preserve"> </w:t>
      </w:r>
      <w:r>
        <w:rPr>
          <w:spacing w:val="-1"/>
        </w:rPr>
        <w:t>administered</w:t>
      </w:r>
      <w:r>
        <w:rPr>
          <w:spacing w:val="-2"/>
        </w:rPr>
        <w:t xml:space="preserve"> </w:t>
      </w:r>
      <w:r>
        <w:t>orally</w:t>
      </w:r>
      <w:r>
        <w:rPr>
          <w:spacing w:val="-3"/>
        </w:rPr>
        <w:t xml:space="preserve"> </w:t>
      </w:r>
      <w:r>
        <w:t xml:space="preserve">20 </w:t>
      </w:r>
      <w:r>
        <w:rPr>
          <w:spacing w:val="-2"/>
        </w:rPr>
        <w:t>mg</w:t>
      </w:r>
      <w:r>
        <w:rPr>
          <w:spacing w:val="-3"/>
        </w:rPr>
        <w:t xml:space="preserve"> </w:t>
      </w:r>
      <w:r>
        <w:t xml:space="preserve">once </w:t>
      </w:r>
      <w:r>
        <w:rPr>
          <w:spacing w:val="-1"/>
        </w:rPr>
        <w:t>daily</w:t>
      </w:r>
      <w:r>
        <w:rPr>
          <w:spacing w:val="-2"/>
        </w:rPr>
        <w:t xml:space="preserve"> </w:t>
      </w:r>
      <w:r>
        <w:t>for</w:t>
      </w:r>
      <w:r>
        <w:rPr>
          <w:spacing w:val="1"/>
        </w:rPr>
        <w:t xml:space="preserve"> </w:t>
      </w:r>
      <w:r>
        <w:t>the</w:t>
      </w:r>
      <w:r>
        <w:rPr>
          <w:spacing w:val="-2"/>
        </w:rPr>
        <w:t xml:space="preserve"> </w:t>
      </w:r>
      <w:r>
        <w:rPr>
          <w:spacing w:val="-1"/>
        </w:rPr>
        <w:t>first</w:t>
      </w:r>
      <w:r>
        <w:rPr>
          <w:spacing w:val="1"/>
        </w:rPr>
        <w:t xml:space="preserve"> </w:t>
      </w:r>
      <w:r>
        <w:t xml:space="preserve">21 </w:t>
      </w:r>
      <w:r>
        <w:rPr>
          <w:spacing w:val="-2"/>
        </w:rPr>
        <w:t>days</w:t>
      </w:r>
      <w:r>
        <w:t xml:space="preserve"> of</w:t>
      </w:r>
      <w:r>
        <w:rPr>
          <w:spacing w:val="-2"/>
        </w:rPr>
        <w:t xml:space="preserve"> </w:t>
      </w:r>
      <w:r>
        <w:rPr>
          <w:spacing w:val="-1"/>
        </w:rPr>
        <w:t>repeating</w:t>
      </w:r>
      <w:r>
        <w:rPr>
          <w:spacing w:val="-3"/>
        </w:rPr>
        <w:t xml:space="preserve"> </w:t>
      </w:r>
      <w:r>
        <w:rPr>
          <w:spacing w:val="-1"/>
        </w:rPr>
        <w:t>28-day</w:t>
      </w:r>
      <w:r>
        <w:rPr>
          <w:spacing w:val="-3"/>
        </w:rPr>
        <w:t xml:space="preserve"> </w:t>
      </w:r>
      <w:r>
        <w:rPr>
          <w:spacing w:val="-1"/>
        </w:rPr>
        <w:t>cycles</w:t>
      </w:r>
      <w:r>
        <w:t xml:space="preserve"> </w:t>
      </w:r>
      <w:r>
        <w:rPr>
          <w:spacing w:val="-1"/>
        </w:rPr>
        <w:t>for</w:t>
      </w:r>
      <w:r>
        <w:rPr>
          <w:spacing w:val="77"/>
        </w:rPr>
        <w:t xml:space="preserve"> </w:t>
      </w:r>
      <w:r>
        <w:t>12</w:t>
      </w:r>
      <w:r>
        <w:rPr>
          <w:spacing w:val="-1"/>
        </w:rPr>
        <w:t xml:space="preserve"> cycles</w:t>
      </w:r>
      <w:r>
        <w:rPr>
          <w:spacing w:val="-2"/>
        </w:rPr>
        <w:t xml:space="preserve"> </w:t>
      </w:r>
      <w:r>
        <w:t>or</w:t>
      </w:r>
      <w:r>
        <w:rPr>
          <w:spacing w:val="1"/>
        </w:rPr>
        <w:t xml:space="preserve"> </w:t>
      </w:r>
      <w:r>
        <w:rPr>
          <w:spacing w:val="-1"/>
        </w:rPr>
        <w:t>until</w:t>
      </w:r>
      <w:r>
        <w:rPr>
          <w:spacing w:val="1"/>
        </w:rPr>
        <w:t xml:space="preserve"> </w:t>
      </w:r>
      <w:r>
        <w:rPr>
          <w:spacing w:val="-1"/>
        </w:rPr>
        <w:t>unacceptable</w:t>
      </w:r>
      <w:r>
        <w:rPr>
          <w:spacing w:val="-2"/>
        </w:rPr>
        <w:t xml:space="preserve"> </w:t>
      </w:r>
      <w:r>
        <w:rPr>
          <w:spacing w:val="-1"/>
        </w:rPr>
        <w:t>toxicity.</w:t>
      </w:r>
      <w:r>
        <w:t xml:space="preserve"> </w:t>
      </w:r>
      <w:r>
        <w:rPr>
          <w:spacing w:val="-1"/>
        </w:rPr>
        <w:t>The</w:t>
      </w:r>
      <w:r>
        <w:t xml:space="preserve"> </w:t>
      </w:r>
      <w:r>
        <w:rPr>
          <w:spacing w:val="-1"/>
        </w:rPr>
        <w:t>dose</w:t>
      </w:r>
      <w:r>
        <w:t xml:space="preserve"> of</w:t>
      </w:r>
      <w:r>
        <w:rPr>
          <w:spacing w:val="-2"/>
        </w:rPr>
        <w:t xml:space="preserve"> </w:t>
      </w:r>
      <w:r>
        <w:rPr>
          <w:spacing w:val="-1"/>
        </w:rPr>
        <w:t>rituximab</w:t>
      </w:r>
      <w:r>
        <w:t xml:space="preserve"> </w:t>
      </w:r>
      <w:r>
        <w:rPr>
          <w:spacing w:val="-1"/>
        </w:rPr>
        <w:t>was</w:t>
      </w:r>
      <w:r>
        <w:rPr>
          <w:spacing w:val="1"/>
        </w:rPr>
        <w:t xml:space="preserve"> </w:t>
      </w:r>
      <w:r>
        <w:t xml:space="preserve">375 </w:t>
      </w:r>
      <w:r>
        <w:rPr>
          <w:spacing w:val="-2"/>
        </w:rPr>
        <w:t>mg/m</w:t>
      </w:r>
      <w:r>
        <w:rPr>
          <w:spacing w:val="-2"/>
          <w:position w:val="8"/>
          <w:sz w:val="14"/>
          <w:szCs w:val="14"/>
        </w:rPr>
        <w:t>2</w:t>
      </w:r>
      <w:r>
        <w:rPr>
          <w:spacing w:val="20"/>
          <w:position w:val="8"/>
          <w:sz w:val="14"/>
          <w:szCs w:val="14"/>
        </w:rPr>
        <w:t xml:space="preserve"> </w:t>
      </w:r>
      <w:r>
        <w:rPr>
          <w:spacing w:val="-1"/>
        </w:rPr>
        <w:t>every</w:t>
      </w:r>
      <w:r>
        <w:rPr>
          <w:spacing w:val="-2"/>
        </w:rPr>
        <w:t xml:space="preserve"> </w:t>
      </w:r>
      <w:r>
        <w:t>week</w:t>
      </w:r>
      <w:r>
        <w:rPr>
          <w:spacing w:val="-3"/>
        </w:rPr>
        <w:t xml:space="preserve"> </w:t>
      </w:r>
      <w:r>
        <w:t xml:space="preserve">in </w:t>
      </w:r>
      <w:r>
        <w:rPr>
          <w:spacing w:val="-1"/>
        </w:rPr>
        <w:t>Cycle</w:t>
      </w:r>
      <w:r>
        <w:t xml:space="preserve"> 1 </w:t>
      </w:r>
      <w:r>
        <w:rPr>
          <w:spacing w:val="-1"/>
        </w:rPr>
        <w:t>(days</w:t>
      </w:r>
      <w:r>
        <w:rPr>
          <w:spacing w:val="51"/>
        </w:rPr>
        <w:t xml:space="preserve"> </w:t>
      </w:r>
      <w:r>
        <w:t xml:space="preserve">1, 8, 15, </w:t>
      </w:r>
      <w:r>
        <w:rPr>
          <w:spacing w:val="-1"/>
        </w:rPr>
        <w:t>and</w:t>
      </w:r>
      <w:r>
        <w:t xml:space="preserve"> </w:t>
      </w:r>
      <w:r>
        <w:rPr>
          <w:spacing w:val="-1"/>
        </w:rPr>
        <w:t>22)</w:t>
      </w:r>
      <w:r>
        <w:rPr>
          <w:spacing w:val="1"/>
        </w:rPr>
        <w:t xml:space="preserve"> </w:t>
      </w:r>
      <w:r>
        <w:t>and</w:t>
      </w:r>
      <w:r>
        <w:rPr>
          <w:spacing w:val="-2"/>
        </w:rPr>
        <w:t xml:space="preserve"> </w:t>
      </w:r>
      <w:r>
        <w:t>on day</w:t>
      </w:r>
      <w:r>
        <w:rPr>
          <w:spacing w:val="-5"/>
        </w:rPr>
        <w:t xml:space="preserve"> </w:t>
      </w:r>
      <w:r>
        <w:t>1 of</w:t>
      </w:r>
      <w:r>
        <w:rPr>
          <w:spacing w:val="1"/>
        </w:rPr>
        <w:t xml:space="preserve"> </w:t>
      </w:r>
      <w:r>
        <w:rPr>
          <w:spacing w:val="-1"/>
        </w:rPr>
        <w:t>every</w:t>
      </w:r>
      <w:r>
        <w:rPr>
          <w:spacing w:val="-3"/>
        </w:rPr>
        <w:t xml:space="preserve"> </w:t>
      </w:r>
      <w:r>
        <w:rPr>
          <w:spacing w:val="-1"/>
        </w:rPr>
        <w:t>28-day</w:t>
      </w:r>
      <w:r>
        <w:rPr>
          <w:spacing w:val="-3"/>
        </w:rPr>
        <w:t xml:space="preserve"> </w:t>
      </w:r>
      <w:r>
        <w:rPr>
          <w:spacing w:val="-1"/>
        </w:rPr>
        <w:t>cycle</w:t>
      </w:r>
      <w:r>
        <w:t xml:space="preserve"> </w:t>
      </w:r>
      <w:r>
        <w:rPr>
          <w:spacing w:val="-1"/>
        </w:rPr>
        <w:t>from</w:t>
      </w:r>
      <w:r>
        <w:rPr>
          <w:spacing w:val="-4"/>
        </w:rPr>
        <w:t xml:space="preserve"> </w:t>
      </w:r>
      <w:r>
        <w:t>cycles</w:t>
      </w:r>
      <w:r>
        <w:rPr>
          <w:spacing w:val="1"/>
        </w:rPr>
        <w:t xml:space="preserve"> </w:t>
      </w:r>
      <w:r>
        <w:t>2</w:t>
      </w:r>
      <w:r>
        <w:rPr>
          <w:spacing w:val="-2"/>
        </w:rPr>
        <w:t xml:space="preserve"> </w:t>
      </w:r>
      <w:r>
        <w:rPr>
          <w:spacing w:val="-1"/>
        </w:rPr>
        <w:t>through</w:t>
      </w:r>
      <w:r>
        <w:t xml:space="preserve"> 5. </w:t>
      </w:r>
      <w:r>
        <w:rPr>
          <w:spacing w:val="-1"/>
        </w:rPr>
        <w:t>All</w:t>
      </w:r>
      <w:r>
        <w:rPr>
          <w:spacing w:val="1"/>
        </w:rPr>
        <w:t xml:space="preserve"> </w:t>
      </w:r>
      <w:r>
        <w:rPr>
          <w:spacing w:val="-1"/>
        </w:rPr>
        <w:t>dosage</w:t>
      </w:r>
      <w:r>
        <w:t xml:space="preserve"> </w:t>
      </w:r>
      <w:r>
        <w:rPr>
          <w:spacing w:val="-1"/>
        </w:rPr>
        <w:t>calculations</w:t>
      </w:r>
      <w:r>
        <w:t xml:space="preserve"> </w:t>
      </w:r>
      <w:r>
        <w:rPr>
          <w:spacing w:val="-1"/>
        </w:rPr>
        <w:t>for</w:t>
      </w:r>
      <w:r>
        <w:rPr>
          <w:spacing w:val="39"/>
        </w:rPr>
        <w:t xml:space="preserve"> </w:t>
      </w:r>
      <w:r>
        <w:rPr>
          <w:spacing w:val="-1"/>
        </w:rPr>
        <w:t>rituximab</w:t>
      </w:r>
      <w:r>
        <w:t xml:space="preserve"> </w:t>
      </w:r>
      <w:r>
        <w:rPr>
          <w:spacing w:val="-1"/>
        </w:rPr>
        <w:t>were</w:t>
      </w:r>
      <w:r>
        <w:t xml:space="preserve"> </w:t>
      </w:r>
      <w:r>
        <w:rPr>
          <w:spacing w:val="-1"/>
        </w:rPr>
        <w:t>based</w:t>
      </w:r>
      <w:r>
        <w:t xml:space="preserve"> on</w:t>
      </w:r>
      <w:r>
        <w:rPr>
          <w:spacing w:val="-2"/>
        </w:rPr>
        <w:t xml:space="preserve"> </w:t>
      </w:r>
      <w:r>
        <w:rPr>
          <w:spacing w:val="-1"/>
        </w:rPr>
        <w:t>the</w:t>
      </w:r>
      <w:r>
        <w:t xml:space="preserve"> </w:t>
      </w:r>
      <w:r>
        <w:rPr>
          <w:spacing w:val="-1"/>
        </w:rPr>
        <w:t>patient’s</w:t>
      </w:r>
      <w:r>
        <w:t xml:space="preserve"> body</w:t>
      </w:r>
      <w:r>
        <w:rPr>
          <w:spacing w:val="-3"/>
        </w:rPr>
        <w:t xml:space="preserve"> </w:t>
      </w:r>
      <w:r>
        <w:rPr>
          <w:spacing w:val="-1"/>
        </w:rPr>
        <w:t>surface</w:t>
      </w:r>
      <w:r>
        <w:t xml:space="preserve"> </w:t>
      </w:r>
      <w:r>
        <w:rPr>
          <w:spacing w:val="-1"/>
        </w:rPr>
        <w:t>area</w:t>
      </w:r>
      <w:r>
        <w:t xml:space="preserve"> </w:t>
      </w:r>
      <w:r>
        <w:rPr>
          <w:spacing w:val="-1"/>
        </w:rPr>
        <w:t>(BSA),</w:t>
      </w:r>
      <w:r>
        <w:t xml:space="preserve"> </w:t>
      </w:r>
      <w:r>
        <w:rPr>
          <w:spacing w:val="-1"/>
        </w:rPr>
        <w:t>using</w:t>
      </w:r>
      <w:r>
        <w:rPr>
          <w:spacing w:val="-3"/>
        </w:rPr>
        <w:t xml:space="preserve"> </w:t>
      </w:r>
      <w:r>
        <w:rPr>
          <w:spacing w:val="-1"/>
        </w:rPr>
        <w:t>actual</w:t>
      </w:r>
      <w:r>
        <w:rPr>
          <w:spacing w:val="1"/>
        </w:rPr>
        <w:t xml:space="preserve"> </w:t>
      </w:r>
      <w:r>
        <w:rPr>
          <w:spacing w:val="-1"/>
        </w:rPr>
        <w:t>patient</w:t>
      </w:r>
      <w:r>
        <w:rPr>
          <w:spacing w:val="1"/>
        </w:rPr>
        <w:t xml:space="preserve"> </w:t>
      </w:r>
      <w:r>
        <w:rPr>
          <w:spacing w:val="-1"/>
        </w:rPr>
        <w:t>weight.</w:t>
      </w:r>
    </w:p>
    <w:p w:rsidR="00F72327" w:rsidRDefault="00F72327" w:rsidP="00514498">
      <w:pPr>
        <w:spacing w:before="1"/>
        <w:rPr>
          <w:rFonts w:eastAsia="Times New Roman"/>
        </w:rPr>
      </w:pPr>
    </w:p>
    <w:p w:rsidR="00F72327" w:rsidRDefault="00F72327" w:rsidP="00514498">
      <w:pPr>
        <w:pStyle w:val="BodyText"/>
      </w:pPr>
      <w:r>
        <w:t>The</w:t>
      </w:r>
      <w:r>
        <w:rPr>
          <w:spacing w:val="-2"/>
        </w:rPr>
        <w:t xml:space="preserve"> </w:t>
      </w:r>
      <w:r>
        <w:rPr>
          <w:spacing w:val="-1"/>
        </w:rPr>
        <w:t>demographic</w:t>
      </w:r>
      <w:r>
        <w:t xml:space="preserve"> </w:t>
      </w:r>
      <w:r>
        <w:rPr>
          <w:spacing w:val="-1"/>
        </w:rPr>
        <w:t>and</w:t>
      </w:r>
      <w:r>
        <w:t xml:space="preserve"> </w:t>
      </w:r>
      <w:r>
        <w:rPr>
          <w:spacing w:val="-1"/>
        </w:rPr>
        <w:t>disease-related</w:t>
      </w:r>
      <w:r>
        <w:t xml:space="preserve"> </w:t>
      </w:r>
      <w:r>
        <w:rPr>
          <w:spacing w:val="-1"/>
        </w:rPr>
        <w:t>baseline</w:t>
      </w:r>
      <w:r>
        <w:rPr>
          <w:spacing w:val="-2"/>
        </w:rPr>
        <w:t xml:space="preserve"> </w:t>
      </w:r>
      <w:r>
        <w:rPr>
          <w:spacing w:val="-1"/>
        </w:rPr>
        <w:t>characteristics</w:t>
      </w:r>
      <w:r>
        <w:t xml:space="preserve"> </w:t>
      </w:r>
      <w:r>
        <w:rPr>
          <w:spacing w:val="-1"/>
        </w:rPr>
        <w:t>were</w:t>
      </w:r>
      <w:r>
        <w:t xml:space="preserve"> </w:t>
      </w:r>
      <w:r>
        <w:rPr>
          <w:spacing w:val="-1"/>
        </w:rPr>
        <w:t>similar</w:t>
      </w:r>
      <w:r>
        <w:rPr>
          <w:spacing w:val="-2"/>
        </w:rPr>
        <w:t xml:space="preserve"> </w:t>
      </w:r>
      <w:r>
        <w:rPr>
          <w:spacing w:val="-1"/>
        </w:rPr>
        <w:t>across</w:t>
      </w:r>
      <w:r>
        <w:rPr>
          <w:spacing w:val="-2"/>
        </w:rPr>
        <w:t xml:space="preserve"> </w:t>
      </w:r>
      <w:r>
        <w:rPr>
          <w:spacing w:val="-1"/>
        </w:rPr>
        <w:t>the</w:t>
      </w:r>
      <w:r>
        <w:t xml:space="preserve"> 2 </w:t>
      </w:r>
      <w:r>
        <w:rPr>
          <w:spacing w:val="-1"/>
        </w:rPr>
        <w:t>treatment</w:t>
      </w:r>
      <w:r>
        <w:rPr>
          <w:spacing w:val="1"/>
        </w:rPr>
        <w:t xml:space="preserve"> </w:t>
      </w:r>
      <w:r>
        <w:rPr>
          <w:spacing w:val="-1"/>
        </w:rPr>
        <w:t>groups.</w:t>
      </w:r>
    </w:p>
    <w:p w:rsidR="00F72327" w:rsidRDefault="00F72327" w:rsidP="00514498">
      <w:pPr>
        <w:rPr>
          <w:rFonts w:eastAsia="Times New Roman"/>
        </w:rPr>
      </w:pPr>
    </w:p>
    <w:p w:rsidR="00F72327" w:rsidRDefault="00F72327" w:rsidP="00514498">
      <w:pPr>
        <w:pStyle w:val="BodyText"/>
        <w:ind w:right="380"/>
      </w:pPr>
      <w:r>
        <w:t>The</w:t>
      </w:r>
      <w:r>
        <w:rPr>
          <w:spacing w:val="-2"/>
        </w:rPr>
        <w:t xml:space="preserve"> </w:t>
      </w:r>
      <w:r>
        <w:rPr>
          <w:spacing w:val="-1"/>
        </w:rPr>
        <w:t>primary</w:t>
      </w:r>
      <w:r>
        <w:rPr>
          <w:spacing w:val="-3"/>
        </w:rPr>
        <w:t xml:space="preserve"> </w:t>
      </w:r>
      <w:r>
        <w:rPr>
          <w:spacing w:val="-1"/>
        </w:rPr>
        <w:t>objective</w:t>
      </w:r>
      <w:r>
        <w:t xml:space="preserve"> of</w:t>
      </w:r>
      <w:r>
        <w:rPr>
          <w:spacing w:val="-2"/>
        </w:rPr>
        <w:t xml:space="preserve"> </w:t>
      </w:r>
      <w:r>
        <w:rPr>
          <w:spacing w:val="-1"/>
        </w:rPr>
        <w:t>the</w:t>
      </w:r>
      <w:r>
        <w:t xml:space="preserve"> </w:t>
      </w:r>
      <w:r>
        <w:rPr>
          <w:spacing w:val="-1"/>
        </w:rPr>
        <w:t>study</w:t>
      </w:r>
      <w:r>
        <w:rPr>
          <w:spacing w:val="-3"/>
        </w:rPr>
        <w:t xml:space="preserve"> </w:t>
      </w:r>
      <w:r>
        <w:rPr>
          <w:spacing w:val="-1"/>
        </w:rPr>
        <w:t>was</w:t>
      </w:r>
      <w:r>
        <w:t xml:space="preserve"> to </w:t>
      </w:r>
      <w:r>
        <w:rPr>
          <w:spacing w:val="-1"/>
        </w:rPr>
        <w:t>compare</w:t>
      </w:r>
      <w:r>
        <w:t xml:space="preserve"> </w:t>
      </w:r>
      <w:r>
        <w:rPr>
          <w:spacing w:val="-1"/>
        </w:rPr>
        <w:t>the</w:t>
      </w:r>
      <w:r>
        <w:rPr>
          <w:spacing w:val="-2"/>
        </w:rPr>
        <w:t xml:space="preserve"> </w:t>
      </w:r>
      <w:r>
        <w:rPr>
          <w:spacing w:val="-1"/>
        </w:rPr>
        <w:t>efficacy</w:t>
      </w:r>
      <w:r>
        <w:rPr>
          <w:spacing w:val="-2"/>
        </w:rPr>
        <w:t xml:space="preserve"> </w:t>
      </w:r>
      <w:r>
        <w:t>of</w:t>
      </w:r>
      <w:r>
        <w:rPr>
          <w:spacing w:val="1"/>
        </w:rPr>
        <w:t xml:space="preserve"> </w:t>
      </w:r>
      <w:r>
        <w:rPr>
          <w:spacing w:val="-1"/>
        </w:rPr>
        <w:t>lenalidomide</w:t>
      </w:r>
      <w:r>
        <w:rPr>
          <w:spacing w:val="-2"/>
        </w:rPr>
        <w:t xml:space="preserve"> </w:t>
      </w:r>
      <w:r>
        <w:t>in</w:t>
      </w:r>
      <w:r>
        <w:rPr>
          <w:spacing w:val="-2"/>
        </w:rPr>
        <w:t xml:space="preserve"> </w:t>
      </w:r>
      <w:r>
        <w:rPr>
          <w:spacing w:val="-1"/>
        </w:rPr>
        <w:t>combination</w:t>
      </w:r>
      <w:r>
        <w:t xml:space="preserve"> </w:t>
      </w:r>
      <w:r>
        <w:rPr>
          <w:spacing w:val="-1"/>
        </w:rPr>
        <w:t>with</w:t>
      </w:r>
      <w:r>
        <w:rPr>
          <w:spacing w:val="77"/>
        </w:rPr>
        <w:t xml:space="preserve"> </w:t>
      </w:r>
      <w:r>
        <w:rPr>
          <w:spacing w:val="-1"/>
        </w:rPr>
        <w:t>rituximab</w:t>
      </w:r>
      <w:r>
        <w:t xml:space="preserve"> to</w:t>
      </w:r>
      <w:r>
        <w:rPr>
          <w:spacing w:val="-2"/>
        </w:rPr>
        <w:t xml:space="preserve"> </w:t>
      </w:r>
      <w:r>
        <w:rPr>
          <w:spacing w:val="-1"/>
        </w:rPr>
        <w:t>rituximab</w:t>
      </w:r>
      <w:r>
        <w:t xml:space="preserve"> plus</w:t>
      </w:r>
      <w:r>
        <w:rPr>
          <w:spacing w:val="-2"/>
        </w:rPr>
        <w:t xml:space="preserve"> </w:t>
      </w:r>
      <w:r>
        <w:rPr>
          <w:spacing w:val="-1"/>
        </w:rPr>
        <w:t>placebo</w:t>
      </w:r>
      <w:r>
        <w:rPr>
          <w:spacing w:val="-2"/>
        </w:rPr>
        <w:t xml:space="preserve"> </w:t>
      </w:r>
      <w:r>
        <w:t xml:space="preserve">in </w:t>
      </w:r>
      <w:r>
        <w:rPr>
          <w:spacing w:val="-1"/>
        </w:rPr>
        <w:t>subjects</w:t>
      </w:r>
      <w:r>
        <w:t xml:space="preserve"> </w:t>
      </w:r>
      <w:r>
        <w:rPr>
          <w:spacing w:val="-1"/>
        </w:rPr>
        <w:t>with</w:t>
      </w:r>
      <w:r>
        <w:t xml:space="preserve"> </w:t>
      </w:r>
      <w:r>
        <w:rPr>
          <w:spacing w:val="-1"/>
        </w:rPr>
        <w:t>relapsed/refractory</w:t>
      </w:r>
      <w:r>
        <w:rPr>
          <w:spacing w:val="-3"/>
        </w:rPr>
        <w:t xml:space="preserve"> </w:t>
      </w:r>
      <w:r>
        <w:rPr>
          <w:spacing w:val="-1"/>
        </w:rPr>
        <w:t>FL Grade</w:t>
      </w:r>
      <w:r>
        <w:rPr>
          <w:spacing w:val="-2"/>
        </w:rPr>
        <w:t xml:space="preserve"> </w:t>
      </w:r>
      <w:r>
        <w:t>1, 2 or</w:t>
      </w:r>
      <w:r>
        <w:rPr>
          <w:spacing w:val="1"/>
        </w:rPr>
        <w:t xml:space="preserve"> </w:t>
      </w:r>
      <w:r>
        <w:rPr>
          <w:spacing w:val="-2"/>
        </w:rPr>
        <w:t>3a</w:t>
      </w:r>
      <w:r>
        <w:t xml:space="preserve"> or</w:t>
      </w:r>
      <w:r>
        <w:rPr>
          <w:spacing w:val="-2"/>
        </w:rPr>
        <w:t xml:space="preserve"> </w:t>
      </w:r>
      <w:r>
        <w:rPr>
          <w:spacing w:val="-1"/>
        </w:rPr>
        <w:t>MZL.</w:t>
      </w:r>
      <w:r>
        <w:rPr>
          <w:spacing w:val="71"/>
        </w:rPr>
        <w:t xml:space="preserve"> </w:t>
      </w:r>
      <w:r>
        <w:rPr>
          <w:spacing w:val="-1"/>
        </w:rPr>
        <w:t>Efficacy</w:t>
      </w:r>
      <w:r>
        <w:rPr>
          <w:spacing w:val="-2"/>
        </w:rPr>
        <w:t xml:space="preserve"> </w:t>
      </w:r>
      <w:r>
        <w:rPr>
          <w:spacing w:val="-1"/>
        </w:rPr>
        <w:t>determination</w:t>
      </w:r>
      <w:r>
        <w:t xml:space="preserve"> </w:t>
      </w:r>
      <w:r>
        <w:rPr>
          <w:spacing w:val="-1"/>
        </w:rPr>
        <w:t>was</w:t>
      </w:r>
      <w:r>
        <w:rPr>
          <w:spacing w:val="-2"/>
        </w:rPr>
        <w:t xml:space="preserve"> </w:t>
      </w:r>
      <w:r>
        <w:t>based</w:t>
      </w:r>
      <w:r>
        <w:rPr>
          <w:spacing w:val="-3"/>
        </w:rPr>
        <w:t xml:space="preserve"> </w:t>
      </w:r>
      <w:r>
        <w:t xml:space="preserve">upon </w:t>
      </w:r>
      <w:r>
        <w:rPr>
          <w:spacing w:val="-1"/>
        </w:rPr>
        <w:t>PFS</w:t>
      </w:r>
      <w:r>
        <w:rPr>
          <w:spacing w:val="-3"/>
        </w:rPr>
        <w:t xml:space="preserve"> </w:t>
      </w:r>
      <w:r>
        <w:t>as</w:t>
      </w:r>
      <w:r>
        <w:rPr>
          <w:spacing w:val="-2"/>
        </w:rPr>
        <w:t xml:space="preserve"> </w:t>
      </w:r>
      <w:r>
        <w:t xml:space="preserve">the </w:t>
      </w:r>
      <w:r>
        <w:rPr>
          <w:spacing w:val="-2"/>
        </w:rPr>
        <w:t>primary</w:t>
      </w:r>
      <w:r>
        <w:rPr>
          <w:spacing w:val="-3"/>
        </w:rPr>
        <w:t xml:space="preserve"> </w:t>
      </w:r>
      <w:r>
        <w:t xml:space="preserve">endpoint, </w:t>
      </w:r>
      <w:r>
        <w:rPr>
          <w:spacing w:val="-1"/>
        </w:rPr>
        <w:t>as</w:t>
      </w:r>
      <w:r>
        <w:t xml:space="preserve"> </w:t>
      </w:r>
      <w:r>
        <w:rPr>
          <w:spacing w:val="-1"/>
        </w:rPr>
        <w:t>assessed</w:t>
      </w:r>
      <w:r>
        <w:rPr>
          <w:spacing w:val="-2"/>
        </w:rPr>
        <w:t xml:space="preserve"> </w:t>
      </w:r>
      <w:r>
        <w:t>by</w:t>
      </w:r>
      <w:r>
        <w:rPr>
          <w:spacing w:val="-3"/>
        </w:rPr>
        <w:t xml:space="preserve"> </w:t>
      </w:r>
      <w:r>
        <w:t xml:space="preserve">the </w:t>
      </w:r>
      <w:r>
        <w:rPr>
          <w:spacing w:val="-2"/>
        </w:rPr>
        <w:t>IRC</w:t>
      </w:r>
      <w:r>
        <w:rPr>
          <w:spacing w:val="-1"/>
        </w:rPr>
        <w:t xml:space="preserve"> </w:t>
      </w:r>
      <w:r>
        <w:t>using</w:t>
      </w:r>
      <w:r>
        <w:rPr>
          <w:spacing w:val="-2"/>
        </w:rPr>
        <w:t xml:space="preserve"> </w:t>
      </w:r>
      <w:r>
        <w:t>the 2007</w:t>
      </w:r>
      <w:r>
        <w:rPr>
          <w:spacing w:val="59"/>
        </w:rPr>
        <w:t xml:space="preserve"> </w:t>
      </w:r>
      <w:r>
        <w:rPr>
          <w:spacing w:val="-1"/>
        </w:rPr>
        <w:t>International</w:t>
      </w:r>
      <w:r>
        <w:rPr>
          <w:spacing w:val="1"/>
        </w:rPr>
        <w:t xml:space="preserve"> </w:t>
      </w:r>
      <w:r>
        <w:rPr>
          <w:spacing w:val="-1"/>
        </w:rPr>
        <w:t>Working</w:t>
      </w:r>
      <w:r>
        <w:rPr>
          <w:spacing w:val="-2"/>
        </w:rPr>
        <w:t xml:space="preserve"> </w:t>
      </w:r>
      <w:r>
        <w:rPr>
          <w:spacing w:val="-1"/>
        </w:rPr>
        <w:t>Group</w:t>
      </w:r>
      <w:r>
        <w:t xml:space="preserve"> </w:t>
      </w:r>
      <w:r>
        <w:rPr>
          <w:spacing w:val="-2"/>
        </w:rPr>
        <w:t>(IWG)</w:t>
      </w:r>
      <w:r>
        <w:rPr>
          <w:spacing w:val="1"/>
        </w:rPr>
        <w:t xml:space="preserve"> </w:t>
      </w:r>
      <w:r>
        <w:rPr>
          <w:spacing w:val="-1"/>
        </w:rPr>
        <w:t>criteria</w:t>
      </w:r>
      <w:r>
        <w:t xml:space="preserve"> </w:t>
      </w:r>
      <w:r>
        <w:rPr>
          <w:spacing w:val="-1"/>
        </w:rPr>
        <w:t>but</w:t>
      </w:r>
      <w:r>
        <w:rPr>
          <w:spacing w:val="1"/>
        </w:rPr>
        <w:t xml:space="preserve"> </w:t>
      </w:r>
      <w:r>
        <w:rPr>
          <w:spacing w:val="-1"/>
        </w:rPr>
        <w:t>without</w:t>
      </w:r>
      <w:r>
        <w:rPr>
          <w:spacing w:val="1"/>
        </w:rPr>
        <w:t xml:space="preserve"> </w:t>
      </w:r>
      <w:r>
        <w:rPr>
          <w:spacing w:val="-1"/>
        </w:rPr>
        <w:t>positron</w:t>
      </w:r>
      <w:r>
        <w:rPr>
          <w:spacing w:val="-2"/>
        </w:rPr>
        <w:t xml:space="preserve"> </w:t>
      </w:r>
      <w:r>
        <w:rPr>
          <w:spacing w:val="-1"/>
        </w:rPr>
        <w:t>emission</w:t>
      </w:r>
      <w:r>
        <w:rPr>
          <w:spacing w:val="-2"/>
        </w:rPr>
        <w:t xml:space="preserve"> </w:t>
      </w:r>
      <w:r>
        <w:rPr>
          <w:spacing w:val="-1"/>
        </w:rPr>
        <w:t>tomography</w:t>
      </w:r>
      <w:r>
        <w:rPr>
          <w:spacing w:val="-2"/>
        </w:rPr>
        <w:t xml:space="preserve"> </w:t>
      </w:r>
      <w:r>
        <w:rPr>
          <w:spacing w:val="-1"/>
        </w:rPr>
        <w:t>(PET).</w:t>
      </w:r>
    </w:p>
    <w:p w:rsidR="00F72327" w:rsidRDefault="00F72327" w:rsidP="00514498">
      <w:pPr>
        <w:rPr>
          <w:rFonts w:eastAsia="Times New Roman"/>
        </w:rPr>
      </w:pPr>
    </w:p>
    <w:p w:rsidR="00F72327" w:rsidRDefault="00F72327" w:rsidP="00514498">
      <w:pPr>
        <w:pStyle w:val="BodyText"/>
        <w:ind w:right="310"/>
      </w:pPr>
      <w:r>
        <w:t>The</w:t>
      </w:r>
      <w:r>
        <w:rPr>
          <w:spacing w:val="-2"/>
        </w:rPr>
        <w:t xml:space="preserve"> </w:t>
      </w:r>
      <w:r>
        <w:rPr>
          <w:spacing w:val="-1"/>
        </w:rPr>
        <w:t>secondary</w:t>
      </w:r>
      <w:r>
        <w:rPr>
          <w:spacing w:val="-3"/>
        </w:rPr>
        <w:t xml:space="preserve"> </w:t>
      </w:r>
      <w:r>
        <w:rPr>
          <w:spacing w:val="-1"/>
        </w:rPr>
        <w:t>objectives</w:t>
      </w:r>
      <w:r>
        <w:t xml:space="preserve"> </w:t>
      </w:r>
      <w:r>
        <w:rPr>
          <w:spacing w:val="-2"/>
        </w:rPr>
        <w:t>of</w:t>
      </w:r>
      <w:r>
        <w:rPr>
          <w:spacing w:val="1"/>
        </w:rPr>
        <w:t xml:space="preserve"> </w:t>
      </w:r>
      <w:r>
        <w:rPr>
          <w:spacing w:val="-1"/>
        </w:rPr>
        <w:t>the</w:t>
      </w:r>
      <w:r>
        <w:t xml:space="preserve"> </w:t>
      </w:r>
      <w:r>
        <w:rPr>
          <w:spacing w:val="-1"/>
        </w:rPr>
        <w:t>study</w:t>
      </w:r>
      <w:r>
        <w:rPr>
          <w:spacing w:val="-3"/>
        </w:rPr>
        <w:t xml:space="preserve"> </w:t>
      </w:r>
      <w:r>
        <w:rPr>
          <w:spacing w:val="-1"/>
        </w:rPr>
        <w:t>were</w:t>
      </w:r>
      <w:r>
        <w:rPr>
          <w:spacing w:val="-2"/>
        </w:rPr>
        <w:t xml:space="preserve"> </w:t>
      </w:r>
      <w:r>
        <w:t xml:space="preserve">to </w:t>
      </w:r>
      <w:r>
        <w:rPr>
          <w:spacing w:val="-1"/>
        </w:rPr>
        <w:t>compare</w:t>
      </w:r>
      <w:r>
        <w:rPr>
          <w:spacing w:val="-2"/>
        </w:rPr>
        <w:t xml:space="preserve"> </w:t>
      </w:r>
      <w:r>
        <w:t xml:space="preserve">the </w:t>
      </w:r>
      <w:r>
        <w:rPr>
          <w:spacing w:val="-1"/>
        </w:rPr>
        <w:t>safety</w:t>
      </w:r>
      <w:r>
        <w:rPr>
          <w:spacing w:val="-3"/>
        </w:rPr>
        <w:t xml:space="preserve"> </w:t>
      </w:r>
      <w:r>
        <w:t>of</w:t>
      </w:r>
      <w:r>
        <w:rPr>
          <w:spacing w:val="-2"/>
        </w:rPr>
        <w:t xml:space="preserve"> </w:t>
      </w:r>
      <w:r>
        <w:rPr>
          <w:spacing w:val="-1"/>
        </w:rPr>
        <w:t>lenalidomide</w:t>
      </w:r>
      <w:r>
        <w:rPr>
          <w:spacing w:val="-2"/>
        </w:rPr>
        <w:t xml:space="preserve"> </w:t>
      </w:r>
      <w:r>
        <w:t xml:space="preserve">in </w:t>
      </w:r>
      <w:r>
        <w:rPr>
          <w:spacing w:val="-1"/>
        </w:rPr>
        <w:t>combination</w:t>
      </w:r>
      <w:r>
        <w:rPr>
          <w:spacing w:val="-2"/>
        </w:rPr>
        <w:t xml:space="preserve"> </w:t>
      </w:r>
      <w:r>
        <w:rPr>
          <w:spacing w:val="-1"/>
        </w:rPr>
        <w:t>with</w:t>
      </w:r>
      <w:r>
        <w:rPr>
          <w:spacing w:val="83"/>
        </w:rPr>
        <w:t xml:space="preserve"> </w:t>
      </w:r>
      <w:r>
        <w:rPr>
          <w:spacing w:val="-1"/>
        </w:rPr>
        <w:t>rituximab</w:t>
      </w:r>
      <w:r>
        <w:t xml:space="preserve"> </w:t>
      </w:r>
      <w:r>
        <w:rPr>
          <w:spacing w:val="-1"/>
        </w:rPr>
        <w:t>versus</w:t>
      </w:r>
      <w:r>
        <w:rPr>
          <w:spacing w:val="-2"/>
        </w:rPr>
        <w:t xml:space="preserve"> </w:t>
      </w:r>
      <w:r>
        <w:rPr>
          <w:spacing w:val="-1"/>
        </w:rPr>
        <w:t>rituximab</w:t>
      </w:r>
      <w:r>
        <w:t xml:space="preserve"> plus </w:t>
      </w:r>
      <w:r>
        <w:rPr>
          <w:spacing w:val="-1"/>
        </w:rPr>
        <w:t>placebo.</w:t>
      </w:r>
      <w:r>
        <w:t xml:space="preserve"> </w:t>
      </w:r>
      <w:r>
        <w:rPr>
          <w:spacing w:val="-1"/>
        </w:rPr>
        <w:t>Further</w:t>
      </w:r>
      <w:r>
        <w:rPr>
          <w:spacing w:val="1"/>
        </w:rPr>
        <w:t xml:space="preserve"> </w:t>
      </w:r>
      <w:r>
        <w:rPr>
          <w:spacing w:val="-1"/>
        </w:rPr>
        <w:t>secondary</w:t>
      </w:r>
      <w:r>
        <w:rPr>
          <w:spacing w:val="-3"/>
        </w:rPr>
        <w:t xml:space="preserve"> </w:t>
      </w:r>
      <w:r>
        <w:rPr>
          <w:spacing w:val="-1"/>
        </w:rPr>
        <w:t>objectives</w:t>
      </w:r>
      <w:r>
        <w:t xml:space="preserve"> were</w:t>
      </w:r>
      <w:r>
        <w:rPr>
          <w:spacing w:val="-2"/>
        </w:rPr>
        <w:t xml:space="preserve"> </w:t>
      </w:r>
      <w:r>
        <w:t>to</w:t>
      </w:r>
      <w:r>
        <w:rPr>
          <w:spacing w:val="-2"/>
        </w:rPr>
        <w:t xml:space="preserve"> </w:t>
      </w:r>
      <w:r>
        <w:rPr>
          <w:spacing w:val="-1"/>
        </w:rPr>
        <w:t>compare</w:t>
      </w:r>
      <w:r>
        <w:t xml:space="preserve"> the </w:t>
      </w:r>
      <w:r>
        <w:rPr>
          <w:spacing w:val="-1"/>
        </w:rPr>
        <w:t>efficacy</w:t>
      </w:r>
      <w:r>
        <w:rPr>
          <w:spacing w:val="-3"/>
        </w:rPr>
        <w:t xml:space="preserve"> </w:t>
      </w:r>
      <w:r>
        <w:t>of</w:t>
      </w:r>
      <w:r>
        <w:rPr>
          <w:spacing w:val="59"/>
        </w:rPr>
        <w:t xml:space="preserve"> </w:t>
      </w:r>
      <w:r>
        <w:rPr>
          <w:spacing w:val="-1"/>
        </w:rPr>
        <w:t>rituximab</w:t>
      </w:r>
      <w:r>
        <w:t xml:space="preserve"> </w:t>
      </w:r>
      <w:r>
        <w:rPr>
          <w:spacing w:val="-1"/>
        </w:rPr>
        <w:t>plus</w:t>
      </w:r>
      <w:r>
        <w:t xml:space="preserve"> </w:t>
      </w:r>
      <w:r>
        <w:rPr>
          <w:spacing w:val="-1"/>
        </w:rPr>
        <w:t>lenalidomide</w:t>
      </w:r>
      <w:r>
        <w:rPr>
          <w:spacing w:val="1"/>
        </w:rPr>
        <w:t xml:space="preserve"> </w:t>
      </w:r>
      <w:r>
        <w:rPr>
          <w:spacing w:val="-1"/>
        </w:rPr>
        <w:t>versus</w:t>
      </w:r>
      <w:r>
        <w:rPr>
          <w:spacing w:val="-2"/>
        </w:rPr>
        <w:t xml:space="preserve"> </w:t>
      </w:r>
      <w:r>
        <w:rPr>
          <w:spacing w:val="-1"/>
        </w:rPr>
        <w:t>rituximab</w:t>
      </w:r>
      <w:r>
        <w:t xml:space="preserve"> plus</w:t>
      </w:r>
      <w:r>
        <w:rPr>
          <w:spacing w:val="1"/>
        </w:rPr>
        <w:t xml:space="preserve"> </w:t>
      </w:r>
      <w:r>
        <w:rPr>
          <w:spacing w:val="-1"/>
        </w:rPr>
        <w:t>placebo</w:t>
      </w:r>
      <w:r>
        <w:t xml:space="preserve"> </w:t>
      </w:r>
      <w:r>
        <w:rPr>
          <w:spacing w:val="-1"/>
        </w:rPr>
        <w:t>using</w:t>
      </w:r>
      <w:r>
        <w:rPr>
          <w:spacing w:val="-2"/>
        </w:rPr>
        <w:t xml:space="preserve"> </w:t>
      </w:r>
      <w:r>
        <w:t>the</w:t>
      </w:r>
      <w:r>
        <w:rPr>
          <w:spacing w:val="-2"/>
        </w:rPr>
        <w:t xml:space="preserve"> </w:t>
      </w:r>
      <w:r>
        <w:rPr>
          <w:spacing w:val="-1"/>
        </w:rPr>
        <w:t>following</w:t>
      </w:r>
      <w:r>
        <w:rPr>
          <w:spacing w:val="-3"/>
        </w:rPr>
        <w:t xml:space="preserve"> </w:t>
      </w:r>
      <w:r>
        <w:rPr>
          <w:spacing w:val="-1"/>
        </w:rPr>
        <w:t>other</w:t>
      </w:r>
      <w:r>
        <w:rPr>
          <w:spacing w:val="1"/>
        </w:rPr>
        <w:t xml:space="preserve"> </w:t>
      </w:r>
      <w:r>
        <w:rPr>
          <w:spacing w:val="-1"/>
        </w:rPr>
        <w:t>parameters</w:t>
      </w:r>
      <w:r>
        <w:t xml:space="preserve"> </w:t>
      </w:r>
      <w:r>
        <w:rPr>
          <w:spacing w:val="-2"/>
        </w:rPr>
        <w:t>of</w:t>
      </w:r>
      <w:r>
        <w:rPr>
          <w:spacing w:val="1"/>
        </w:rPr>
        <w:t xml:space="preserve"> </w:t>
      </w:r>
      <w:r>
        <w:rPr>
          <w:spacing w:val="-1"/>
        </w:rPr>
        <w:t>efficacy:</w:t>
      </w:r>
      <w:r>
        <w:rPr>
          <w:spacing w:val="77"/>
        </w:rPr>
        <w:t xml:space="preserve"> </w:t>
      </w:r>
      <w:r>
        <w:rPr>
          <w:spacing w:val="-1"/>
        </w:rPr>
        <w:t>Overall</w:t>
      </w:r>
      <w:r>
        <w:rPr>
          <w:spacing w:val="-2"/>
        </w:rPr>
        <w:t xml:space="preserve"> </w:t>
      </w:r>
      <w:r>
        <w:rPr>
          <w:spacing w:val="-1"/>
        </w:rPr>
        <w:t>response</w:t>
      </w:r>
      <w:r>
        <w:rPr>
          <w:spacing w:val="-2"/>
        </w:rPr>
        <w:t xml:space="preserve"> </w:t>
      </w:r>
      <w:r>
        <w:t>rate</w:t>
      </w:r>
      <w:r>
        <w:rPr>
          <w:spacing w:val="-2"/>
        </w:rPr>
        <w:t xml:space="preserve"> </w:t>
      </w:r>
      <w:r>
        <w:rPr>
          <w:spacing w:val="-1"/>
        </w:rPr>
        <w:t>(ORR),</w:t>
      </w:r>
      <w:r>
        <w:t xml:space="preserve"> </w:t>
      </w:r>
      <w:r>
        <w:rPr>
          <w:spacing w:val="-1"/>
        </w:rPr>
        <w:t>CR rate,</w:t>
      </w:r>
      <w:r>
        <w:rPr>
          <w:spacing w:val="-3"/>
        </w:rPr>
        <w:t xml:space="preserve"> </w:t>
      </w:r>
      <w:r>
        <w:t xml:space="preserve">and </w:t>
      </w:r>
      <w:r>
        <w:rPr>
          <w:spacing w:val="-1"/>
        </w:rPr>
        <w:t>duration</w:t>
      </w:r>
      <w:r>
        <w:rPr>
          <w:spacing w:val="-3"/>
        </w:rPr>
        <w:t xml:space="preserve"> </w:t>
      </w:r>
      <w:r>
        <w:t>of</w:t>
      </w:r>
      <w:r>
        <w:rPr>
          <w:spacing w:val="-2"/>
        </w:rPr>
        <w:t xml:space="preserve"> </w:t>
      </w:r>
      <w:r>
        <w:rPr>
          <w:spacing w:val="-1"/>
        </w:rPr>
        <w:t>response</w:t>
      </w:r>
      <w:r>
        <w:t xml:space="preserve"> </w:t>
      </w:r>
      <w:r>
        <w:rPr>
          <w:spacing w:val="-1"/>
        </w:rPr>
        <w:t>(DoR)</w:t>
      </w:r>
      <w:r>
        <w:rPr>
          <w:spacing w:val="1"/>
        </w:rPr>
        <w:t xml:space="preserve"> </w:t>
      </w:r>
      <w:r>
        <w:t>by</w:t>
      </w:r>
      <w:r>
        <w:rPr>
          <w:spacing w:val="-3"/>
        </w:rPr>
        <w:t xml:space="preserve"> </w:t>
      </w:r>
      <w:r>
        <w:rPr>
          <w:spacing w:val="-2"/>
        </w:rPr>
        <w:t>IWG</w:t>
      </w:r>
      <w:r>
        <w:rPr>
          <w:spacing w:val="-1"/>
        </w:rPr>
        <w:t xml:space="preserve"> </w:t>
      </w:r>
      <w:r>
        <w:t xml:space="preserve">2007 </w:t>
      </w:r>
      <w:r>
        <w:rPr>
          <w:spacing w:val="-1"/>
        </w:rPr>
        <w:t>without</w:t>
      </w:r>
      <w:r>
        <w:rPr>
          <w:spacing w:val="1"/>
        </w:rPr>
        <w:t xml:space="preserve"> </w:t>
      </w:r>
      <w:r>
        <w:rPr>
          <w:spacing w:val="-1"/>
        </w:rPr>
        <w:t xml:space="preserve">PET </w:t>
      </w:r>
      <w:r>
        <w:t xml:space="preserve">and </w:t>
      </w:r>
      <w:r>
        <w:rPr>
          <w:spacing w:val="-1"/>
        </w:rPr>
        <w:t>OS.</w:t>
      </w:r>
    </w:p>
    <w:p w:rsidR="00F72327" w:rsidRDefault="00F72327" w:rsidP="00514498">
      <w:pPr>
        <w:rPr>
          <w:rFonts w:eastAsia="Times New Roman"/>
        </w:rPr>
      </w:pPr>
    </w:p>
    <w:p w:rsidR="00F72327" w:rsidRDefault="00F72327" w:rsidP="00514498">
      <w:pPr>
        <w:pStyle w:val="BodyText"/>
        <w:ind w:right="310"/>
      </w:pPr>
      <w:r>
        <w:rPr>
          <w:spacing w:val="-1"/>
        </w:rPr>
        <w:t>Results</w:t>
      </w:r>
      <w:r>
        <w:rPr>
          <w:spacing w:val="-2"/>
        </w:rPr>
        <w:t xml:space="preserve"> </w:t>
      </w:r>
      <w:r>
        <w:t>from</w:t>
      </w:r>
      <w:r>
        <w:rPr>
          <w:spacing w:val="-4"/>
        </w:rPr>
        <w:t xml:space="preserve"> </w:t>
      </w:r>
      <w:r>
        <w:t xml:space="preserve">the </w:t>
      </w:r>
      <w:r>
        <w:rPr>
          <w:spacing w:val="-1"/>
        </w:rPr>
        <w:t>overall</w:t>
      </w:r>
      <w:r>
        <w:rPr>
          <w:spacing w:val="1"/>
        </w:rPr>
        <w:t xml:space="preserve"> </w:t>
      </w:r>
      <w:r>
        <w:rPr>
          <w:spacing w:val="-1"/>
        </w:rPr>
        <w:t>population</w:t>
      </w:r>
      <w:r>
        <w:t xml:space="preserve"> </w:t>
      </w:r>
      <w:r>
        <w:rPr>
          <w:spacing w:val="-1"/>
        </w:rPr>
        <w:t>including</w:t>
      </w:r>
      <w:r>
        <w:rPr>
          <w:spacing w:val="-3"/>
        </w:rPr>
        <w:t xml:space="preserve"> </w:t>
      </w:r>
      <w:r>
        <w:t>FL</w:t>
      </w:r>
      <w:r>
        <w:rPr>
          <w:spacing w:val="-1"/>
        </w:rPr>
        <w:t xml:space="preserve"> </w:t>
      </w:r>
      <w:r>
        <w:t>and</w:t>
      </w:r>
      <w:r>
        <w:rPr>
          <w:spacing w:val="-2"/>
        </w:rPr>
        <w:t xml:space="preserve"> </w:t>
      </w:r>
      <w:r>
        <w:rPr>
          <w:spacing w:val="-1"/>
        </w:rPr>
        <w:t xml:space="preserve">MZL </w:t>
      </w:r>
      <w:r>
        <w:t xml:space="preserve">showed </w:t>
      </w:r>
      <w:r>
        <w:rPr>
          <w:spacing w:val="-1"/>
        </w:rPr>
        <w:t xml:space="preserve">that </w:t>
      </w:r>
      <w:r>
        <w:t>at</w:t>
      </w:r>
      <w:r>
        <w:rPr>
          <w:spacing w:val="1"/>
        </w:rPr>
        <w:t xml:space="preserve"> </w:t>
      </w:r>
      <w:r>
        <w:t>a</w:t>
      </w:r>
      <w:r>
        <w:rPr>
          <w:spacing w:val="-2"/>
        </w:rPr>
        <w:t xml:space="preserve"> </w:t>
      </w:r>
      <w:r>
        <w:rPr>
          <w:spacing w:val="-1"/>
        </w:rPr>
        <w:t>median</w:t>
      </w:r>
      <w:r>
        <w:t xml:space="preserve"> </w:t>
      </w:r>
      <w:r>
        <w:rPr>
          <w:spacing w:val="-1"/>
        </w:rPr>
        <w:t xml:space="preserve">follow </w:t>
      </w:r>
      <w:r>
        <w:rPr>
          <w:spacing w:val="-2"/>
        </w:rPr>
        <w:t>up</w:t>
      </w:r>
      <w:r>
        <w:t xml:space="preserve"> of</w:t>
      </w:r>
      <w:r>
        <w:rPr>
          <w:spacing w:val="55"/>
        </w:rPr>
        <w:t xml:space="preserve"> </w:t>
      </w:r>
      <w:r>
        <w:rPr>
          <w:spacing w:val="-1"/>
        </w:rPr>
        <w:t>28.3°months,</w:t>
      </w:r>
      <w:r>
        <w:t xml:space="preserve"> the</w:t>
      </w:r>
      <w:r>
        <w:rPr>
          <w:spacing w:val="-2"/>
        </w:rPr>
        <w:t xml:space="preserve"> </w:t>
      </w:r>
      <w:r>
        <w:t>study</w:t>
      </w:r>
      <w:r>
        <w:rPr>
          <w:spacing w:val="-3"/>
        </w:rPr>
        <w:t xml:space="preserve"> </w:t>
      </w:r>
      <w:r>
        <w:rPr>
          <w:spacing w:val="-2"/>
        </w:rPr>
        <w:t>met</w:t>
      </w:r>
      <w:r>
        <w:rPr>
          <w:spacing w:val="1"/>
        </w:rPr>
        <w:t xml:space="preserve"> </w:t>
      </w:r>
      <w:r>
        <w:t>its</w:t>
      </w:r>
      <w:r>
        <w:rPr>
          <w:spacing w:val="-2"/>
        </w:rPr>
        <w:t xml:space="preserve"> </w:t>
      </w:r>
      <w:r>
        <w:rPr>
          <w:spacing w:val="-1"/>
        </w:rPr>
        <w:t>primary</w:t>
      </w:r>
      <w:r>
        <w:rPr>
          <w:spacing w:val="-3"/>
        </w:rPr>
        <w:t xml:space="preserve"> </w:t>
      </w:r>
      <w:r>
        <w:rPr>
          <w:spacing w:val="-1"/>
        </w:rPr>
        <w:t>endpoint</w:t>
      </w:r>
      <w:r>
        <w:rPr>
          <w:spacing w:val="1"/>
        </w:rPr>
        <w:t xml:space="preserve"> </w:t>
      </w:r>
      <w:r>
        <w:t>of</w:t>
      </w:r>
      <w:r>
        <w:rPr>
          <w:spacing w:val="1"/>
        </w:rPr>
        <w:t xml:space="preserve"> </w:t>
      </w:r>
      <w:r>
        <w:rPr>
          <w:spacing w:val="-2"/>
        </w:rPr>
        <w:t>PFS</w:t>
      </w:r>
      <w:r>
        <w:rPr>
          <w:spacing w:val="-1"/>
        </w:rPr>
        <w:t xml:space="preserve"> </w:t>
      </w:r>
      <w:r>
        <w:t>with</w:t>
      </w:r>
      <w:r>
        <w:rPr>
          <w:spacing w:val="-2"/>
        </w:rPr>
        <w:t xml:space="preserve"> </w:t>
      </w:r>
      <w:r>
        <w:t xml:space="preserve">a </w:t>
      </w:r>
      <w:r>
        <w:rPr>
          <w:spacing w:val="-1"/>
        </w:rPr>
        <w:t>hazard</w:t>
      </w:r>
      <w:r>
        <w:rPr>
          <w:spacing w:val="-2"/>
        </w:rPr>
        <w:t xml:space="preserve"> </w:t>
      </w:r>
      <w:r>
        <w:rPr>
          <w:spacing w:val="-1"/>
        </w:rPr>
        <w:t>ratio</w:t>
      </w:r>
      <w:r>
        <w:rPr>
          <w:spacing w:val="-2"/>
        </w:rPr>
        <w:t xml:space="preserve"> </w:t>
      </w:r>
      <w:r>
        <w:rPr>
          <w:spacing w:val="-1"/>
        </w:rPr>
        <w:t>(HR)</w:t>
      </w:r>
      <w:r>
        <w:rPr>
          <w:spacing w:val="-2"/>
        </w:rPr>
        <w:t xml:space="preserve"> </w:t>
      </w:r>
      <w:r>
        <w:rPr>
          <w:spacing w:val="-1"/>
        </w:rPr>
        <w:t>(95%</w:t>
      </w:r>
      <w:r>
        <w:rPr>
          <w:spacing w:val="1"/>
        </w:rPr>
        <w:t xml:space="preserve"> </w:t>
      </w:r>
      <w:r>
        <w:rPr>
          <w:spacing w:val="-1"/>
        </w:rPr>
        <w:t>confidence</w:t>
      </w:r>
      <w:r>
        <w:rPr>
          <w:spacing w:val="-2"/>
        </w:rPr>
        <w:t xml:space="preserve"> </w:t>
      </w:r>
      <w:r>
        <w:rPr>
          <w:spacing w:val="-1"/>
        </w:rPr>
        <w:t>interval</w:t>
      </w:r>
      <w:r>
        <w:rPr>
          <w:spacing w:val="87"/>
        </w:rPr>
        <w:t xml:space="preserve"> </w:t>
      </w:r>
      <w:r>
        <w:rPr>
          <w:spacing w:val="-1"/>
        </w:rPr>
        <w:t>[CI])</w:t>
      </w:r>
      <w:r>
        <w:rPr>
          <w:spacing w:val="1"/>
        </w:rPr>
        <w:t xml:space="preserve"> </w:t>
      </w:r>
      <w:r>
        <w:t>of</w:t>
      </w:r>
      <w:r>
        <w:rPr>
          <w:spacing w:val="1"/>
        </w:rPr>
        <w:t xml:space="preserve"> </w:t>
      </w:r>
      <w:r>
        <w:t>0.45</w:t>
      </w:r>
      <w:r>
        <w:rPr>
          <w:spacing w:val="-2"/>
        </w:rPr>
        <w:t xml:space="preserve"> </w:t>
      </w:r>
      <w:r>
        <w:rPr>
          <w:spacing w:val="-1"/>
        </w:rPr>
        <w:t>(0.33,0.61)</w:t>
      </w:r>
      <w:r>
        <w:rPr>
          <w:spacing w:val="-2"/>
        </w:rPr>
        <w:t xml:space="preserve"> </w:t>
      </w:r>
      <w:r>
        <w:rPr>
          <w:spacing w:val="-1"/>
        </w:rPr>
        <w:t>p-value</w:t>
      </w:r>
      <w:r>
        <w:rPr>
          <w:spacing w:val="1"/>
        </w:rPr>
        <w:t xml:space="preserve"> </w:t>
      </w:r>
      <w:r>
        <w:t xml:space="preserve">&lt; </w:t>
      </w:r>
      <w:r>
        <w:rPr>
          <w:spacing w:val="-1"/>
        </w:rPr>
        <w:t>0.0001.</w:t>
      </w:r>
      <w:r>
        <w:rPr>
          <w:spacing w:val="-3"/>
        </w:rPr>
        <w:t xml:space="preserve"> </w:t>
      </w:r>
      <w:r>
        <w:t>The</w:t>
      </w:r>
      <w:r>
        <w:rPr>
          <w:spacing w:val="-2"/>
        </w:rPr>
        <w:t xml:space="preserve"> </w:t>
      </w:r>
      <w:r>
        <w:rPr>
          <w:spacing w:val="-1"/>
        </w:rPr>
        <w:t>efficacy</w:t>
      </w:r>
      <w:r>
        <w:rPr>
          <w:spacing w:val="-3"/>
        </w:rPr>
        <w:t xml:space="preserve"> </w:t>
      </w:r>
      <w:r>
        <w:rPr>
          <w:spacing w:val="-1"/>
        </w:rPr>
        <w:t>results</w:t>
      </w:r>
      <w:r>
        <w:t xml:space="preserve"> </w:t>
      </w:r>
      <w:r>
        <w:rPr>
          <w:spacing w:val="-1"/>
        </w:rPr>
        <w:t>from</w:t>
      </w:r>
      <w:r>
        <w:rPr>
          <w:spacing w:val="-4"/>
        </w:rPr>
        <w:t xml:space="preserve"> </w:t>
      </w:r>
      <w:r>
        <w:t xml:space="preserve">the </w:t>
      </w:r>
      <w:r>
        <w:rPr>
          <w:spacing w:val="-1"/>
        </w:rPr>
        <w:t>follicular</w:t>
      </w:r>
      <w:r>
        <w:rPr>
          <w:spacing w:val="-2"/>
        </w:rPr>
        <w:t xml:space="preserve"> </w:t>
      </w:r>
      <w:r>
        <w:rPr>
          <w:spacing w:val="-1"/>
        </w:rPr>
        <w:t>lymphoma</w:t>
      </w:r>
      <w:r>
        <w:t xml:space="preserve"> population </w:t>
      </w:r>
      <w:r>
        <w:rPr>
          <w:spacing w:val="-1"/>
        </w:rPr>
        <w:t>are</w:t>
      </w:r>
      <w:r>
        <w:rPr>
          <w:spacing w:val="69"/>
        </w:rPr>
        <w:t xml:space="preserve"> </w:t>
      </w:r>
      <w:r>
        <w:rPr>
          <w:spacing w:val="-1"/>
        </w:rPr>
        <w:t>presented</w:t>
      </w:r>
      <w:r>
        <w:t xml:space="preserve"> </w:t>
      </w:r>
      <w:r>
        <w:rPr>
          <w:spacing w:val="-1"/>
        </w:rPr>
        <w:t>in</w:t>
      </w:r>
      <w:r>
        <w:rPr>
          <w:spacing w:val="-3"/>
        </w:rPr>
        <w:t xml:space="preserve"> </w:t>
      </w:r>
      <w:r>
        <w:t>Table 14.</w:t>
      </w:r>
    </w:p>
    <w:p w:rsidR="00F72327" w:rsidRDefault="00F72327" w:rsidP="00514498">
      <w:pPr>
        <w:spacing w:before="1"/>
        <w:rPr>
          <w:rFonts w:eastAsia="Times New Roman"/>
        </w:rPr>
      </w:pPr>
    </w:p>
    <w:p w:rsidR="00F72327" w:rsidRDefault="00F72327" w:rsidP="004273C8">
      <w:pPr>
        <w:pStyle w:val="Heading1"/>
        <w:numPr>
          <w:ilvl w:val="0"/>
          <w:numId w:val="0"/>
        </w:numPr>
        <w:rPr>
          <w:b w:val="0"/>
          <w:bCs w:val="0"/>
        </w:rPr>
      </w:pPr>
      <w:r>
        <w:rPr>
          <w:spacing w:val="-1"/>
        </w:rPr>
        <w:t>Table</w:t>
      </w:r>
      <w:r>
        <w:t xml:space="preserve"> </w:t>
      </w:r>
      <w:r>
        <w:rPr>
          <w:spacing w:val="-1"/>
        </w:rPr>
        <w:t>14:</w:t>
      </w:r>
      <w:r>
        <w:rPr>
          <w:spacing w:val="1"/>
        </w:rPr>
        <w:t xml:space="preserve"> </w:t>
      </w:r>
      <w:r>
        <w:rPr>
          <w:spacing w:val="-1"/>
        </w:rPr>
        <w:t>Summary</w:t>
      </w:r>
      <w:r>
        <w:t xml:space="preserve"> </w:t>
      </w:r>
      <w:r>
        <w:rPr>
          <w:spacing w:val="-2"/>
        </w:rPr>
        <w:t xml:space="preserve">of </w:t>
      </w:r>
      <w:r>
        <w:rPr>
          <w:spacing w:val="-1"/>
        </w:rPr>
        <w:t>follicular</w:t>
      </w:r>
      <w:r>
        <w:rPr>
          <w:spacing w:val="-2"/>
        </w:rPr>
        <w:t xml:space="preserve"> </w:t>
      </w:r>
      <w:r>
        <w:rPr>
          <w:spacing w:val="-1"/>
        </w:rPr>
        <w:t>lymphoma</w:t>
      </w:r>
      <w:r>
        <w:t xml:space="preserve"> </w:t>
      </w:r>
      <w:r>
        <w:rPr>
          <w:spacing w:val="-1"/>
        </w:rPr>
        <w:t>efficacy</w:t>
      </w:r>
      <w:r>
        <w:rPr>
          <w:spacing w:val="-2"/>
        </w:rPr>
        <w:t xml:space="preserve"> </w:t>
      </w:r>
      <w:r>
        <w:rPr>
          <w:spacing w:val="-1"/>
        </w:rPr>
        <w:t>data-</w:t>
      </w:r>
      <w:r>
        <w:rPr>
          <w:spacing w:val="1"/>
        </w:rPr>
        <w:t xml:space="preserve"> </w:t>
      </w:r>
      <w:r>
        <w:rPr>
          <w:spacing w:val="-1"/>
        </w:rPr>
        <w:t>Study</w:t>
      </w:r>
      <w:r>
        <w:t xml:space="preserve"> </w:t>
      </w:r>
      <w:r>
        <w:rPr>
          <w:spacing w:val="-1"/>
        </w:rPr>
        <w:t>CC-5013-NHL-007</w:t>
      </w:r>
    </w:p>
    <w:tbl>
      <w:tblPr>
        <w:tblW w:w="0" w:type="auto"/>
        <w:tblInd w:w="95" w:type="dxa"/>
        <w:tblLayout w:type="fixed"/>
        <w:tblCellMar>
          <w:left w:w="0" w:type="dxa"/>
          <w:right w:w="0" w:type="dxa"/>
        </w:tblCellMar>
        <w:tblLook w:val="01E0" w:firstRow="1" w:lastRow="1" w:firstColumn="1" w:lastColumn="1" w:noHBand="0" w:noVBand="0"/>
      </w:tblPr>
      <w:tblGrid>
        <w:gridCol w:w="3717"/>
        <w:gridCol w:w="3060"/>
        <w:gridCol w:w="3097"/>
      </w:tblGrid>
      <w:tr w:rsidR="00F72327" w:rsidTr="00F72327">
        <w:trPr>
          <w:trHeight w:hRule="exact" w:val="602"/>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spacing w:val="-1"/>
              </w:rPr>
              <w:t>FL</w:t>
            </w:r>
          </w:p>
          <w:p w:rsidR="00F72327" w:rsidRDefault="00F72327" w:rsidP="00F72327">
            <w:pPr>
              <w:pStyle w:val="TableParagraph"/>
              <w:spacing w:before="1"/>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w:t>
            </w:r>
            <w:r>
              <w:rPr>
                <w:rFonts w:ascii="Times New Roman"/>
                <w:spacing w:val="1"/>
              </w:rPr>
              <w:t xml:space="preserve"> </w:t>
            </w:r>
            <w:r>
              <w:rPr>
                <w:rFonts w:ascii="Times New Roman"/>
                <w:spacing w:val="-1"/>
              </w:rPr>
              <w:t>295)</w:t>
            </w:r>
          </w:p>
        </w:tc>
      </w:tr>
      <w:tr w:rsidR="00F72327" w:rsidTr="00F72327">
        <w:trPr>
          <w:trHeight w:hRule="exact" w:val="1090"/>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ind w:left="1088" w:right="234" w:hanging="857"/>
              <w:rPr>
                <w:rFonts w:ascii="Times New Roman" w:eastAsia="Times New Roman" w:hAnsi="Times New Roman" w:cs="Times New Roman"/>
              </w:rPr>
            </w:pPr>
            <w:r>
              <w:rPr>
                <w:rFonts w:ascii="Times New Roman"/>
                <w:spacing w:val="-1"/>
              </w:rPr>
              <w:t>Lenalidomide</w:t>
            </w:r>
            <w:r>
              <w:rPr>
                <w:rFonts w:ascii="Times New Roman"/>
                <w:spacing w:val="1"/>
              </w:rPr>
              <w:t xml:space="preserve"> </w:t>
            </w:r>
            <w:r>
              <w:rPr>
                <w:rFonts w:ascii="Times New Roman"/>
                <w:spacing w:val="-1"/>
              </w:rPr>
              <w:t>and</w:t>
            </w:r>
            <w:r>
              <w:rPr>
                <w:rFonts w:ascii="Times New Roman"/>
              </w:rPr>
              <w:t xml:space="preserve"> </w:t>
            </w:r>
            <w:r>
              <w:rPr>
                <w:rFonts w:ascii="Times New Roman"/>
                <w:spacing w:val="-1"/>
              </w:rPr>
              <w:t>Rituximab</w:t>
            </w:r>
            <w:r>
              <w:rPr>
                <w:rFonts w:ascii="Times New Roman"/>
                <w:spacing w:val="21"/>
              </w:rPr>
              <w:t xml:space="preserve"> </w:t>
            </w:r>
            <w:r>
              <w:rPr>
                <w:rFonts w:ascii="Times New Roman"/>
              </w:rPr>
              <w:t>(N</w:t>
            </w:r>
            <w:r>
              <w:rPr>
                <w:rFonts w:ascii="Times New Roman"/>
                <w:spacing w:val="-1"/>
              </w:rPr>
              <w:t xml:space="preserve"> </w:t>
            </w:r>
            <w:r>
              <w:rPr>
                <w:rFonts w:ascii="Times New Roman"/>
              </w:rPr>
              <w:t xml:space="preserve">= </w:t>
            </w:r>
            <w:r>
              <w:rPr>
                <w:rFonts w:ascii="Times New Roman"/>
                <w:spacing w:val="-1"/>
              </w:rPr>
              <w:t>147)</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ind w:left="1107" w:right="512" w:hanging="593"/>
              <w:rPr>
                <w:rFonts w:ascii="Times New Roman" w:eastAsia="Times New Roman" w:hAnsi="Times New Roman" w:cs="Times New Roman"/>
              </w:rPr>
            </w:pPr>
            <w:r>
              <w:rPr>
                <w:rFonts w:ascii="Times New Roman"/>
                <w:spacing w:val="-1"/>
              </w:rPr>
              <w:t>Placebo</w:t>
            </w:r>
            <w:r>
              <w:rPr>
                <w:rFonts w:ascii="Times New Roman"/>
              </w:rPr>
              <w:t xml:space="preserve"> </w:t>
            </w:r>
            <w:r>
              <w:rPr>
                <w:rFonts w:ascii="Times New Roman"/>
                <w:spacing w:val="-1"/>
              </w:rPr>
              <w:t>and</w:t>
            </w:r>
            <w:r>
              <w:rPr>
                <w:rFonts w:ascii="Times New Roman"/>
              </w:rPr>
              <w:t xml:space="preserve"> </w:t>
            </w:r>
            <w:r>
              <w:rPr>
                <w:rFonts w:ascii="Times New Roman"/>
                <w:spacing w:val="-1"/>
              </w:rPr>
              <w:t>Rituximab</w:t>
            </w:r>
            <w:r>
              <w:rPr>
                <w:rFonts w:ascii="Times New Roman"/>
                <w:spacing w:val="30"/>
              </w:rPr>
              <w:t xml:space="preserve"> </w:t>
            </w:r>
            <w:r>
              <w:rPr>
                <w:rFonts w:ascii="Times New Roman"/>
              </w:rPr>
              <w:t>(N</w:t>
            </w:r>
            <w:r>
              <w:rPr>
                <w:rFonts w:ascii="Times New Roman"/>
                <w:spacing w:val="-1"/>
              </w:rPr>
              <w:t xml:space="preserve"> </w:t>
            </w:r>
            <w:r>
              <w:rPr>
                <w:rFonts w:ascii="Times New Roman"/>
              </w:rPr>
              <w:t xml:space="preserve">= </w:t>
            </w:r>
            <w:r>
              <w:rPr>
                <w:rFonts w:ascii="Times New Roman"/>
                <w:spacing w:val="-1"/>
              </w:rPr>
              <w:t>148)</w:t>
            </w:r>
          </w:p>
        </w:tc>
      </w:tr>
      <w:tr w:rsidR="00F72327" w:rsidTr="00F72327">
        <w:trPr>
          <w:trHeight w:hRule="exact" w:val="264"/>
        </w:trPr>
        <w:tc>
          <w:tcPr>
            <w:tcW w:w="9874"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102"/>
              <w:rPr>
                <w:rFonts w:ascii="Times New Roman" w:eastAsia="Times New Roman" w:hAnsi="Times New Roman" w:cs="Times New Roman"/>
              </w:rPr>
            </w:pPr>
            <w:r>
              <w:rPr>
                <w:rFonts w:ascii="Times New Roman"/>
                <w:b/>
                <w:spacing w:val="-1"/>
              </w:rPr>
              <w:t>Progression-free</w:t>
            </w:r>
            <w:r>
              <w:rPr>
                <w:rFonts w:ascii="Times New Roman"/>
                <w:b/>
                <w:spacing w:val="-2"/>
              </w:rPr>
              <w:t xml:space="preserve"> </w:t>
            </w:r>
            <w:r>
              <w:rPr>
                <w:rFonts w:ascii="Times New Roman"/>
                <w:b/>
                <w:spacing w:val="-1"/>
              </w:rPr>
              <w:t>survival</w:t>
            </w:r>
            <w:r>
              <w:rPr>
                <w:rFonts w:ascii="Times New Roman"/>
                <w:b/>
                <w:spacing w:val="-2"/>
              </w:rPr>
              <w:t xml:space="preserve"> </w:t>
            </w:r>
            <w:r>
              <w:rPr>
                <w:rFonts w:ascii="Times New Roman"/>
                <w:b/>
                <w:spacing w:val="-1"/>
              </w:rPr>
              <w:t>(PFS)</w:t>
            </w:r>
            <w:r>
              <w:rPr>
                <w:rFonts w:ascii="Times New Roman"/>
                <w:b/>
                <w:spacing w:val="-2"/>
              </w:rPr>
              <w:t xml:space="preserve"> </w:t>
            </w:r>
            <w:r>
              <w:rPr>
                <w:rFonts w:ascii="Times New Roman"/>
                <w:b/>
              </w:rPr>
              <w:t>(EMA</w:t>
            </w:r>
            <w:r>
              <w:rPr>
                <w:rFonts w:ascii="Times New Roman"/>
                <w:b/>
                <w:spacing w:val="-1"/>
              </w:rPr>
              <w:t xml:space="preserve"> Censoring</w:t>
            </w:r>
            <w:r>
              <w:rPr>
                <w:rFonts w:ascii="Times New Roman"/>
                <w:b/>
              </w:rPr>
              <w:t xml:space="preserve"> </w:t>
            </w:r>
            <w:r>
              <w:rPr>
                <w:rFonts w:ascii="Times New Roman"/>
                <w:b/>
                <w:spacing w:val="-1"/>
              </w:rPr>
              <w:t>Rules)</w:t>
            </w:r>
          </w:p>
        </w:tc>
      </w:tr>
      <w:tr w:rsidR="00F72327" w:rsidTr="00F72327">
        <w:trPr>
          <w:trHeight w:hRule="exact" w:val="268"/>
        </w:trPr>
        <w:tc>
          <w:tcPr>
            <w:tcW w:w="3717"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line="251" w:lineRule="exact"/>
              <w:ind w:left="282"/>
              <w:rPr>
                <w:rFonts w:ascii="Times New Roman" w:eastAsia="Times New Roman" w:hAnsi="Times New Roman" w:cs="Times New Roman"/>
              </w:rPr>
            </w:pPr>
            <w:r>
              <w:rPr>
                <w:rFonts w:ascii="Times New Roman"/>
                <w:spacing w:val="-1"/>
              </w:rPr>
              <w:t>Median PFS</w:t>
            </w:r>
            <w:r>
              <w:rPr>
                <w:rFonts w:ascii="Times New Roman"/>
                <w:spacing w:val="-23"/>
              </w:rPr>
              <w:t xml:space="preserve"> </w:t>
            </w:r>
            <w:r>
              <w:rPr>
                <w:rFonts w:ascii="Times New Roman"/>
                <w:position w:val="8"/>
                <w:sz w:val="14"/>
              </w:rPr>
              <w:t>a</w:t>
            </w:r>
            <w:r>
              <w:rPr>
                <w:rFonts w:ascii="Times New Roman"/>
                <w:spacing w:val="20"/>
                <w:position w:val="8"/>
                <w:sz w:val="14"/>
              </w:rPr>
              <w:t xml:space="preserve"> </w:t>
            </w:r>
            <w:r>
              <w:rPr>
                <w:rFonts w:ascii="Times New Roman"/>
                <w:spacing w:val="-1"/>
              </w:rPr>
              <w:t>(95%</w:t>
            </w:r>
            <w:r>
              <w:rPr>
                <w:rFonts w:ascii="Times New Roman"/>
                <w:spacing w:val="1"/>
              </w:rPr>
              <w:t xml:space="preserve"> </w:t>
            </w:r>
            <w:r>
              <w:rPr>
                <w:rFonts w:ascii="Times New Roman"/>
                <w:spacing w:val="-2"/>
              </w:rPr>
              <w:t>CI)</w:t>
            </w:r>
            <w:r>
              <w:rPr>
                <w:rFonts w:ascii="Times New Roman"/>
                <w:spacing w:val="1"/>
              </w:rPr>
              <w:t xml:space="preserve"> </w:t>
            </w:r>
            <w:r>
              <w:rPr>
                <w:rFonts w:ascii="Times New Roman"/>
                <w:spacing w:val="-1"/>
              </w:rPr>
              <w:t>(months)</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39.4</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13.8</w:t>
            </w:r>
          </w:p>
        </w:tc>
      </w:tr>
      <w:tr w:rsidR="00F72327" w:rsidTr="00F72327">
        <w:trPr>
          <w:trHeight w:hRule="exact" w:val="249"/>
        </w:trPr>
        <w:tc>
          <w:tcPr>
            <w:tcW w:w="3717" w:type="dxa"/>
            <w:vMerge/>
            <w:tcBorders>
              <w:left w:val="single" w:sz="5" w:space="0" w:color="000000"/>
              <w:bottom w:val="single" w:sz="5" w:space="0" w:color="000000"/>
              <w:right w:val="single" w:sz="5" w:space="0" w:color="000000"/>
            </w:tcBorders>
          </w:tcPr>
          <w:p w:rsidR="00F72327" w:rsidRDefault="00F72327" w:rsidP="00F72327"/>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55"/>
              <w:jc w:val="center"/>
              <w:rPr>
                <w:rFonts w:ascii="Times New Roman" w:eastAsia="Times New Roman" w:hAnsi="Times New Roman" w:cs="Times New Roman"/>
              </w:rPr>
            </w:pPr>
            <w:r>
              <w:rPr>
                <w:rFonts w:ascii="Times New Roman"/>
              </w:rPr>
              <w:t xml:space="preserve">(25.1, </w:t>
            </w:r>
            <w:r>
              <w:rPr>
                <w:rFonts w:ascii="Times New Roman"/>
                <w:spacing w:val="-2"/>
              </w:rPr>
              <w:t>NE)</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8"/>
              <w:rPr>
                <w:rFonts w:ascii="Times New Roman" w:eastAsia="Times New Roman" w:hAnsi="Times New Roman" w:cs="Times New Roman"/>
              </w:rPr>
            </w:pPr>
            <w:r>
              <w:rPr>
                <w:rFonts w:ascii="Times New Roman"/>
              </w:rPr>
              <w:t xml:space="preserve">(11.2, </w:t>
            </w:r>
            <w:r>
              <w:rPr>
                <w:rFonts w:ascii="Times New Roman"/>
                <w:spacing w:val="-1"/>
              </w:rPr>
              <w:t>16.0)</w:t>
            </w:r>
          </w:p>
        </w:tc>
      </w:tr>
      <w:tr w:rsidR="00F72327" w:rsidTr="00F72327">
        <w:trPr>
          <w:trHeight w:hRule="exact" w:val="261"/>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 xml:space="preserve">HR </w:t>
            </w:r>
            <w:r>
              <w:rPr>
                <w:rFonts w:ascii="Times New Roman"/>
              </w:rPr>
              <w:t>[95%</w:t>
            </w:r>
            <w:r>
              <w:rPr>
                <w:rFonts w:ascii="Times New Roman"/>
                <w:spacing w:val="1"/>
              </w:rPr>
              <w:t xml:space="preserve"> </w:t>
            </w:r>
            <w:r>
              <w:rPr>
                <w:rFonts w:ascii="Times New Roman"/>
                <w:spacing w:val="-2"/>
              </w:rPr>
              <w:t>CI]</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jc w:val="center"/>
              <w:rPr>
                <w:rFonts w:ascii="Times New Roman" w:eastAsia="Times New Roman" w:hAnsi="Times New Roman" w:cs="Times New Roman"/>
                <w:sz w:val="14"/>
                <w:szCs w:val="14"/>
              </w:rPr>
            </w:pPr>
            <w:r>
              <w:rPr>
                <w:rFonts w:ascii="Times New Roman"/>
              </w:rPr>
              <w:t>0.40</w:t>
            </w:r>
            <w:r>
              <w:rPr>
                <w:rFonts w:ascii="Times New Roman"/>
                <w:spacing w:val="-1"/>
              </w:rPr>
              <w:t xml:space="preserve"> (0.29,</w:t>
            </w:r>
            <w:r>
              <w:rPr>
                <w:rFonts w:ascii="Times New Roman"/>
              </w:rPr>
              <w:t xml:space="preserve"> </w:t>
            </w:r>
            <w:r>
              <w:rPr>
                <w:rFonts w:ascii="Times New Roman"/>
                <w:spacing w:val="-1"/>
              </w:rPr>
              <w:t>0.55)</w:t>
            </w:r>
            <w:r>
              <w:rPr>
                <w:rFonts w:ascii="Times New Roman"/>
                <w:spacing w:val="-1"/>
                <w:position w:val="8"/>
                <w:sz w:val="14"/>
              </w:rPr>
              <w:t>b</w:t>
            </w:r>
          </w:p>
        </w:tc>
      </w:tr>
      <w:tr w:rsidR="00F72327" w:rsidTr="00F72327">
        <w:trPr>
          <w:trHeight w:hRule="exact" w:val="26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282"/>
              <w:rPr>
                <w:rFonts w:ascii="Times New Roman" w:eastAsia="Times New Roman" w:hAnsi="Times New Roman" w:cs="Times New Roman"/>
              </w:rPr>
            </w:pPr>
            <w:r>
              <w:rPr>
                <w:rFonts w:ascii="Times New Roman"/>
                <w:spacing w:val="-1"/>
              </w:rPr>
              <w:t>p-value</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2"/>
              <w:jc w:val="center"/>
              <w:rPr>
                <w:rFonts w:ascii="Times New Roman" w:eastAsia="Times New Roman" w:hAnsi="Times New Roman" w:cs="Times New Roman"/>
                <w:sz w:val="14"/>
                <w:szCs w:val="14"/>
              </w:rPr>
            </w:pPr>
            <w:r>
              <w:rPr>
                <w:rFonts w:ascii="Times New Roman"/>
              </w:rPr>
              <w:t>&lt;</w:t>
            </w:r>
            <w:r>
              <w:rPr>
                <w:rFonts w:ascii="Times New Roman"/>
                <w:spacing w:val="-1"/>
              </w:rPr>
              <w:t xml:space="preserve"> 0.0001</w:t>
            </w:r>
            <w:r>
              <w:rPr>
                <w:rFonts w:ascii="Times New Roman"/>
                <w:spacing w:val="-1"/>
                <w:position w:val="8"/>
                <w:sz w:val="14"/>
              </w:rPr>
              <w:t>c</w:t>
            </w:r>
          </w:p>
        </w:tc>
      </w:tr>
      <w:tr w:rsidR="00F72327" w:rsidTr="00F72327">
        <w:trPr>
          <w:trHeight w:hRule="exact" w:val="87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102"/>
              <w:rPr>
                <w:rFonts w:ascii="Times New Roman" w:eastAsia="Times New Roman" w:hAnsi="Times New Roman" w:cs="Times New Roman"/>
              </w:rPr>
            </w:pPr>
            <w:r>
              <w:rPr>
                <w:rFonts w:ascii="Times New Roman"/>
                <w:b/>
                <w:spacing w:val="-1"/>
              </w:rPr>
              <w:t>Objective</w:t>
            </w:r>
            <w:r>
              <w:rPr>
                <w:rFonts w:ascii="Times New Roman"/>
                <w:b/>
                <w:spacing w:val="-3"/>
              </w:rPr>
              <w:t xml:space="preserve"> </w:t>
            </w:r>
            <w:r>
              <w:rPr>
                <w:rFonts w:ascii="Times New Roman"/>
                <w:b/>
                <w:spacing w:val="-1"/>
              </w:rPr>
              <w:t>response</w:t>
            </w:r>
            <w:r>
              <w:rPr>
                <w:rFonts w:ascii="Times New Roman"/>
                <w:b/>
                <w:spacing w:val="-1"/>
                <w:position w:val="8"/>
                <w:sz w:val="14"/>
              </w:rPr>
              <w:t>d</w:t>
            </w:r>
            <w:r>
              <w:rPr>
                <w:rFonts w:ascii="Times New Roman"/>
                <w:b/>
                <w:spacing w:val="19"/>
                <w:position w:val="8"/>
                <w:sz w:val="14"/>
              </w:rPr>
              <w:t xml:space="preserve"> </w:t>
            </w:r>
            <w:r>
              <w:rPr>
                <w:rFonts w:ascii="Times New Roman"/>
                <w:b/>
                <w:spacing w:val="-1"/>
              </w:rPr>
              <w:t>(CR</w:t>
            </w:r>
            <w:r>
              <w:rPr>
                <w:rFonts w:ascii="Times New Roman"/>
                <w:b/>
                <w:spacing w:val="-3"/>
              </w:rPr>
              <w:t xml:space="preserve"> </w:t>
            </w:r>
            <w:r>
              <w:rPr>
                <w:rFonts w:ascii="Times New Roman"/>
                <w:b/>
                <w:spacing w:val="-1"/>
              </w:rPr>
              <w:t>+PR),</w:t>
            </w:r>
            <w:r>
              <w:rPr>
                <w:rFonts w:ascii="Times New Roman"/>
                <w:b/>
              </w:rPr>
              <w:t xml:space="preserve"> n</w:t>
            </w:r>
            <w:r>
              <w:rPr>
                <w:rFonts w:ascii="Times New Roman"/>
                <w:b/>
                <w:spacing w:val="-3"/>
              </w:rPr>
              <w:t xml:space="preserve"> </w:t>
            </w:r>
            <w:r>
              <w:rPr>
                <w:rFonts w:ascii="Times New Roman"/>
                <w:b/>
                <w:spacing w:val="-1"/>
              </w:rPr>
              <w:t>(%)</w:t>
            </w:r>
          </w:p>
          <w:p w:rsidR="00F72327" w:rsidRDefault="00F72327" w:rsidP="00F72327">
            <w:pPr>
              <w:pStyle w:val="TableParagraph"/>
              <w:tabs>
                <w:tab w:val="left" w:pos="1542"/>
              </w:tabs>
              <w:spacing w:line="251" w:lineRule="exact"/>
              <w:ind w:left="263"/>
              <w:rPr>
                <w:rFonts w:ascii="Times New Roman" w:eastAsia="Times New Roman" w:hAnsi="Times New Roman" w:cs="Times New Roman"/>
              </w:rPr>
            </w:pPr>
            <w:r>
              <w:rPr>
                <w:rFonts w:ascii="Times New Roman"/>
                <w:spacing w:val="-2"/>
              </w:rPr>
              <w:t>(IRC,</w:t>
            </w:r>
            <w:r>
              <w:rPr>
                <w:rFonts w:ascii="Times New Roman"/>
                <w:spacing w:val="-1"/>
              </w:rPr>
              <w:t xml:space="preserve"> </w:t>
            </w:r>
            <w:r>
              <w:rPr>
                <w:rFonts w:ascii="Times New Roman"/>
              </w:rPr>
              <w:t>2007</w:t>
            </w:r>
            <w:r>
              <w:rPr>
                <w:rFonts w:ascii="Times New Roman"/>
              </w:rPr>
              <w:tab/>
            </w:r>
            <w:r>
              <w:rPr>
                <w:rFonts w:ascii="Times New Roman"/>
                <w:spacing w:val="-1"/>
              </w:rPr>
              <w:t>IWGRC)</w:t>
            </w:r>
          </w:p>
          <w:p w:rsidR="00F72327" w:rsidRDefault="00F72327" w:rsidP="00F72327">
            <w:pPr>
              <w:pStyle w:val="TableParagraph"/>
              <w:spacing w:line="256" w:lineRule="exact"/>
              <w:ind w:left="262"/>
              <w:rPr>
                <w:rFonts w:ascii="Times New Roman" w:eastAsia="Times New Roman" w:hAnsi="Times New Roman" w:cs="Times New Roman"/>
                <w:sz w:val="14"/>
                <w:szCs w:val="14"/>
              </w:rPr>
            </w:pPr>
            <w:r>
              <w:rPr>
                <w:rFonts w:ascii="Times New Roman"/>
              </w:rPr>
              <w:t>95</w:t>
            </w:r>
            <w:r>
              <w:rPr>
                <w:rFonts w:ascii="Times New Roman"/>
                <w:spacing w:val="-1"/>
              </w:rPr>
              <w:t xml:space="preserve"> </w:t>
            </w:r>
            <w:r>
              <w:rPr>
                <w:rFonts w:ascii="Times New Roman"/>
              </w:rPr>
              <w:t>%</w:t>
            </w:r>
            <w:r>
              <w:rPr>
                <w:rFonts w:ascii="Times New Roman"/>
                <w:spacing w:val="1"/>
              </w:rPr>
              <w:t xml:space="preserve"> </w:t>
            </w:r>
            <w:r>
              <w:rPr>
                <w:rFonts w:ascii="Times New Roman"/>
                <w:spacing w:val="-2"/>
              </w:rPr>
              <w:t>CI</w:t>
            </w:r>
            <w:r>
              <w:rPr>
                <w:rFonts w:ascii="Times New Roman"/>
                <w:b/>
                <w:spacing w:val="-2"/>
                <w:position w:val="8"/>
                <w:sz w:val="14"/>
              </w:rPr>
              <w:t>f</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75"/>
              <w:jc w:val="center"/>
              <w:rPr>
                <w:rFonts w:ascii="Times New Roman" w:eastAsia="Times New Roman" w:hAnsi="Times New Roman" w:cs="Times New Roman"/>
              </w:rPr>
            </w:pPr>
            <w:r>
              <w:rPr>
                <w:rFonts w:ascii="Times New Roman"/>
              </w:rPr>
              <w:t xml:space="preserve">118 </w:t>
            </w:r>
            <w:r>
              <w:rPr>
                <w:rFonts w:ascii="Times New Roman"/>
                <w:spacing w:val="-1"/>
              </w:rPr>
              <w:t>(80.3)</w:t>
            </w:r>
          </w:p>
          <w:p w:rsidR="00F72327" w:rsidRDefault="00F72327" w:rsidP="00F72327">
            <w:pPr>
              <w:pStyle w:val="TableParagraph"/>
              <w:spacing w:before="1"/>
              <w:jc w:val="center"/>
              <w:rPr>
                <w:rFonts w:ascii="Times New Roman" w:eastAsia="Times New Roman" w:hAnsi="Times New Roman" w:cs="Times New Roman"/>
              </w:rPr>
            </w:pPr>
            <w:r>
              <w:rPr>
                <w:rFonts w:ascii="Times New Roman"/>
              </w:rPr>
              <w:t xml:space="preserve">(72.9, </w:t>
            </w:r>
            <w:r>
              <w:rPr>
                <w:rFonts w:ascii="Times New Roman"/>
                <w:spacing w:val="-1"/>
              </w:rPr>
              <w:t>86.4)</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75"/>
              <w:ind w:left="1"/>
              <w:jc w:val="center"/>
              <w:rPr>
                <w:rFonts w:ascii="Times New Roman" w:eastAsia="Times New Roman" w:hAnsi="Times New Roman" w:cs="Times New Roman"/>
              </w:rPr>
            </w:pPr>
            <w:r>
              <w:rPr>
                <w:rFonts w:ascii="Times New Roman"/>
              </w:rPr>
              <w:t xml:space="preserve">82 </w:t>
            </w:r>
            <w:r>
              <w:rPr>
                <w:rFonts w:ascii="Times New Roman"/>
                <w:spacing w:val="-1"/>
              </w:rPr>
              <w:t>(55.4)</w:t>
            </w:r>
          </w:p>
          <w:p w:rsidR="00F72327" w:rsidRDefault="00F72327" w:rsidP="00F72327">
            <w:pPr>
              <w:pStyle w:val="TableParagraph"/>
              <w:spacing w:before="1"/>
              <w:ind w:left="1"/>
              <w:jc w:val="center"/>
              <w:rPr>
                <w:rFonts w:ascii="Times New Roman" w:eastAsia="Times New Roman" w:hAnsi="Times New Roman" w:cs="Times New Roman"/>
              </w:rPr>
            </w:pPr>
            <w:r>
              <w:rPr>
                <w:rFonts w:ascii="Times New Roman"/>
              </w:rPr>
              <w:t xml:space="preserve">(47.0, </w:t>
            </w:r>
            <w:r>
              <w:rPr>
                <w:rFonts w:ascii="Times New Roman"/>
                <w:spacing w:val="-1"/>
              </w:rPr>
              <w:t>63.6)</w:t>
            </w:r>
          </w:p>
        </w:tc>
      </w:tr>
      <w:tr w:rsidR="00F72327" w:rsidTr="00F72327">
        <w:trPr>
          <w:trHeight w:hRule="exact" w:val="267"/>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b/>
                <w:spacing w:val="-1"/>
              </w:rPr>
              <w:t>Complete</w:t>
            </w:r>
            <w:r>
              <w:rPr>
                <w:rFonts w:ascii="Times New Roman"/>
                <w:b/>
                <w:spacing w:val="-3"/>
              </w:rPr>
              <w:t xml:space="preserve"> </w:t>
            </w:r>
            <w:r>
              <w:rPr>
                <w:rFonts w:ascii="Times New Roman"/>
                <w:b/>
                <w:spacing w:val="-1"/>
              </w:rPr>
              <w:t>response</w:t>
            </w:r>
            <w:r>
              <w:rPr>
                <w:rFonts w:ascii="Times New Roman"/>
                <w:b/>
                <w:spacing w:val="-1"/>
                <w:position w:val="8"/>
                <w:sz w:val="14"/>
              </w:rPr>
              <w:t>d</w:t>
            </w:r>
            <w:r>
              <w:rPr>
                <w:rFonts w:ascii="Times New Roman"/>
                <w:b/>
                <w:spacing w:val="-1"/>
              </w:rPr>
              <w:t>,</w:t>
            </w:r>
            <w:r>
              <w:rPr>
                <w:rFonts w:ascii="Times New Roman"/>
                <w:b/>
              </w:rPr>
              <w:t xml:space="preserve"> n</w:t>
            </w:r>
            <w:r>
              <w:rPr>
                <w:rFonts w:ascii="Times New Roman"/>
                <w:b/>
                <w:spacing w:val="-1"/>
              </w:rPr>
              <w:t xml:space="preserve"> </w:t>
            </w:r>
            <w:r>
              <w:rPr>
                <w:rFonts w:ascii="Times New Roman"/>
                <w:b/>
                <w:spacing w:val="-2"/>
              </w:rPr>
              <w:t>(%)</w:t>
            </w:r>
          </w:p>
        </w:tc>
        <w:tc>
          <w:tcPr>
            <w:tcW w:w="3060"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before="2"/>
              <w:rPr>
                <w:rFonts w:ascii="Times New Roman" w:eastAsia="Times New Roman" w:hAnsi="Times New Roman" w:cs="Times New Roman"/>
                <w:b/>
                <w:bCs/>
                <w:sz w:val="24"/>
                <w:szCs w:val="24"/>
              </w:rPr>
            </w:pPr>
          </w:p>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 xml:space="preserve">51 </w:t>
            </w:r>
            <w:r>
              <w:rPr>
                <w:rFonts w:ascii="Times New Roman"/>
                <w:spacing w:val="-1"/>
              </w:rPr>
              <w:t>(34.7)</w:t>
            </w:r>
          </w:p>
        </w:tc>
        <w:tc>
          <w:tcPr>
            <w:tcW w:w="3096"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before="2"/>
              <w:rPr>
                <w:rFonts w:ascii="Times New Roman" w:eastAsia="Times New Roman" w:hAnsi="Times New Roman" w:cs="Times New Roman"/>
                <w:b/>
                <w:bCs/>
                <w:sz w:val="24"/>
                <w:szCs w:val="24"/>
              </w:rPr>
            </w:pPr>
          </w:p>
          <w:p w:rsidR="00F72327" w:rsidRDefault="00F72327" w:rsidP="00F72327">
            <w:pPr>
              <w:pStyle w:val="TableParagraph"/>
              <w:spacing w:line="251" w:lineRule="exact"/>
              <w:ind w:left="1"/>
              <w:jc w:val="center"/>
              <w:rPr>
                <w:rFonts w:ascii="Times New Roman" w:eastAsia="Times New Roman" w:hAnsi="Times New Roman" w:cs="Times New Roman"/>
              </w:rPr>
            </w:pPr>
            <w:r>
              <w:rPr>
                <w:rFonts w:ascii="Times New Roman"/>
              </w:rPr>
              <w:t xml:space="preserve">29 </w:t>
            </w:r>
            <w:r>
              <w:rPr>
                <w:rFonts w:ascii="Times New Roman"/>
                <w:spacing w:val="-1"/>
              </w:rPr>
              <w:t>(19.6)</w:t>
            </w:r>
          </w:p>
        </w:tc>
      </w:tr>
      <w:tr w:rsidR="00F72327" w:rsidTr="00F72327">
        <w:trPr>
          <w:trHeight w:hRule="exact" w:val="268"/>
        </w:trPr>
        <w:tc>
          <w:tcPr>
            <w:tcW w:w="3717" w:type="dxa"/>
            <w:tcBorders>
              <w:top w:val="nil"/>
              <w:left w:val="single" w:sz="5" w:space="0" w:color="000000"/>
              <w:bottom w:val="nil"/>
              <w:right w:val="single" w:sz="5" w:space="0" w:color="000000"/>
            </w:tcBorders>
          </w:tcPr>
          <w:p w:rsidR="00F72327" w:rsidRDefault="00F72327" w:rsidP="00F72327">
            <w:pPr>
              <w:pStyle w:val="TableParagraph"/>
              <w:spacing w:line="241" w:lineRule="exact"/>
              <w:ind w:left="258"/>
              <w:rPr>
                <w:rFonts w:ascii="Times New Roman" w:eastAsia="Times New Roman" w:hAnsi="Times New Roman" w:cs="Times New Roman"/>
              </w:rPr>
            </w:pPr>
            <w:r>
              <w:rPr>
                <w:rFonts w:ascii="Times New Roman"/>
                <w:spacing w:val="-1"/>
                <w:u w:val="single" w:color="000000"/>
              </w:rPr>
              <w:t>(IRC,</w:t>
            </w:r>
            <w:r>
              <w:rPr>
                <w:rFonts w:ascii="Times New Roman"/>
                <w:u w:val="single" w:color="000000"/>
              </w:rPr>
              <w:t xml:space="preserve"> 2007</w:t>
            </w:r>
          </w:p>
        </w:tc>
        <w:tc>
          <w:tcPr>
            <w:tcW w:w="3060" w:type="dxa"/>
            <w:vMerge/>
            <w:tcBorders>
              <w:left w:val="single" w:sz="5" w:space="0" w:color="000000"/>
              <w:bottom w:val="nil"/>
              <w:right w:val="single" w:sz="5" w:space="0" w:color="000000"/>
            </w:tcBorders>
          </w:tcPr>
          <w:p w:rsidR="00F72327" w:rsidRDefault="00F72327" w:rsidP="00F72327"/>
        </w:tc>
        <w:tc>
          <w:tcPr>
            <w:tcW w:w="3096" w:type="dxa"/>
            <w:vMerge/>
            <w:tcBorders>
              <w:left w:val="single" w:sz="5" w:space="0" w:color="000000"/>
              <w:bottom w:val="nil"/>
              <w:right w:val="single" w:sz="5" w:space="0" w:color="000000"/>
            </w:tcBorders>
          </w:tcPr>
          <w:p w:rsidR="00F72327" w:rsidRDefault="00F72327" w:rsidP="00F72327"/>
        </w:tc>
      </w:tr>
      <w:tr w:rsidR="00F72327" w:rsidTr="00F72327">
        <w:trPr>
          <w:trHeight w:hRule="exact" w:val="246"/>
        </w:trPr>
        <w:tc>
          <w:tcPr>
            <w:tcW w:w="3717" w:type="dxa"/>
            <w:tcBorders>
              <w:top w:val="nil"/>
              <w:left w:val="single" w:sz="5" w:space="0" w:color="000000"/>
              <w:bottom w:val="nil"/>
              <w:right w:val="single" w:sz="5" w:space="0" w:color="000000"/>
            </w:tcBorders>
          </w:tcPr>
          <w:p w:rsidR="00F72327" w:rsidRDefault="00F72327" w:rsidP="00F72327">
            <w:pPr>
              <w:pStyle w:val="TableParagraph"/>
              <w:spacing w:line="228" w:lineRule="exact"/>
              <w:ind w:left="258"/>
              <w:rPr>
                <w:rFonts w:ascii="Times New Roman" w:eastAsia="Times New Roman" w:hAnsi="Times New Roman" w:cs="Times New Roman"/>
              </w:rPr>
            </w:pPr>
            <w:r>
              <w:rPr>
                <w:rFonts w:ascii="Times New Roman"/>
                <w:spacing w:val="-1"/>
                <w:u w:val="single" w:color="000000"/>
              </w:rPr>
              <w:t>IWGRC)</w:t>
            </w:r>
          </w:p>
        </w:tc>
        <w:tc>
          <w:tcPr>
            <w:tcW w:w="3060" w:type="dxa"/>
            <w:vMerge w:val="restart"/>
            <w:tcBorders>
              <w:top w:val="nil"/>
              <w:left w:val="single" w:sz="5" w:space="0" w:color="000000"/>
              <w:right w:val="single" w:sz="5" w:space="0" w:color="000000"/>
            </w:tcBorders>
          </w:tcPr>
          <w:p w:rsidR="00F72327" w:rsidRDefault="00F72327" w:rsidP="00F72327">
            <w:pPr>
              <w:pStyle w:val="TableParagraph"/>
              <w:spacing w:before="3"/>
              <w:ind w:left="1009"/>
              <w:rPr>
                <w:rFonts w:ascii="Times New Roman" w:eastAsia="Times New Roman" w:hAnsi="Times New Roman" w:cs="Times New Roman"/>
              </w:rPr>
            </w:pPr>
            <w:r>
              <w:rPr>
                <w:rFonts w:ascii="Times New Roman"/>
              </w:rPr>
              <w:t xml:space="preserve">(27.0, </w:t>
            </w:r>
            <w:r>
              <w:rPr>
                <w:rFonts w:ascii="Times New Roman"/>
                <w:spacing w:val="-1"/>
              </w:rPr>
              <w:t>43.0)</w:t>
            </w:r>
          </w:p>
        </w:tc>
        <w:tc>
          <w:tcPr>
            <w:tcW w:w="3096" w:type="dxa"/>
            <w:vMerge w:val="restart"/>
            <w:tcBorders>
              <w:top w:val="nil"/>
              <w:left w:val="single" w:sz="5" w:space="0" w:color="000000"/>
              <w:right w:val="single" w:sz="5" w:space="0" w:color="000000"/>
            </w:tcBorders>
          </w:tcPr>
          <w:p w:rsidR="00F72327" w:rsidRDefault="00F72327" w:rsidP="00F72327">
            <w:pPr>
              <w:pStyle w:val="TableParagraph"/>
              <w:spacing w:before="3"/>
              <w:ind w:left="1028"/>
              <w:rPr>
                <w:rFonts w:ascii="Times New Roman" w:eastAsia="Times New Roman" w:hAnsi="Times New Roman" w:cs="Times New Roman"/>
              </w:rPr>
            </w:pPr>
            <w:r>
              <w:rPr>
                <w:rFonts w:ascii="Times New Roman"/>
              </w:rPr>
              <w:t xml:space="preserve">(13.5, </w:t>
            </w:r>
            <w:r>
              <w:rPr>
                <w:rFonts w:ascii="Times New Roman"/>
                <w:spacing w:val="-1"/>
              </w:rPr>
              <w:t>26.9)</w:t>
            </w:r>
          </w:p>
        </w:tc>
      </w:tr>
      <w:tr w:rsidR="00F72327" w:rsidTr="00F72327">
        <w:trPr>
          <w:trHeight w:hRule="exact" w:val="299"/>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33" w:lineRule="exact"/>
              <w:ind w:left="258"/>
              <w:rPr>
                <w:rFonts w:ascii="Times New Roman" w:eastAsia="Times New Roman" w:hAnsi="Times New Roman" w:cs="Times New Roman"/>
                <w:sz w:val="14"/>
                <w:szCs w:val="14"/>
              </w:rPr>
            </w:pPr>
            <w:r>
              <w:rPr>
                <w:rFonts w:ascii="Times New Roman"/>
              </w:rPr>
              <w:t>95</w:t>
            </w:r>
            <w:r>
              <w:rPr>
                <w:rFonts w:ascii="Times New Roman"/>
                <w:spacing w:val="-1"/>
              </w:rPr>
              <w:t xml:space="preserve"> </w:t>
            </w:r>
            <w:r>
              <w:rPr>
                <w:rFonts w:ascii="Times New Roman"/>
              </w:rPr>
              <w:t>%</w:t>
            </w:r>
            <w:r>
              <w:rPr>
                <w:rFonts w:ascii="Times New Roman"/>
                <w:spacing w:val="1"/>
              </w:rPr>
              <w:t xml:space="preserve"> </w:t>
            </w:r>
            <w:r>
              <w:rPr>
                <w:rFonts w:ascii="Times New Roman"/>
                <w:spacing w:val="-2"/>
              </w:rPr>
              <w:t>CI</w:t>
            </w:r>
            <w:r>
              <w:rPr>
                <w:rFonts w:ascii="Times New Roman"/>
                <w:b/>
                <w:spacing w:val="-2"/>
                <w:position w:val="8"/>
                <w:sz w:val="14"/>
              </w:rPr>
              <w:t>f</w:t>
            </w:r>
          </w:p>
        </w:tc>
        <w:tc>
          <w:tcPr>
            <w:tcW w:w="3060" w:type="dxa"/>
            <w:vMerge/>
            <w:tcBorders>
              <w:left w:val="single" w:sz="5" w:space="0" w:color="000000"/>
              <w:bottom w:val="single" w:sz="5" w:space="0" w:color="000000"/>
              <w:right w:val="single" w:sz="5" w:space="0" w:color="000000"/>
            </w:tcBorders>
          </w:tcPr>
          <w:p w:rsidR="00F72327" w:rsidRDefault="00F72327" w:rsidP="00F72327"/>
        </w:tc>
        <w:tc>
          <w:tcPr>
            <w:tcW w:w="3096" w:type="dxa"/>
            <w:vMerge/>
            <w:tcBorders>
              <w:left w:val="single" w:sz="5" w:space="0" w:color="000000"/>
              <w:bottom w:val="single" w:sz="5" w:space="0" w:color="000000"/>
              <w:right w:val="single" w:sz="5" w:space="0" w:color="000000"/>
            </w:tcBorders>
          </w:tcPr>
          <w:p w:rsidR="00F72327" w:rsidRDefault="00F72327" w:rsidP="00F72327"/>
        </w:tc>
      </w:tr>
      <w:tr w:rsidR="00F72327" w:rsidTr="00F72327">
        <w:trPr>
          <w:trHeight w:hRule="exact" w:val="835"/>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 w:line="252" w:lineRule="exact"/>
              <w:ind w:left="102" w:right="655"/>
              <w:rPr>
                <w:rFonts w:ascii="Times New Roman" w:eastAsia="Times New Roman" w:hAnsi="Times New Roman" w:cs="Times New Roman"/>
              </w:rPr>
            </w:pPr>
            <w:r>
              <w:rPr>
                <w:rFonts w:ascii="Times New Roman"/>
                <w:b/>
                <w:spacing w:val="-1"/>
              </w:rPr>
              <w:t>Duration</w:t>
            </w:r>
            <w:r>
              <w:rPr>
                <w:rFonts w:ascii="Times New Roman"/>
                <w:b/>
                <w:spacing w:val="-4"/>
              </w:rPr>
              <w:t xml:space="preserve"> </w:t>
            </w:r>
            <w:r>
              <w:rPr>
                <w:rFonts w:ascii="Times New Roman"/>
                <w:b/>
                <w:spacing w:val="-2"/>
              </w:rPr>
              <w:t>of</w:t>
            </w:r>
            <w:r>
              <w:rPr>
                <w:rFonts w:ascii="Times New Roman"/>
                <w:b/>
                <w:spacing w:val="1"/>
              </w:rPr>
              <w:t xml:space="preserve"> </w:t>
            </w:r>
            <w:r>
              <w:rPr>
                <w:rFonts w:ascii="Times New Roman"/>
                <w:b/>
                <w:spacing w:val="-1"/>
              </w:rPr>
              <w:t>response</w:t>
            </w:r>
            <w:r>
              <w:rPr>
                <w:rFonts w:ascii="Times New Roman"/>
                <w:b/>
                <w:spacing w:val="-1"/>
                <w:position w:val="8"/>
                <w:sz w:val="14"/>
              </w:rPr>
              <w:t>d</w:t>
            </w:r>
            <w:r>
              <w:rPr>
                <w:rFonts w:ascii="Times New Roman"/>
                <w:b/>
                <w:spacing w:val="19"/>
                <w:position w:val="8"/>
                <w:sz w:val="14"/>
              </w:rPr>
              <w:t xml:space="preserve"> </w:t>
            </w:r>
            <w:r>
              <w:rPr>
                <w:rFonts w:ascii="Times New Roman"/>
                <w:b/>
                <w:spacing w:val="-1"/>
              </w:rPr>
              <w:t>(median)</w:t>
            </w:r>
            <w:r>
              <w:rPr>
                <w:rFonts w:ascii="Times New Roman"/>
                <w:b/>
                <w:spacing w:val="35"/>
              </w:rPr>
              <w:t xml:space="preserve"> </w:t>
            </w:r>
            <w:r>
              <w:rPr>
                <w:rFonts w:ascii="Times New Roman"/>
                <w:b/>
                <w:spacing w:val="-1"/>
              </w:rPr>
              <w:t>(months)</w:t>
            </w:r>
          </w:p>
          <w:p w:rsidR="00F72327" w:rsidRDefault="00F72327" w:rsidP="00F72327">
            <w:pPr>
              <w:pStyle w:val="TableParagraph"/>
              <w:spacing w:line="252" w:lineRule="exact"/>
              <w:ind w:left="262"/>
              <w:rPr>
                <w:rFonts w:ascii="Times New Roman" w:eastAsia="Times New Roman" w:hAnsi="Times New Roman" w:cs="Times New Roman"/>
                <w:sz w:val="14"/>
                <w:szCs w:val="14"/>
              </w:rPr>
            </w:pPr>
            <w:r>
              <w:rPr>
                <w:rFonts w:ascii="Times New Roman"/>
              </w:rPr>
              <w:t xml:space="preserve">95% </w:t>
            </w:r>
            <w:r>
              <w:rPr>
                <w:rFonts w:ascii="Times New Roman"/>
                <w:spacing w:val="-1"/>
              </w:rPr>
              <w:t>CI</w:t>
            </w:r>
            <w:r>
              <w:rPr>
                <w:rFonts w:ascii="Times New Roman"/>
                <w:spacing w:val="-4"/>
              </w:rPr>
              <w:t xml:space="preserve"> </w:t>
            </w:r>
            <w:r>
              <w:rPr>
                <w:rFonts w:ascii="Times New Roman"/>
                <w:position w:val="8"/>
                <w:sz w:val="14"/>
              </w:rPr>
              <w:t>a</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58" w:line="253" w:lineRule="exact"/>
              <w:ind w:right="2"/>
              <w:jc w:val="center"/>
              <w:rPr>
                <w:rFonts w:ascii="Times New Roman" w:eastAsia="Times New Roman" w:hAnsi="Times New Roman" w:cs="Times New Roman"/>
              </w:rPr>
            </w:pPr>
            <w:r>
              <w:rPr>
                <w:rFonts w:ascii="Times New Roman"/>
              </w:rPr>
              <w:t>36.6</w:t>
            </w:r>
          </w:p>
          <w:p w:rsidR="00F72327" w:rsidRDefault="00F72327" w:rsidP="00F72327">
            <w:pPr>
              <w:pStyle w:val="TableParagraph"/>
              <w:spacing w:line="253" w:lineRule="exact"/>
              <w:jc w:val="center"/>
              <w:rPr>
                <w:rFonts w:ascii="Times New Roman" w:eastAsia="Times New Roman" w:hAnsi="Times New Roman" w:cs="Times New Roman"/>
              </w:rPr>
            </w:pPr>
            <w:r>
              <w:rPr>
                <w:rFonts w:ascii="Times New Roman"/>
              </w:rPr>
              <w:t xml:space="preserve">(24.9, </w:t>
            </w:r>
            <w:r>
              <w:rPr>
                <w:rFonts w:ascii="Times New Roman"/>
                <w:spacing w:val="-1"/>
              </w:rPr>
              <w:t>NE)</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58" w:line="253" w:lineRule="exact"/>
              <w:ind w:left="2"/>
              <w:jc w:val="center"/>
              <w:rPr>
                <w:rFonts w:ascii="Times New Roman" w:eastAsia="Times New Roman" w:hAnsi="Times New Roman" w:cs="Times New Roman"/>
              </w:rPr>
            </w:pPr>
            <w:r>
              <w:rPr>
                <w:rFonts w:ascii="Times New Roman"/>
              </w:rPr>
              <w:t>15.5</w:t>
            </w:r>
          </w:p>
          <w:p w:rsidR="00F72327" w:rsidRDefault="00F72327" w:rsidP="00F72327">
            <w:pPr>
              <w:pStyle w:val="TableParagraph"/>
              <w:spacing w:line="253" w:lineRule="exact"/>
              <w:ind w:left="1"/>
              <w:jc w:val="center"/>
              <w:rPr>
                <w:rFonts w:ascii="Times New Roman" w:eastAsia="Times New Roman" w:hAnsi="Times New Roman" w:cs="Times New Roman"/>
              </w:rPr>
            </w:pPr>
            <w:r>
              <w:rPr>
                <w:rFonts w:ascii="Times New Roman"/>
              </w:rPr>
              <w:t xml:space="preserve">(11.2, </w:t>
            </w:r>
            <w:r>
              <w:rPr>
                <w:rFonts w:ascii="Times New Roman"/>
                <w:spacing w:val="-1"/>
              </w:rPr>
              <w:t>25.0)</w:t>
            </w:r>
          </w:p>
        </w:tc>
      </w:tr>
      <w:tr w:rsidR="00F72327" w:rsidTr="00F72327">
        <w:trPr>
          <w:trHeight w:hRule="exact" w:val="264"/>
        </w:trPr>
        <w:tc>
          <w:tcPr>
            <w:tcW w:w="9874"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b/>
                <w:spacing w:val="-1"/>
              </w:rPr>
              <w:t>Overall</w:t>
            </w:r>
            <w:r>
              <w:rPr>
                <w:rFonts w:ascii="Times New Roman"/>
                <w:b/>
              </w:rPr>
              <w:t xml:space="preserve"> </w:t>
            </w:r>
            <w:r>
              <w:rPr>
                <w:rFonts w:ascii="Times New Roman"/>
                <w:b/>
                <w:spacing w:val="-1"/>
              </w:rPr>
              <w:t>Survival</w:t>
            </w:r>
            <w:r>
              <w:rPr>
                <w:rFonts w:ascii="Times New Roman"/>
                <w:b/>
                <w:spacing w:val="-1"/>
                <w:position w:val="8"/>
                <w:sz w:val="14"/>
              </w:rPr>
              <w:t>d,e</w:t>
            </w:r>
            <w:r>
              <w:rPr>
                <w:rFonts w:ascii="Times New Roman"/>
                <w:b/>
                <w:spacing w:val="20"/>
                <w:position w:val="8"/>
                <w:sz w:val="14"/>
              </w:rPr>
              <w:t xml:space="preserve"> </w:t>
            </w:r>
            <w:r>
              <w:rPr>
                <w:rFonts w:ascii="Times New Roman"/>
                <w:b/>
                <w:spacing w:val="-1"/>
              </w:rPr>
              <w:t>(OS)</w:t>
            </w:r>
          </w:p>
        </w:tc>
      </w:tr>
      <w:tr w:rsidR="00F72327" w:rsidTr="00F72327">
        <w:trPr>
          <w:trHeight w:hRule="exact" w:val="268"/>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spacing w:val="-1"/>
              </w:rPr>
              <w:t>OS rate</w:t>
            </w:r>
            <w:r>
              <w:rPr>
                <w:rFonts w:ascii="Times New Roman"/>
              </w:rPr>
              <w:t xml:space="preserve"> at</w:t>
            </w:r>
            <w:r>
              <w:rPr>
                <w:rFonts w:ascii="Times New Roman"/>
                <w:spacing w:val="-2"/>
              </w:rPr>
              <w:t xml:space="preserve"> </w:t>
            </w:r>
            <w:r>
              <w:rPr>
                <w:rFonts w:ascii="Times New Roman"/>
              </w:rPr>
              <w:t xml:space="preserve">2 </w:t>
            </w:r>
            <w:r>
              <w:rPr>
                <w:rFonts w:ascii="Times New Roman"/>
                <w:spacing w:val="-1"/>
              </w:rPr>
              <w:t>years</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 xml:space="preserve">139 </w:t>
            </w:r>
            <w:r>
              <w:rPr>
                <w:rFonts w:ascii="Times New Roman"/>
                <w:spacing w:val="-1"/>
              </w:rPr>
              <w:t>(94.8)</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2"/>
              <w:jc w:val="center"/>
              <w:rPr>
                <w:rFonts w:ascii="Times New Roman" w:eastAsia="Times New Roman" w:hAnsi="Times New Roman" w:cs="Times New Roman"/>
              </w:rPr>
            </w:pPr>
            <w:r>
              <w:rPr>
                <w:rFonts w:ascii="Times New Roman"/>
              </w:rPr>
              <w:t xml:space="preserve">127 </w:t>
            </w:r>
            <w:r>
              <w:rPr>
                <w:rFonts w:ascii="Times New Roman"/>
                <w:spacing w:val="-1"/>
              </w:rPr>
              <w:t>(85.8)</w:t>
            </w:r>
          </w:p>
        </w:tc>
      </w:tr>
      <w:tr w:rsidR="00F72327" w:rsidTr="00F72327">
        <w:trPr>
          <w:trHeight w:hRule="exact" w:val="248"/>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
              <w:rPr>
                <w:rFonts w:ascii="Times New Roman" w:eastAsia="Times New Roman" w:hAnsi="Times New Roman" w:cs="Times New Roman"/>
              </w:rPr>
            </w:pPr>
            <w:r>
              <w:rPr>
                <w:rFonts w:ascii="Times New Roman"/>
              </w:rPr>
              <w:t>%</w:t>
            </w:r>
          </w:p>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09"/>
              <w:rPr>
                <w:rFonts w:ascii="Times New Roman" w:eastAsia="Times New Roman" w:hAnsi="Times New Roman" w:cs="Times New Roman"/>
              </w:rPr>
            </w:pPr>
            <w:r>
              <w:rPr>
                <w:rFonts w:ascii="Times New Roman"/>
              </w:rPr>
              <w:t xml:space="preserve">(89.5, </w:t>
            </w:r>
            <w:r>
              <w:rPr>
                <w:rFonts w:ascii="Times New Roman"/>
                <w:spacing w:val="-1"/>
              </w:rPr>
              <w:t>97.5)</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8"/>
              <w:rPr>
                <w:rFonts w:ascii="Times New Roman" w:eastAsia="Times New Roman" w:hAnsi="Times New Roman" w:cs="Times New Roman"/>
              </w:rPr>
            </w:pPr>
            <w:r>
              <w:rPr>
                <w:rFonts w:ascii="Times New Roman"/>
                <w:spacing w:val="-1"/>
              </w:rPr>
              <w:t>(78.5,</w:t>
            </w:r>
            <w:r>
              <w:rPr>
                <w:rFonts w:ascii="Times New Roman"/>
              </w:rPr>
              <w:t xml:space="preserve"> </w:t>
            </w:r>
            <w:r>
              <w:rPr>
                <w:rFonts w:ascii="Times New Roman"/>
                <w:spacing w:val="-1"/>
              </w:rPr>
              <w:t>90.7)</w:t>
            </w:r>
          </w:p>
        </w:tc>
      </w:tr>
      <w:tr w:rsidR="00F72327" w:rsidTr="00F72327">
        <w:trPr>
          <w:trHeight w:hRule="exact" w:val="262"/>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 xml:space="preserve">HR </w:t>
            </w:r>
            <w:r>
              <w:rPr>
                <w:rFonts w:ascii="Times New Roman"/>
              </w:rPr>
              <w:t>[95%</w:t>
            </w:r>
            <w:r>
              <w:rPr>
                <w:rFonts w:ascii="Times New Roman"/>
                <w:spacing w:val="1"/>
              </w:rPr>
              <w:t xml:space="preserve"> </w:t>
            </w:r>
            <w:r>
              <w:rPr>
                <w:rFonts w:ascii="Times New Roman"/>
                <w:spacing w:val="-2"/>
              </w:rPr>
              <w:t>CI]</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jc w:val="center"/>
              <w:rPr>
                <w:rFonts w:ascii="Times New Roman" w:eastAsia="Times New Roman" w:hAnsi="Times New Roman" w:cs="Times New Roman"/>
                <w:sz w:val="14"/>
                <w:szCs w:val="14"/>
              </w:rPr>
            </w:pPr>
            <w:r>
              <w:rPr>
                <w:rFonts w:ascii="Times New Roman"/>
              </w:rPr>
              <w:t>0.45</w:t>
            </w:r>
            <w:r>
              <w:rPr>
                <w:rFonts w:ascii="Times New Roman"/>
                <w:spacing w:val="-1"/>
              </w:rPr>
              <w:t xml:space="preserve"> (0.22,</w:t>
            </w:r>
            <w:r>
              <w:rPr>
                <w:rFonts w:ascii="Times New Roman"/>
              </w:rPr>
              <w:t xml:space="preserve"> </w:t>
            </w:r>
            <w:r>
              <w:rPr>
                <w:rFonts w:ascii="Times New Roman"/>
                <w:spacing w:val="-1"/>
              </w:rPr>
              <w:t>0.92)</w:t>
            </w:r>
            <w:r>
              <w:rPr>
                <w:rFonts w:ascii="Times New Roman"/>
                <w:spacing w:val="-1"/>
                <w:position w:val="8"/>
                <w:sz w:val="14"/>
              </w:rPr>
              <w:t>b</w:t>
            </w:r>
          </w:p>
        </w:tc>
      </w:tr>
      <w:tr w:rsidR="00F72327" w:rsidTr="00F72327">
        <w:trPr>
          <w:trHeight w:hRule="exact" w:val="26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2" w:lineRule="exact"/>
              <w:ind w:left="143"/>
              <w:rPr>
                <w:rFonts w:ascii="Times New Roman" w:eastAsia="Times New Roman" w:hAnsi="Times New Roman" w:cs="Times New Roman"/>
              </w:rPr>
            </w:pPr>
            <w:r>
              <w:rPr>
                <w:rFonts w:ascii="Times New Roman"/>
                <w:b/>
                <w:spacing w:val="-1"/>
              </w:rPr>
              <w:t>Follow-up</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tc>
      </w:tr>
      <w:tr w:rsidR="00F72327" w:rsidTr="00F72327">
        <w:trPr>
          <w:trHeight w:hRule="exact" w:val="277"/>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duration</w:t>
            </w:r>
            <w:r>
              <w:rPr>
                <w:rFonts w:ascii="Times New Roman"/>
              </w:rPr>
              <w:t xml:space="preserve"> of</w:t>
            </w:r>
            <w:r>
              <w:rPr>
                <w:rFonts w:ascii="Times New Roman"/>
                <w:spacing w:val="-1"/>
              </w:rPr>
              <w:t xml:space="preserve"> follow-up</w:t>
            </w:r>
            <w:r>
              <w:rPr>
                <w:rFonts w:ascii="Times New Roman"/>
              </w:rPr>
              <w:t xml:space="preserve"> </w:t>
            </w:r>
            <w:r>
              <w:rPr>
                <w:rFonts w:ascii="Times New Roman"/>
                <w:spacing w:val="-1"/>
              </w:rPr>
              <w:t>(min,</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4"/>
              <w:jc w:val="center"/>
              <w:rPr>
                <w:rFonts w:ascii="Times New Roman" w:eastAsia="Times New Roman" w:hAnsi="Times New Roman" w:cs="Times New Roman"/>
              </w:rPr>
            </w:pPr>
            <w:r>
              <w:rPr>
                <w:rFonts w:ascii="Times New Roman"/>
              </w:rPr>
              <w:t>29.2</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4"/>
              <w:ind w:left="2"/>
              <w:jc w:val="center"/>
              <w:rPr>
                <w:rFonts w:ascii="Times New Roman" w:eastAsia="Times New Roman" w:hAnsi="Times New Roman" w:cs="Times New Roman"/>
              </w:rPr>
            </w:pPr>
            <w:r>
              <w:rPr>
                <w:rFonts w:ascii="Times New Roman"/>
              </w:rPr>
              <w:t>27.9</w:t>
            </w:r>
          </w:p>
        </w:tc>
      </w:tr>
      <w:tr w:rsidR="00F72327" w:rsidTr="00F72327">
        <w:trPr>
          <w:trHeight w:hRule="exact" w:val="273"/>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34" w:lineRule="exact"/>
              <w:ind w:left="282"/>
              <w:rPr>
                <w:rFonts w:ascii="Times New Roman" w:eastAsia="Times New Roman" w:hAnsi="Times New Roman" w:cs="Times New Roman"/>
              </w:rPr>
            </w:pPr>
            <w:r>
              <w:rPr>
                <w:rFonts w:ascii="Times New Roman"/>
                <w:spacing w:val="-1"/>
              </w:rPr>
              <w:t>max)</w:t>
            </w:r>
            <w:r>
              <w:rPr>
                <w:rFonts w:ascii="Times New Roman"/>
                <w:spacing w:val="1"/>
              </w:rPr>
              <w:t xml:space="preserve"> </w:t>
            </w:r>
            <w:r>
              <w:rPr>
                <w:rFonts w:ascii="Times New Roman"/>
                <w:spacing w:val="-1"/>
              </w:rPr>
              <w:t>(months)</w:t>
            </w:r>
          </w:p>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8" w:lineRule="exact"/>
              <w:jc w:val="center"/>
              <w:rPr>
                <w:rFonts w:ascii="Times New Roman" w:eastAsia="Times New Roman" w:hAnsi="Times New Roman" w:cs="Times New Roman"/>
              </w:rPr>
            </w:pPr>
            <w:r>
              <w:rPr>
                <w:rFonts w:ascii="Times New Roman"/>
              </w:rPr>
              <w:t xml:space="preserve">(0.5, </w:t>
            </w:r>
            <w:r>
              <w:rPr>
                <w:rFonts w:ascii="Times New Roman"/>
                <w:spacing w:val="-1"/>
              </w:rPr>
              <w:t>50.9)</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8" w:lineRule="exact"/>
              <w:ind w:left="1"/>
              <w:jc w:val="center"/>
              <w:rPr>
                <w:rFonts w:ascii="Times New Roman" w:eastAsia="Times New Roman" w:hAnsi="Times New Roman" w:cs="Times New Roman"/>
              </w:rPr>
            </w:pPr>
            <w:r>
              <w:rPr>
                <w:rFonts w:ascii="Times New Roman"/>
              </w:rPr>
              <w:t xml:space="preserve">(0.6, </w:t>
            </w:r>
            <w:r>
              <w:rPr>
                <w:rFonts w:ascii="Times New Roman"/>
                <w:spacing w:val="-1"/>
              </w:rPr>
              <w:t>50.9)</w:t>
            </w:r>
          </w:p>
        </w:tc>
      </w:tr>
    </w:tbl>
    <w:p w:rsidR="00F72327" w:rsidRDefault="00F72327" w:rsidP="00B85F0C">
      <w:pPr>
        <w:spacing w:line="181" w:lineRule="exact"/>
        <w:rPr>
          <w:rFonts w:eastAsia="Times New Roman"/>
          <w:sz w:val="16"/>
          <w:szCs w:val="16"/>
        </w:rPr>
      </w:pPr>
      <w:r>
        <w:rPr>
          <w:sz w:val="16"/>
        </w:rPr>
        <w:t>ª</w:t>
      </w:r>
      <w:r>
        <w:rPr>
          <w:spacing w:val="-1"/>
          <w:sz w:val="16"/>
        </w:rPr>
        <w:t xml:space="preserve"> Median estimate from</w:t>
      </w:r>
      <w:r>
        <w:rPr>
          <w:sz w:val="16"/>
        </w:rPr>
        <w:t xml:space="preserve"> </w:t>
      </w:r>
      <w:r>
        <w:rPr>
          <w:spacing w:val="-1"/>
          <w:sz w:val="16"/>
        </w:rPr>
        <w:t>Kaplan-Meier</w:t>
      </w:r>
      <w:r>
        <w:rPr>
          <w:sz w:val="16"/>
        </w:rPr>
        <w:t xml:space="preserve"> </w:t>
      </w:r>
      <w:r>
        <w:rPr>
          <w:spacing w:val="-1"/>
          <w:sz w:val="16"/>
        </w:rPr>
        <w:t>analysis</w:t>
      </w:r>
    </w:p>
    <w:p w:rsidR="00F72327" w:rsidRDefault="00F72327" w:rsidP="00B85F0C">
      <w:pPr>
        <w:spacing w:line="184" w:lineRule="exact"/>
        <w:rPr>
          <w:rFonts w:eastAsia="Times New Roman"/>
          <w:sz w:val="16"/>
          <w:szCs w:val="16"/>
        </w:rPr>
      </w:pPr>
      <w:r>
        <w:rPr>
          <w:position w:val="6"/>
          <w:sz w:val="10"/>
        </w:rPr>
        <w:t>b</w:t>
      </w:r>
      <w:r>
        <w:rPr>
          <w:spacing w:val="13"/>
          <w:position w:val="6"/>
          <w:sz w:val="10"/>
        </w:rPr>
        <w:t xml:space="preserve"> </w:t>
      </w:r>
      <w:r>
        <w:rPr>
          <w:spacing w:val="-1"/>
          <w:sz w:val="16"/>
        </w:rPr>
        <w:t>Hazard</w:t>
      </w:r>
      <w:r>
        <w:rPr>
          <w:spacing w:val="1"/>
          <w:sz w:val="16"/>
        </w:rPr>
        <w:t xml:space="preserve"> </w:t>
      </w:r>
      <w:r>
        <w:rPr>
          <w:spacing w:val="-1"/>
          <w:sz w:val="16"/>
        </w:rPr>
        <w:t>ratio and its</w:t>
      </w:r>
      <w:r>
        <w:rPr>
          <w:sz w:val="16"/>
        </w:rPr>
        <w:t xml:space="preserve"> </w:t>
      </w:r>
      <w:r>
        <w:rPr>
          <w:spacing w:val="-1"/>
          <w:sz w:val="16"/>
        </w:rPr>
        <w:t>confidence interval were estimated from</w:t>
      </w:r>
      <w:r>
        <w:rPr>
          <w:sz w:val="16"/>
        </w:rPr>
        <w:t xml:space="preserve"> </w:t>
      </w:r>
      <w:r>
        <w:rPr>
          <w:spacing w:val="-1"/>
          <w:sz w:val="16"/>
        </w:rPr>
        <w:t>unstratified Cox proportional</w:t>
      </w:r>
      <w:r>
        <w:rPr>
          <w:spacing w:val="-4"/>
          <w:sz w:val="16"/>
        </w:rPr>
        <w:t xml:space="preserve"> </w:t>
      </w:r>
      <w:r>
        <w:rPr>
          <w:spacing w:val="-1"/>
          <w:sz w:val="16"/>
        </w:rPr>
        <w:t>hazard model.</w:t>
      </w:r>
    </w:p>
    <w:p w:rsidR="00F72327" w:rsidRDefault="00F72327" w:rsidP="00B85F0C">
      <w:pPr>
        <w:spacing w:line="186" w:lineRule="exact"/>
        <w:rPr>
          <w:rFonts w:eastAsia="Times New Roman"/>
          <w:sz w:val="16"/>
          <w:szCs w:val="16"/>
        </w:rPr>
      </w:pPr>
      <w:r>
        <w:rPr>
          <w:position w:val="6"/>
          <w:sz w:val="10"/>
        </w:rPr>
        <w:t>c</w:t>
      </w:r>
      <w:r>
        <w:rPr>
          <w:spacing w:val="14"/>
          <w:position w:val="6"/>
          <w:sz w:val="10"/>
        </w:rPr>
        <w:t xml:space="preserve"> </w:t>
      </w:r>
      <w:r>
        <w:rPr>
          <w:spacing w:val="-1"/>
          <w:sz w:val="16"/>
        </w:rPr>
        <w:t>P-value</w:t>
      </w:r>
      <w:r>
        <w:rPr>
          <w:spacing w:val="-2"/>
          <w:sz w:val="16"/>
        </w:rPr>
        <w:t xml:space="preserve"> </w:t>
      </w:r>
      <w:r>
        <w:rPr>
          <w:spacing w:val="-1"/>
          <w:sz w:val="16"/>
        </w:rPr>
        <w:t>from</w:t>
      </w:r>
      <w:r>
        <w:rPr>
          <w:sz w:val="16"/>
        </w:rPr>
        <w:t xml:space="preserve"> </w:t>
      </w:r>
      <w:r>
        <w:rPr>
          <w:spacing w:val="-1"/>
          <w:sz w:val="16"/>
        </w:rPr>
        <w:t>log-rank</w:t>
      </w:r>
      <w:r>
        <w:rPr>
          <w:spacing w:val="2"/>
          <w:sz w:val="16"/>
        </w:rPr>
        <w:t xml:space="preserve"> </w:t>
      </w:r>
      <w:r>
        <w:rPr>
          <w:spacing w:val="-1"/>
          <w:sz w:val="16"/>
        </w:rPr>
        <w:t>test</w:t>
      </w:r>
    </w:p>
    <w:p w:rsidR="00F72327" w:rsidRDefault="00F72327" w:rsidP="00B85F0C">
      <w:pPr>
        <w:spacing w:before="70" w:line="186" w:lineRule="exact"/>
        <w:rPr>
          <w:rFonts w:eastAsia="Times New Roman"/>
          <w:sz w:val="16"/>
          <w:szCs w:val="16"/>
        </w:rPr>
      </w:pPr>
      <w:r>
        <w:rPr>
          <w:position w:val="6"/>
          <w:sz w:val="10"/>
        </w:rPr>
        <w:t>d</w:t>
      </w:r>
      <w:r>
        <w:rPr>
          <w:spacing w:val="1"/>
          <w:position w:val="6"/>
          <w:sz w:val="10"/>
        </w:rPr>
        <w:t xml:space="preserve"> </w:t>
      </w:r>
      <w:r>
        <w:rPr>
          <w:spacing w:val="-1"/>
          <w:sz w:val="16"/>
        </w:rPr>
        <w:t>Secondary</w:t>
      </w:r>
      <w:r>
        <w:rPr>
          <w:spacing w:val="-3"/>
          <w:sz w:val="16"/>
        </w:rPr>
        <w:t xml:space="preserve"> </w:t>
      </w:r>
      <w:r>
        <w:rPr>
          <w:sz w:val="16"/>
        </w:rPr>
        <w:t>and</w:t>
      </w:r>
      <w:r>
        <w:rPr>
          <w:spacing w:val="-1"/>
          <w:sz w:val="16"/>
        </w:rPr>
        <w:t xml:space="preserve"> exploratory</w:t>
      </w:r>
      <w:r>
        <w:rPr>
          <w:spacing w:val="-3"/>
          <w:sz w:val="16"/>
        </w:rPr>
        <w:t xml:space="preserve"> </w:t>
      </w:r>
      <w:r>
        <w:rPr>
          <w:spacing w:val="-1"/>
          <w:sz w:val="16"/>
        </w:rPr>
        <w:t>endpoints</w:t>
      </w:r>
      <w:r>
        <w:rPr>
          <w:sz w:val="16"/>
        </w:rPr>
        <w:t xml:space="preserve"> </w:t>
      </w:r>
      <w:r>
        <w:rPr>
          <w:spacing w:val="-1"/>
          <w:sz w:val="16"/>
        </w:rPr>
        <w:t>are</w:t>
      </w:r>
      <w:r>
        <w:rPr>
          <w:spacing w:val="-2"/>
          <w:sz w:val="16"/>
        </w:rPr>
        <w:t xml:space="preserve"> </w:t>
      </w:r>
      <w:r>
        <w:rPr>
          <w:spacing w:val="-1"/>
          <w:sz w:val="16"/>
        </w:rPr>
        <w:t>not α-controlled</w:t>
      </w:r>
    </w:p>
    <w:p w:rsidR="00F72327" w:rsidRDefault="00F72327" w:rsidP="00B85F0C">
      <w:pPr>
        <w:spacing w:line="184" w:lineRule="exact"/>
        <w:rPr>
          <w:rFonts w:eastAsia="Times New Roman"/>
          <w:sz w:val="16"/>
          <w:szCs w:val="16"/>
        </w:rPr>
      </w:pPr>
      <w:proofErr w:type="gramStart"/>
      <w:r>
        <w:rPr>
          <w:position w:val="6"/>
          <w:sz w:val="10"/>
        </w:rPr>
        <w:t>e</w:t>
      </w:r>
      <w:proofErr w:type="gramEnd"/>
      <w:r>
        <w:rPr>
          <w:spacing w:val="14"/>
          <w:position w:val="6"/>
          <w:sz w:val="10"/>
        </w:rPr>
        <w:t xml:space="preserve"> </w:t>
      </w:r>
      <w:r>
        <w:rPr>
          <w:spacing w:val="-1"/>
          <w:sz w:val="16"/>
        </w:rPr>
        <w:t>With</w:t>
      </w:r>
      <w:r>
        <w:rPr>
          <w:spacing w:val="1"/>
          <w:sz w:val="16"/>
        </w:rPr>
        <w:t xml:space="preserve"> </w:t>
      </w:r>
      <w:r>
        <w:rPr>
          <w:sz w:val="16"/>
        </w:rPr>
        <w:t>a</w:t>
      </w:r>
      <w:r>
        <w:rPr>
          <w:spacing w:val="-1"/>
          <w:sz w:val="16"/>
        </w:rPr>
        <w:t xml:space="preserve"> median follow</w:t>
      </w:r>
      <w:r>
        <w:rPr>
          <w:spacing w:val="-3"/>
          <w:sz w:val="16"/>
        </w:rPr>
        <w:t xml:space="preserve"> </w:t>
      </w:r>
      <w:r>
        <w:rPr>
          <w:sz w:val="16"/>
        </w:rPr>
        <w:t>up</w:t>
      </w:r>
      <w:r>
        <w:rPr>
          <w:spacing w:val="2"/>
          <w:sz w:val="16"/>
        </w:rPr>
        <w:t xml:space="preserve"> </w:t>
      </w:r>
      <w:r>
        <w:rPr>
          <w:spacing w:val="-1"/>
          <w:sz w:val="16"/>
        </w:rPr>
        <w:t>of 28.6</w:t>
      </w:r>
      <w:r>
        <w:rPr>
          <w:spacing w:val="2"/>
          <w:sz w:val="16"/>
        </w:rPr>
        <w:t xml:space="preserve"> </w:t>
      </w:r>
      <w:r>
        <w:rPr>
          <w:spacing w:val="-1"/>
          <w:sz w:val="16"/>
        </w:rPr>
        <w:t>months,</w:t>
      </w:r>
      <w:r>
        <w:rPr>
          <w:spacing w:val="-2"/>
          <w:sz w:val="16"/>
        </w:rPr>
        <w:t xml:space="preserve"> </w:t>
      </w:r>
      <w:r>
        <w:rPr>
          <w:spacing w:val="-1"/>
          <w:sz w:val="16"/>
        </w:rPr>
        <w:t>there</w:t>
      </w:r>
      <w:r>
        <w:rPr>
          <w:spacing w:val="1"/>
          <w:sz w:val="16"/>
        </w:rPr>
        <w:t xml:space="preserve"> </w:t>
      </w:r>
      <w:r>
        <w:rPr>
          <w:spacing w:val="-2"/>
          <w:sz w:val="16"/>
        </w:rPr>
        <w:t>were</w:t>
      </w:r>
      <w:r>
        <w:rPr>
          <w:spacing w:val="-1"/>
          <w:sz w:val="16"/>
        </w:rPr>
        <w:t xml:space="preserve"> </w:t>
      </w:r>
      <w:r>
        <w:rPr>
          <w:sz w:val="16"/>
        </w:rPr>
        <w:t>11</w:t>
      </w:r>
      <w:r>
        <w:rPr>
          <w:spacing w:val="-1"/>
          <w:sz w:val="16"/>
        </w:rPr>
        <w:t xml:space="preserve"> deaths</w:t>
      </w:r>
      <w:r>
        <w:rPr>
          <w:spacing w:val="-2"/>
          <w:sz w:val="16"/>
        </w:rPr>
        <w:t xml:space="preserve"> </w:t>
      </w:r>
      <w:r>
        <w:rPr>
          <w:sz w:val="16"/>
        </w:rPr>
        <w:t>in</w:t>
      </w:r>
      <w:r>
        <w:rPr>
          <w:spacing w:val="-1"/>
          <w:sz w:val="16"/>
        </w:rPr>
        <w:t xml:space="preserve"> the </w:t>
      </w:r>
      <w:r>
        <w:rPr>
          <w:sz w:val="16"/>
        </w:rPr>
        <w:t>R</w:t>
      </w:r>
      <w:r>
        <w:rPr>
          <w:position w:val="6"/>
          <w:sz w:val="10"/>
        </w:rPr>
        <w:t>2</w:t>
      </w:r>
      <w:r>
        <w:rPr>
          <w:spacing w:val="13"/>
          <w:position w:val="6"/>
          <w:sz w:val="10"/>
        </w:rPr>
        <w:t xml:space="preserve"> </w:t>
      </w:r>
      <w:r>
        <w:rPr>
          <w:spacing w:val="-2"/>
          <w:sz w:val="16"/>
        </w:rPr>
        <w:t>arm</w:t>
      </w:r>
      <w:r>
        <w:rPr>
          <w:sz w:val="16"/>
        </w:rPr>
        <w:t xml:space="preserve"> </w:t>
      </w:r>
      <w:r>
        <w:rPr>
          <w:spacing w:val="-1"/>
          <w:sz w:val="16"/>
        </w:rPr>
        <w:t>and 24 deaths</w:t>
      </w:r>
      <w:r>
        <w:rPr>
          <w:spacing w:val="-2"/>
          <w:sz w:val="16"/>
        </w:rPr>
        <w:t xml:space="preserve"> </w:t>
      </w:r>
      <w:r>
        <w:rPr>
          <w:sz w:val="16"/>
        </w:rPr>
        <w:t>in</w:t>
      </w:r>
      <w:r>
        <w:rPr>
          <w:spacing w:val="-1"/>
          <w:sz w:val="16"/>
        </w:rPr>
        <w:t xml:space="preserve"> the Control </w:t>
      </w:r>
      <w:r>
        <w:rPr>
          <w:spacing w:val="-2"/>
          <w:sz w:val="16"/>
        </w:rPr>
        <w:t>Arm.</w:t>
      </w:r>
    </w:p>
    <w:p w:rsidR="00F72327" w:rsidRDefault="00F72327" w:rsidP="00B85F0C">
      <w:pPr>
        <w:spacing w:line="185" w:lineRule="exact"/>
        <w:rPr>
          <w:rFonts w:eastAsia="Times New Roman"/>
          <w:sz w:val="16"/>
          <w:szCs w:val="16"/>
        </w:rPr>
      </w:pPr>
      <w:r>
        <w:rPr>
          <w:position w:val="6"/>
          <w:sz w:val="10"/>
        </w:rPr>
        <w:t>f</w:t>
      </w:r>
      <w:r>
        <w:rPr>
          <w:spacing w:val="13"/>
          <w:position w:val="6"/>
          <w:sz w:val="10"/>
        </w:rPr>
        <w:t xml:space="preserve"> </w:t>
      </w:r>
      <w:r>
        <w:rPr>
          <w:spacing w:val="-1"/>
          <w:sz w:val="16"/>
        </w:rPr>
        <w:t>Exact</w:t>
      </w:r>
      <w:r>
        <w:rPr>
          <w:spacing w:val="1"/>
          <w:sz w:val="16"/>
        </w:rPr>
        <w:t xml:space="preserve"> </w:t>
      </w:r>
      <w:r>
        <w:rPr>
          <w:spacing w:val="-1"/>
          <w:sz w:val="16"/>
        </w:rPr>
        <w:t>confidence interval for</w:t>
      </w:r>
      <w:r>
        <w:rPr>
          <w:sz w:val="16"/>
        </w:rPr>
        <w:t xml:space="preserve"> </w:t>
      </w:r>
      <w:r>
        <w:rPr>
          <w:spacing w:val="-1"/>
          <w:sz w:val="16"/>
        </w:rPr>
        <w:t>binomial distribution.</w:t>
      </w:r>
    </w:p>
    <w:p w:rsidR="00F72327" w:rsidRDefault="00F72327" w:rsidP="00F72327">
      <w:pPr>
        <w:spacing w:before="11"/>
        <w:rPr>
          <w:rFonts w:eastAsia="Times New Roman"/>
          <w:sz w:val="21"/>
          <w:szCs w:val="21"/>
        </w:rPr>
      </w:pPr>
    </w:p>
    <w:p w:rsidR="00F72327" w:rsidRDefault="00F72327" w:rsidP="00514498">
      <w:pPr>
        <w:spacing w:line="252" w:lineRule="exact"/>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r>
        <w:rPr>
          <w:i/>
          <w:spacing w:val="-3"/>
          <w:u w:val="single" w:color="000000"/>
        </w:rPr>
        <w:t xml:space="preserve"> </w:t>
      </w:r>
      <w:r>
        <w:rPr>
          <w:i/>
          <w:spacing w:val="-1"/>
          <w:u w:val="single" w:color="000000"/>
        </w:rPr>
        <w:t>for</w:t>
      </w:r>
      <w:r>
        <w:rPr>
          <w:i/>
          <w:u w:val="single" w:color="000000"/>
        </w:rPr>
        <w:t xml:space="preserve"> </w:t>
      </w:r>
      <w:proofErr w:type="gramStart"/>
      <w:r>
        <w:rPr>
          <w:i/>
          <w:spacing w:val="-1"/>
          <w:u w:val="single" w:color="000000"/>
        </w:rPr>
        <w:t>patients</w:t>
      </w:r>
      <w:proofErr w:type="gramEnd"/>
      <w:r>
        <w:rPr>
          <w:i/>
          <w:spacing w:val="-2"/>
          <w:u w:val="single" w:color="000000"/>
        </w:rPr>
        <w:t xml:space="preserve"> </w:t>
      </w:r>
      <w:r>
        <w:rPr>
          <w:i/>
          <w:spacing w:val="-1"/>
          <w:u w:val="single" w:color="000000"/>
        </w:rPr>
        <w:t>refractory</w:t>
      </w:r>
      <w:r>
        <w:rPr>
          <w:i/>
          <w:u w:val="single" w:color="000000"/>
        </w:rPr>
        <w:t xml:space="preserve"> </w:t>
      </w:r>
      <w:r>
        <w:rPr>
          <w:i/>
          <w:spacing w:val="-1"/>
          <w:u w:val="single" w:color="000000"/>
        </w:rPr>
        <w:t>to</w:t>
      </w:r>
      <w:r>
        <w:rPr>
          <w:i/>
          <w:u w:val="single" w:color="000000"/>
        </w:rPr>
        <w:t xml:space="preserve"> </w:t>
      </w:r>
      <w:r>
        <w:rPr>
          <w:i/>
          <w:spacing w:val="-1"/>
          <w:u w:val="single" w:color="000000"/>
        </w:rPr>
        <w:t>Rituximab</w:t>
      </w:r>
    </w:p>
    <w:p w:rsidR="00F72327" w:rsidRDefault="00F72327" w:rsidP="00514498">
      <w:pPr>
        <w:pStyle w:val="BodyText"/>
        <w:spacing w:line="252" w:lineRule="exact"/>
      </w:pPr>
      <w:r>
        <w:rPr>
          <w:spacing w:val="-1"/>
        </w:rPr>
        <w:t>MAGNIFY</w:t>
      </w:r>
      <w:r>
        <w:rPr>
          <w:spacing w:val="1"/>
        </w:rPr>
        <w:t xml:space="preserve"> </w:t>
      </w:r>
      <w:r>
        <w:t>-</w:t>
      </w:r>
      <w:r>
        <w:rPr>
          <w:spacing w:val="-4"/>
        </w:rPr>
        <w:t xml:space="preserve"> </w:t>
      </w:r>
      <w:r>
        <w:rPr>
          <w:spacing w:val="-1"/>
        </w:rPr>
        <w:t>CC-5013-NHL-008</w:t>
      </w:r>
    </w:p>
    <w:p w:rsidR="00F72327" w:rsidRDefault="00F72327" w:rsidP="00514498">
      <w:pPr>
        <w:pStyle w:val="BodyText"/>
        <w:spacing w:before="1"/>
        <w:ind w:right="232"/>
      </w:pPr>
      <w:r>
        <w:t>A</w:t>
      </w:r>
      <w:r>
        <w:rPr>
          <w:spacing w:val="-1"/>
        </w:rPr>
        <w:t xml:space="preserve"> </w:t>
      </w:r>
      <w:r>
        <w:t>total</w:t>
      </w:r>
      <w:r>
        <w:rPr>
          <w:spacing w:val="1"/>
        </w:rPr>
        <w:t xml:space="preserve"> </w:t>
      </w:r>
      <w:r>
        <w:rPr>
          <w:spacing w:val="-2"/>
        </w:rPr>
        <w:t>of</w:t>
      </w:r>
      <w:r>
        <w:rPr>
          <w:spacing w:val="1"/>
        </w:rPr>
        <w:t xml:space="preserve"> </w:t>
      </w:r>
      <w:r>
        <w:t>232</w:t>
      </w:r>
      <w:r>
        <w:rPr>
          <w:spacing w:val="-2"/>
        </w:rPr>
        <w:t xml:space="preserve"> </w:t>
      </w:r>
      <w:r>
        <w:rPr>
          <w:spacing w:val="-1"/>
        </w:rPr>
        <w:t>subjects</w:t>
      </w:r>
      <w:r>
        <w:t xml:space="preserve"> </w:t>
      </w:r>
      <w:r>
        <w:rPr>
          <w:spacing w:val="-1"/>
        </w:rPr>
        <w:t>who</w:t>
      </w:r>
      <w:r>
        <w:rPr>
          <w:spacing w:val="-3"/>
        </w:rPr>
        <w:t xml:space="preserve"> </w:t>
      </w:r>
      <w:r>
        <w:rPr>
          <w:spacing w:val="-1"/>
        </w:rPr>
        <w:t>were</w:t>
      </w:r>
      <w:r>
        <w:t xml:space="preserve"> </w:t>
      </w:r>
      <w:r>
        <w:rPr>
          <w:spacing w:val="-2"/>
        </w:rPr>
        <w:t>at</w:t>
      </w:r>
      <w:r>
        <w:rPr>
          <w:spacing w:val="-1"/>
        </w:rPr>
        <w:t xml:space="preserve"> least</w:t>
      </w:r>
      <w:r>
        <w:rPr>
          <w:spacing w:val="1"/>
        </w:rPr>
        <w:t xml:space="preserve"> </w:t>
      </w:r>
      <w:r>
        <w:t xml:space="preserve">18 </w:t>
      </w:r>
      <w:r>
        <w:rPr>
          <w:spacing w:val="-1"/>
        </w:rPr>
        <w:t>years</w:t>
      </w:r>
      <w:r>
        <w:t xml:space="preserve"> </w:t>
      </w:r>
      <w:r>
        <w:rPr>
          <w:spacing w:val="-2"/>
        </w:rPr>
        <w:t>of</w:t>
      </w:r>
      <w:r>
        <w:rPr>
          <w:spacing w:val="1"/>
        </w:rPr>
        <w:t xml:space="preserve"> </w:t>
      </w:r>
      <w:r>
        <w:rPr>
          <w:spacing w:val="-1"/>
        </w:rPr>
        <w:t>age</w:t>
      </w:r>
      <w:r>
        <w:t xml:space="preserve"> with</w:t>
      </w:r>
      <w:r>
        <w:rPr>
          <w:spacing w:val="-2"/>
        </w:rPr>
        <w:t xml:space="preserve"> </w:t>
      </w:r>
      <w:r>
        <w:rPr>
          <w:spacing w:val="-1"/>
        </w:rPr>
        <w:t>histologically</w:t>
      </w:r>
      <w:r>
        <w:rPr>
          <w:spacing w:val="-2"/>
        </w:rPr>
        <w:t xml:space="preserve"> confirmed</w:t>
      </w:r>
      <w:r>
        <w:t xml:space="preserve"> </w:t>
      </w:r>
      <w:r>
        <w:rPr>
          <w:spacing w:val="-1"/>
        </w:rPr>
        <w:t>FL (Grade</w:t>
      </w:r>
      <w:r>
        <w:rPr>
          <w:spacing w:val="1"/>
        </w:rPr>
        <w:t xml:space="preserve"> </w:t>
      </w:r>
      <w:r>
        <w:t xml:space="preserve">1, </w:t>
      </w:r>
      <w:r>
        <w:rPr>
          <w:spacing w:val="-2"/>
        </w:rPr>
        <w:t>2,</w:t>
      </w:r>
      <w:r>
        <w:t xml:space="preserve"> 3a</w:t>
      </w:r>
      <w:r>
        <w:rPr>
          <w:spacing w:val="1"/>
        </w:rPr>
        <w:t xml:space="preserve"> </w:t>
      </w:r>
      <w:r>
        <w:rPr>
          <w:spacing w:val="-2"/>
        </w:rPr>
        <w:t>or</w:t>
      </w:r>
      <w:r>
        <w:rPr>
          <w:spacing w:val="79"/>
        </w:rPr>
        <w:t xml:space="preserve"> </w:t>
      </w:r>
      <w:r>
        <w:rPr>
          <w:spacing w:val="-1"/>
        </w:rPr>
        <w:t>MZL),</w:t>
      </w:r>
      <w:r>
        <w:t xml:space="preserve"> as</w:t>
      </w:r>
      <w:r>
        <w:rPr>
          <w:spacing w:val="1"/>
        </w:rPr>
        <w:t xml:space="preserve"> </w:t>
      </w:r>
      <w:r>
        <w:rPr>
          <w:spacing w:val="-1"/>
        </w:rPr>
        <w:t>assessed</w:t>
      </w:r>
      <w:r>
        <w:t xml:space="preserve"> by</w:t>
      </w:r>
      <w:r>
        <w:rPr>
          <w:spacing w:val="-3"/>
        </w:rPr>
        <w:t xml:space="preserve"> </w:t>
      </w:r>
      <w:r>
        <w:rPr>
          <w:spacing w:val="-1"/>
        </w:rPr>
        <w:t>the</w:t>
      </w:r>
      <w:r>
        <w:t xml:space="preserve"> </w:t>
      </w:r>
      <w:r>
        <w:rPr>
          <w:spacing w:val="-1"/>
        </w:rPr>
        <w:t>investigator</w:t>
      </w:r>
      <w:r>
        <w:rPr>
          <w:spacing w:val="-2"/>
        </w:rPr>
        <w:t xml:space="preserve"> </w:t>
      </w:r>
      <w:r>
        <w:t>or</w:t>
      </w:r>
      <w:r>
        <w:rPr>
          <w:spacing w:val="-2"/>
        </w:rPr>
        <w:t xml:space="preserve"> </w:t>
      </w:r>
      <w:r>
        <w:rPr>
          <w:spacing w:val="-1"/>
        </w:rPr>
        <w:t>local</w:t>
      </w:r>
      <w:r>
        <w:rPr>
          <w:spacing w:val="1"/>
        </w:rPr>
        <w:t xml:space="preserve"> </w:t>
      </w:r>
      <w:r>
        <w:rPr>
          <w:spacing w:val="-1"/>
        </w:rPr>
        <w:t>pathologist,</w:t>
      </w:r>
      <w:r>
        <w:rPr>
          <w:spacing w:val="-3"/>
        </w:rPr>
        <w:t xml:space="preserve"> </w:t>
      </w:r>
      <w:r>
        <w:t>were</w:t>
      </w:r>
      <w:r>
        <w:rPr>
          <w:spacing w:val="-2"/>
        </w:rPr>
        <w:t xml:space="preserve"> </w:t>
      </w:r>
      <w:r>
        <w:rPr>
          <w:spacing w:val="-1"/>
        </w:rPr>
        <w:t>enrolled</w:t>
      </w:r>
      <w:r>
        <w:rPr>
          <w:spacing w:val="-3"/>
        </w:rPr>
        <w:t xml:space="preserve"> </w:t>
      </w:r>
      <w:r>
        <w:rPr>
          <w:spacing w:val="-1"/>
        </w:rPr>
        <w:t>into</w:t>
      </w:r>
      <w:r>
        <w:t xml:space="preserve"> </w:t>
      </w:r>
      <w:r>
        <w:rPr>
          <w:spacing w:val="-1"/>
        </w:rPr>
        <w:t>the</w:t>
      </w:r>
      <w:r>
        <w:t xml:space="preserve"> </w:t>
      </w:r>
      <w:r>
        <w:rPr>
          <w:spacing w:val="-1"/>
        </w:rPr>
        <w:t>initial</w:t>
      </w:r>
      <w:r>
        <w:rPr>
          <w:spacing w:val="1"/>
        </w:rPr>
        <w:t xml:space="preserve"> </w:t>
      </w:r>
      <w:r>
        <w:rPr>
          <w:spacing w:val="-1"/>
        </w:rPr>
        <w:t>treatment</w:t>
      </w:r>
      <w:r>
        <w:rPr>
          <w:spacing w:val="1"/>
        </w:rPr>
        <w:t xml:space="preserve"> </w:t>
      </w:r>
      <w:r>
        <w:rPr>
          <w:spacing w:val="-1"/>
        </w:rPr>
        <w:t>period</w:t>
      </w:r>
      <w:r>
        <w:t xml:space="preserve"> </w:t>
      </w:r>
      <w:r>
        <w:rPr>
          <w:spacing w:val="-2"/>
        </w:rPr>
        <w:t>with</w:t>
      </w:r>
      <w:r>
        <w:rPr>
          <w:spacing w:val="81"/>
        </w:rPr>
        <w:t xml:space="preserve"> </w:t>
      </w:r>
      <w:r>
        <w:t xml:space="preserve">12 </w:t>
      </w:r>
      <w:r>
        <w:rPr>
          <w:spacing w:val="-1"/>
        </w:rPr>
        <w:t>cycles</w:t>
      </w:r>
      <w:r>
        <w:rPr>
          <w:spacing w:val="-2"/>
        </w:rPr>
        <w:t xml:space="preserve"> </w:t>
      </w:r>
      <w:r>
        <w:t>of</w:t>
      </w:r>
      <w:r>
        <w:rPr>
          <w:spacing w:val="-2"/>
        </w:rPr>
        <w:t xml:space="preserve"> </w:t>
      </w:r>
      <w:r>
        <w:rPr>
          <w:spacing w:val="-1"/>
        </w:rPr>
        <w:t>lenalidomide</w:t>
      </w:r>
      <w:r>
        <w:rPr>
          <w:spacing w:val="1"/>
        </w:rPr>
        <w:t xml:space="preserve"> </w:t>
      </w:r>
      <w:r>
        <w:rPr>
          <w:spacing w:val="-1"/>
        </w:rPr>
        <w:t>plus</w:t>
      </w:r>
      <w:r>
        <w:rPr>
          <w:spacing w:val="-2"/>
        </w:rPr>
        <w:t xml:space="preserve"> </w:t>
      </w:r>
      <w:r>
        <w:rPr>
          <w:spacing w:val="-1"/>
        </w:rPr>
        <w:t>rituximab.</w:t>
      </w:r>
      <w:r>
        <w:t xml:space="preserve"> </w:t>
      </w:r>
      <w:r>
        <w:rPr>
          <w:spacing w:val="-1"/>
        </w:rPr>
        <w:t>Subjects</w:t>
      </w:r>
      <w:r>
        <w:t xml:space="preserve"> </w:t>
      </w:r>
      <w:r>
        <w:rPr>
          <w:spacing w:val="-2"/>
        </w:rPr>
        <w:t>who</w:t>
      </w:r>
      <w:r>
        <w:t xml:space="preserve"> </w:t>
      </w:r>
      <w:r>
        <w:rPr>
          <w:spacing w:val="-1"/>
        </w:rPr>
        <w:t>achieved</w:t>
      </w:r>
      <w:r>
        <w:t xml:space="preserve"> </w:t>
      </w:r>
      <w:r>
        <w:rPr>
          <w:spacing w:val="-1"/>
        </w:rPr>
        <w:t>CR/CRu,</w:t>
      </w:r>
      <w:r>
        <w:t xml:space="preserve"> </w:t>
      </w:r>
      <w:r>
        <w:rPr>
          <w:spacing w:val="-1"/>
        </w:rPr>
        <w:t>PR,</w:t>
      </w:r>
      <w:r>
        <w:t xml:space="preserve"> </w:t>
      </w:r>
      <w:r>
        <w:rPr>
          <w:spacing w:val="-2"/>
        </w:rPr>
        <w:t xml:space="preserve">or </w:t>
      </w:r>
      <w:r>
        <w:rPr>
          <w:spacing w:val="-1"/>
        </w:rPr>
        <w:t xml:space="preserve">SD </w:t>
      </w:r>
      <w:r>
        <w:t>by</w:t>
      </w:r>
      <w:r>
        <w:rPr>
          <w:spacing w:val="-3"/>
        </w:rPr>
        <w:t xml:space="preserve"> </w:t>
      </w:r>
      <w:r>
        <w:t xml:space="preserve">the end </w:t>
      </w:r>
      <w:r>
        <w:rPr>
          <w:spacing w:val="-2"/>
        </w:rPr>
        <w:t>of</w:t>
      </w:r>
      <w:r>
        <w:rPr>
          <w:spacing w:val="1"/>
        </w:rPr>
        <w:t xml:space="preserve"> </w:t>
      </w:r>
      <w:r>
        <w:rPr>
          <w:spacing w:val="-1"/>
        </w:rPr>
        <w:t>the</w:t>
      </w:r>
      <w:r>
        <w:rPr>
          <w:spacing w:val="77"/>
        </w:rPr>
        <w:t xml:space="preserve"> </w:t>
      </w:r>
      <w:r>
        <w:rPr>
          <w:spacing w:val="-1"/>
        </w:rPr>
        <w:t>induction</w:t>
      </w:r>
      <w:r>
        <w:t xml:space="preserve"> </w:t>
      </w:r>
      <w:r>
        <w:rPr>
          <w:spacing w:val="-1"/>
        </w:rPr>
        <w:t>treatment</w:t>
      </w:r>
      <w:r>
        <w:rPr>
          <w:spacing w:val="1"/>
        </w:rPr>
        <w:t xml:space="preserve"> </w:t>
      </w:r>
      <w:r>
        <w:rPr>
          <w:spacing w:val="-1"/>
        </w:rPr>
        <w:t>period</w:t>
      </w:r>
      <w:r>
        <w:rPr>
          <w:spacing w:val="-3"/>
        </w:rPr>
        <w:t xml:space="preserve"> </w:t>
      </w:r>
      <w:r>
        <w:rPr>
          <w:spacing w:val="-1"/>
        </w:rPr>
        <w:t>were</w:t>
      </w:r>
      <w:r>
        <w:t xml:space="preserve"> </w:t>
      </w:r>
      <w:r>
        <w:rPr>
          <w:spacing w:val="-1"/>
        </w:rPr>
        <w:t>randomised</w:t>
      </w:r>
      <w:r>
        <w:rPr>
          <w:spacing w:val="-3"/>
        </w:rPr>
        <w:t xml:space="preserve"> </w:t>
      </w:r>
      <w:r>
        <w:t xml:space="preserve">to </w:t>
      </w:r>
      <w:r>
        <w:rPr>
          <w:spacing w:val="-1"/>
        </w:rPr>
        <w:t>enter</w:t>
      </w:r>
      <w:r>
        <w:rPr>
          <w:spacing w:val="-2"/>
        </w:rPr>
        <w:t xml:space="preserve"> </w:t>
      </w:r>
      <w:r>
        <w:rPr>
          <w:spacing w:val="-1"/>
        </w:rPr>
        <w:t>the</w:t>
      </w:r>
      <w:r>
        <w:t xml:space="preserve"> </w:t>
      </w:r>
      <w:r>
        <w:rPr>
          <w:spacing w:val="-1"/>
        </w:rPr>
        <w:t>maintenance</w:t>
      </w:r>
      <w:r>
        <w:rPr>
          <w:spacing w:val="-2"/>
        </w:rPr>
        <w:t xml:space="preserve"> </w:t>
      </w:r>
      <w:r>
        <w:rPr>
          <w:spacing w:val="-1"/>
        </w:rPr>
        <w:t>treatment</w:t>
      </w:r>
      <w:r>
        <w:rPr>
          <w:spacing w:val="1"/>
        </w:rPr>
        <w:t xml:space="preserve"> </w:t>
      </w:r>
      <w:r>
        <w:rPr>
          <w:spacing w:val="-1"/>
        </w:rPr>
        <w:t>period.</w:t>
      </w:r>
      <w:r>
        <w:t xml:space="preserve"> </w:t>
      </w:r>
      <w:r>
        <w:rPr>
          <w:spacing w:val="-1"/>
        </w:rPr>
        <w:t>All</w:t>
      </w:r>
      <w:r>
        <w:rPr>
          <w:spacing w:val="-2"/>
        </w:rPr>
        <w:t xml:space="preserve"> </w:t>
      </w:r>
      <w:r>
        <w:rPr>
          <w:spacing w:val="-1"/>
        </w:rPr>
        <w:t>enrolled</w:t>
      </w:r>
      <w:r>
        <w:t xml:space="preserve"> </w:t>
      </w:r>
      <w:r>
        <w:rPr>
          <w:spacing w:val="-1"/>
        </w:rPr>
        <w:t>subjects</w:t>
      </w:r>
      <w:r>
        <w:rPr>
          <w:spacing w:val="83"/>
        </w:rPr>
        <w:t xml:space="preserve"> </w:t>
      </w:r>
      <w:r>
        <w:rPr>
          <w:spacing w:val="-1"/>
        </w:rPr>
        <w:t>must</w:t>
      </w:r>
      <w:r>
        <w:rPr>
          <w:spacing w:val="1"/>
        </w:rPr>
        <w:t xml:space="preserve"> </w:t>
      </w:r>
      <w:r>
        <w:rPr>
          <w:spacing w:val="-1"/>
        </w:rPr>
        <w:t>have</w:t>
      </w:r>
      <w:r>
        <w:t xml:space="preserve"> </w:t>
      </w:r>
      <w:r>
        <w:rPr>
          <w:spacing w:val="-1"/>
        </w:rPr>
        <w:t>previously</w:t>
      </w:r>
      <w:r>
        <w:rPr>
          <w:spacing w:val="-3"/>
        </w:rPr>
        <w:t xml:space="preserve"> </w:t>
      </w:r>
      <w:r>
        <w:t>been</w:t>
      </w:r>
      <w:r>
        <w:rPr>
          <w:spacing w:val="-2"/>
        </w:rPr>
        <w:t xml:space="preserve"> </w:t>
      </w:r>
      <w:r>
        <w:rPr>
          <w:spacing w:val="-1"/>
        </w:rPr>
        <w:t>treated</w:t>
      </w:r>
      <w:r>
        <w:t xml:space="preserve"> </w:t>
      </w:r>
      <w:r>
        <w:rPr>
          <w:spacing w:val="-1"/>
        </w:rPr>
        <w:t>with</w:t>
      </w:r>
      <w:r>
        <w:t xml:space="preserve"> </w:t>
      </w:r>
      <w:r>
        <w:rPr>
          <w:spacing w:val="-1"/>
        </w:rPr>
        <w:t>at</w:t>
      </w:r>
      <w:r>
        <w:rPr>
          <w:spacing w:val="1"/>
        </w:rPr>
        <w:t xml:space="preserve"> </w:t>
      </w:r>
      <w:r>
        <w:rPr>
          <w:spacing w:val="-1"/>
        </w:rPr>
        <w:t>least</w:t>
      </w:r>
      <w:r>
        <w:rPr>
          <w:spacing w:val="1"/>
        </w:rPr>
        <w:t xml:space="preserve"> </w:t>
      </w:r>
      <w:r>
        <w:t>one</w:t>
      </w:r>
      <w:r>
        <w:rPr>
          <w:spacing w:val="-2"/>
        </w:rPr>
        <w:t xml:space="preserve"> </w:t>
      </w:r>
      <w:r>
        <w:rPr>
          <w:spacing w:val="-1"/>
        </w:rPr>
        <w:t>prior</w:t>
      </w:r>
      <w:r>
        <w:rPr>
          <w:spacing w:val="1"/>
        </w:rPr>
        <w:t xml:space="preserve"> </w:t>
      </w:r>
      <w:r>
        <w:rPr>
          <w:spacing w:val="-1"/>
        </w:rPr>
        <w:t>systemic</w:t>
      </w:r>
      <w:r>
        <w:t xml:space="preserve"> </w:t>
      </w:r>
      <w:r>
        <w:rPr>
          <w:spacing w:val="-2"/>
        </w:rPr>
        <w:t>antilymphoma</w:t>
      </w:r>
      <w:r>
        <w:t xml:space="preserve"> </w:t>
      </w:r>
      <w:r>
        <w:rPr>
          <w:spacing w:val="-1"/>
        </w:rPr>
        <w:t>therapy.</w:t>
      </w:r>
      <w:r>
        <w:t xml:space="preserve"> </w:t>
      </w:r>
      <w:r>
        <w:rPr>
          <w:spacing w:val="-2"/>
        </w:rPr>
        <w:t>In</w:t>
      </w:r>
      <w:r>
        <w:t xml:space="preserve"> </w:t>
      </w:r>
      <w:r>
        <w:rPr>
          <w:spacing w:val="-1"/>
        </w:rPr>
        <w:t xml:space="preserve">contrast </w:t>
      </w:r>
      <w:r>
        <w:t>to study</w:t>
      </w:r>
      <w:r>
        <w:rPr>
          <w:spacing w:val="85"/>
        </w:rPr>
        <w:t xml:space="preserve"> </w:t>
      </w:r>
      <w:r>
        <w:rPr>
          <w:spacing w:val="-1"/>
        </w:rPr>
        <w:t>NHL-007,</w:t>
      </w:r>
      <w:r>
        <w:t xml:space="preserve"> the </w:t>
      </w:r>
      <w:r>
        <w:rPr>
          <w:spacing w:val="-1"/>
        </w:rPr>
        <w:t>NHL-008</w:t>
      </w:r>
      <w:r>
        <w:t xml:space="preserve"> </w:t>
      </w:r>
      <w:r>
        <w:rPr>
          <w:spacing w:val="-1"/>
        </w:rPr>
        <w:t>study</w:t>
      </w:r>
      <w:r>
        <w:rPr>
          <w:spacing w:val="-2"/>
        </w:rPr>
        <w:t xml:space="preserve"> </w:t>
      </w:r>
      <w:r>
        <w:rPr>
          <w:spacing w:val="-1"/>
        </w:rPr>
        <w:t>included</w:t>
      </w:r>
      <w:r>
        <w:rPr>
          <w:spacing w:val="-2"/>
        </w:rPr>
        <w:t xml:space="preserve"> </w:t>
      </w:r>
      <w:r>
        <w:rPr>
          <w:spacing w:val="-1"/>
        </w:rPr>
        <w:t>patients</w:t>
      </w:r>
      <w:r>
        <w:rPr>
          <w:spacing w:val="-2"/>
        </w:rPr>
        <w:t xml:space="preserve"> </w:t>
      </w:r>
      <w:r>
        <w:rPr>
          <w:spacing w:val="-1"/>
        </w:rPr>
        <w:t>who</w:t>
      </w:r>
      <w:r>
        <w:t xml:space="preserve"> </w:t>
      </w:r>
      <w:r>
        <w:rPr>
          <w:spacing w:val="-1"/>
        </w:rPr>
        <w:t>were</w:t>
      </w:r>
      <w:r>
        <w:rPr>
          <w:spacing w:val="-2"/>
        </w:rPr>
        <w:t xml:space="preserve"> </w:t>
      </w:r>
      <w:r>
        <w:rPr>
          <w:spacing w:val="-1"/>
        </w:rPr>
        <w:t>refractory</w:t>
      </w:r>
      <w:r>
        <w:rPr>
          <w:spacing w:val="-2"/>
        </w:rPr>
        <w:t xml:space="preserve"> </w:t>
      </w:r>
      <w:r>
        <w:t xml:space="preserve">to </w:t>
      </w:r>
      <w:r>
        <w:rPr>
          <w:spacing w:val="-1"/>
        </w:rPr>
        <w:t>rituximab</w:t>
      </w:r>
      <w:r>
        <w:t xml:space="preserve"> (no </w:t>
      </w:r>
      <w:r>
        <w:rPr>
          <w:spacing w:val="-1"/>
        </w:rPr>
        <w:t>response</w:t>
      </w:r>
      <w:r>
        <w:t xml:space="preserve"> </w:t>
      </w:r>
      <w:r>
        <w:rPr>
          <w:spacing w:val="-2"/>
        </w:rPr>
        <w:t>or</w:t>
      </w:r>
      <w:r>
        <w:t xml:space="preserve"> </w:t>
      </w:r>
      <w:r>
        <w:rPr>
          <w:spacing w:val="-1"/>
        </w:rPr>
        <w:t>relapsed</w:t>
      </w:r>
      <w:r>
        <w:rPr>
          <w:spacing w:val="77"/>
        </w:rPr>
        <w:t xml:space="preserve"> </w:t>
      </w:r>
      <w:r>
        <w:rPr>
          <w:spacing w:val="-1"/>
        </w:rPr>
        <w:t>within</w:t>
      </w:r>
      <w:r>
        <w:rPr>
          <w:spacing w:val="-3"/>
        </w:rPr>
        <w:t xml:space="preserve"> </w:t>
      </w:r>
      <w:r>
        <w:t xml:space="preserve">6 </w:t>
      </w:r>
      <w:r>
        <w:rPr>
          <w:spacing w:val="-1"/>
        </w:rPr>
        <w:t>months</w:t>
      </w:r>
      <w:r>
        <w:t xml:space="preserve"> </w:t>
      </w:r>
      <w:r>
        <w:rPr>
          <w:spacing w:val="-2"/>
        </w:rPr>
        <w:t>of</w:t>
      </w:r>
      <w:r>
        <w:rPr>
          <w:spacing w:val="1"/>
        </w:rPr>
        <w:t xml:space="preserve"> </w:t>
      </w:r>
      <w:r>
        <w:rPr>
          <w:spacing w:val="-1"/>
        </w:rPr>
        <w:t>rituximab</w:t>
      </w:r>
      <w:r>
        <w:t xml:space="preserve"> </w:t>
      </w:r>
      <w:r>
        <w:rPr>
          <w:spacing w:val="-1"/>
        </w:rPr>
        <w:t>treatment</w:t>
      </w:r>
      <w:r>
        <w:rPr>
          <w:spacing w:val="1"/>
        </w:rPr>
        <w:t xml:space="preserve"> </w:t>
      </w:r>
      <w:r>
        <w:rPr>
          <w:spacing w:val="-2"/>
        </w:rPr>
        <w:t>or</w:t>
      </w:r>
      <w:r>
        <w:rPr>
          <w:spacing w:val="1"/>
        </w:rPr>
        <w:t xml:space="preserve"> </w:t>
      </w:r>
      <w:r>
        <w:rPr>
          <w:spacing w:val="-2"/>
        </w:rPr>
        <w:t>who</w:t>
      </w:r>
      <w:r>
        <w:t xml:space="preserve"> </w:t>
      </w:r>
      <w:r>
        <w:rPr>
          <w:spacing w:val="-1"/>
        </w:rPr>
        <w:t>were</w:t>
      </w:r>
      <w:r>
        <w:t xml:space="preserve"> </w:t>
      </w:r>
      <w:r>
        <w:rPr>
          <w:spacing w:val="-1"/>
        </w:rPr>
        <w:t>double-refractory</w:t>
      </w:r>
      <w:r>
        <w:rPr>
          <w:spacing w:val="-2"/>
        </w:rPr>
        <w:t xml:space="preserve"> </w:t>
      </w:r>
      <w:r>
        <w:t>to</w:t>
      </w:r>
      <w:r>
        <w:rPr>
          <w:spacing w:val="-3"/>
        </w:rPr>
        <w:t xml:space="preserve"> </w:t>
      </w:r>
      <w:r>
        <w:rPr>
          <w:spacing w:val="-1"/>
        </w:rPr>
        <w:t>rituximab</w:t>
      </w:r>
      <w:r>
        <w:t xml:space="preserve"> and </w:t>
      </w:r>
      <w:r>
        <w:rPr>
          <w:spacing w:val="-1"/>
        </w:rPr>
        <w:t>chemotherapy).</w:t>
      </w:r>
    </w:p>
    <w:p w:rsidR="00F72327" w:rsidRDefault="00F72327" w:rsidP="00514498">
      <w:pPr>
        <w:spacing w:before="10"/>
        <w:rPr>
          <w:rFonts w:eastAsia="Times New Roman"/>
          <w:sz w:val="21"/>
          <w:szCs w:val="21"/>
        </w:rPr>
      </w:pPr>
    </w:p>
    <w:p w:rsidR="00F72327" w:rsidRDefault="00F72327" w:rsidP="00514498">
      <w:pPr>
        <w:pStyle w:val="BodyText"/>
        <w:spacing w:line="239" w:lineRule="auto"/>
        <w:ind w:right="227"/>
      </w:pPr>
      <w:r>
        <w:t>During</w:t>
      </w:r>
      <w:r>
        <w:rPr>
          <w:spacing w:val="-2"/>
        </w:rPr>
        <w:t xml:space="preserve"> </w:t>
      </w:r>
      <w:r>
        <w:t>the</w:t>
      </w:r>
      <w:r>
        <w:rPr>
          <w:spacing w:val="-2"/>
        </w:rPr>
        <w:t xml:space="preserve"> </w:t>
      </w:r>
      <w:r>
        <w:rPr>
          <w:spacing w:val="-1"/>
        </w:rPr>
        <w:t>induction</w:t>
      </w:r>
      <w:r>
        <w:rPr>
          <w:spacing w:val="-2"/>
        </w:rPr>
        <w:t xml:space="preserve"> </w:t>
      </w:r>
      <w:r>
        <w:rPr>
          <w:spacing w:val="-1"/>
        </w:rPr>
        <w:t>treatment</w:t>
      </w:r>
      <w:r>
        <w:rPr>
          <w:spacing w:val="1"/>
        </w:rPr>
        <w:t xml:space="preserve"> </w:t>
      </w:r>
      <w:r>
        <w:rPr>
          <w:spacing w:val="-1"/>
        </w:rPr>
        <w:t>period,</w:t>
      </w:r>
      <w:r>
        <w:rPr>
          <w:spacing w:val="-2"/>
        </w:rPr>
        <w:t xml:space="preserve"> </w:t>
      </w:r>
      <w:r>
        <w:rPr>
          <w:spacing w:val="-1"/>
        </w:rPr>
        <w:t>lenalidomide</w:t>
      </w:r>
      <w:r>
        <w:t xml:space="preserve"> 20</w:t>
      </w:r>
      <w:r>
        <w:rPr>
          <w:spacing w:val="-3"/>
        </w:rPr>
        <w:t xml:space="preserve"> </w:t>
      </w:r>
      <w:r>
        <w:rPr>
          <w:spacing w:val="-1"/>
        </w:rPr>
        <w:t>mg</w:t>
      </w:r>
      <w:r>
        <w:rPr>
          <w:spacing w:val="-3"/>
        </w:rPr>
        <w:t xml:space="preserve"> </w:t>
      </w:r>
      <w:r>
        <w:rPr>
          <w:spacing w:val="-1"/>
        </w:rPr>
        <w:t>was</w:t>
      </w:r>
      <w:r>
        <w:t xml:space="preserve"> </w:t>
      </w:r>
      <w:r>
        <w:rPr>
          <w:spacing w:val="-1"/>
        </w:rPr>
        <w:t>given</w:t>
      </w:r>
      <w:r>
        <w:t xml:space="preserve"> on </w:t>
      </w:r>
      <w:r>
        <w:rPr>
          <w:spacing w:val="-1"/>
        </w:rPr>
        <w:t>Days</w:t>
      </w:r>
      <w:r>
        <w:t xml:space="preserve"> </w:t>
      </w:r>
      <w:r>
        <w:rPr>
          <w:spacing w:val="-1"/>
        </w:rPr>
        <w:t>1-21</w:t>
      </w:r>
      <w:r>
        <w:t xml:space="preserve"> of</w:t>
      </w:r>
      <w:r>
        <w:rPr>
          <w:spacing w:val="1"/>
        </w:rPr>
        <w:t xml:space="preserve"> </w:t>
      </w:r>
      <w:r>
        <w:rPr>
          <w:spacing w:val="-1"/>
        </w:rPr>
        <w:t>repeated</w:t>
      </w:r>
      <w:r>
        <w:t xml:space="preserve"> </w:t>
      </w:r>
      <w:r>
        <w:rPr>
          <w:spacing w:val="-1"/>
        </w:rPr>
        <w:t>28-day</w:t>
      </w:r>
      <w:r>
        <w:rPr>
          <w:spacing w:val="65"/>
        </w:rPr>
        <w:t xml:space="preserve"> </w:t>
      </w:r>
      <w:r>
        <w:rPr>
          <w:spacing w:val="-1"/>
        </w:rPr>
        <w:t>cycles</w:t>
      </w:r>
      <w:r>
        <w:rPr>
          <w:spacing w:val="-2"/>
        </w:rPr>
        <w:t xml:space="preserve"> </w:t>
      </w:r>
      <w:r>
        <w:t>for</w:t>
      </w:r>
      <w:r>
        <w:rPr>
          <w:spacing w:val="1"/>
        </w:rPr>
        <w:t xml:space="preserve"> </w:t>
      </w:r>
      <w:r>
        <w:rPr>
          <w:spacing w:val="-2"/>
        </w:rPr>
        <w:t>up</w:t>
      </w:r>
      <w:r>
        <w:t xml:space="preserve"> to</w:t>
      </w:r>
      <w:r>
        <w:rPr>
          <w:spacing w:val="-2"/>
        </w:rPr>
        <w:t xml:space="preserve"> </w:t>
      </w:r>
      <w:r>
        <w:t xml:space="preserve">12 </w:t>
      </w:r>
      <w:r>
        <w:rPr>
          <w:spacing w:val="-1"/>
        </w:rPr>
        <w:t>cycles</w:t>
      </w:r>
      <w:r>
        <w:t xml:space="preserve"> </w:t>
      </w:r>
      <w:r>
        <w:rPr>
          <w:spacing w:val="-2"/>
        </w:rPr>
        <w:t>or</w:t>
      </w:r>
      <w:r>
        <w:rPr>
          <w:spacing w:val="1"/>
        </w:rPr>
        <w:t xml:space="preserve"> </w:t>
      </w:r>
      <w:r>
        <w:rPr>
          <w:spacing w:val="-1"/>
        </w:rPr>
        <w:t>until</w:t>
      </w:r>
      <w:r>
        <w:rPr>
          <w:spacing w:val="-2"/>
        </w:rPr>
        <w:t xml:space="preserve"> </w:t>
      </w:r>
      <w:r>
        <w:rPr>
          <w:spacing w:val="-1"/>
        </w:rPr>
        <w:t>unacceptable</w:t>
      </w:r>
      <w:r>
        <w:rPr>
          <w:spacing w:val="-2"/>
        </w:rPr>
        <w:t xml:space="preserve"> </w:t>
      </w:r>
      <w:r>
        <w:rPr>
          <w:spacing w:val="-1"/>
        </w:rPr>
        <w:t>toxicity,</w:t>
      </w:r>
      <w:r>
        <w:t xml:space="preserve"> or</w:t>
      </w:r>
      <w:r>
        <w:rPr>
          <w:spacing w:val="1"/>
        </w:rPr>
        <w:t xml:space="preserve"> </w:t>
      </w:r>
      <w:r>
        <w:rPr>
          <w:spacing w:val="-1"/>
        </w:rPr>
        <w:t>withdrawal</w:t>
      </w:r>
      <w:r>
        <w:rPr>
          <w:spacing w:val="1"/>
        </w:rPr>
        <w:t xml:space="preserve"> </w:t>
      </w:r>
      <w:r>
        <w:t>of</w:t>
      </w:r>
      <w:r>
        <w:rPr>
          <w:spacing w:val="-1"/>
        </w:rPr>
        <w:t xml:space="preserve"> consent</w:t>
      </w:r>
      <w:r>
        <w:rPr>
          <w:spacing w:val="-2"/>
        </w:rPr>
        <w:t xml:space="preserve"> </w:t>
      </w:r>
      <w:r>
        <w:t>or</w:t>
      </w:r>
      <w:r>
        <w:rPr>
          <w:spacing w:val="1"/>
        </w:rPr>
        <w:t xml:space="preserve"> </w:t>
      </w:r>
      <w:r>
        <w:rPr>
          <w:spacing w:val="-1"/>
        </w:rPr>
        <w:t>disease</w:t>
      </w:r>
      <w:r>
        <w:t xml:space="preserve"> </w:t>
      </w:r>
      <w:r>
        <w:rPr>
          <w:spacing w:val="-1"/>
        </w:rPr>
        <w:t>progression.</w:t>
      </w:r>
      <w:r>
        <w:rPr>
          <w:spacing w:val="-5"/>
        </w:rPr>
        <w:t xml:space="preserve"> </w:t>
      </w:r>
      <w:r>
        <w:rPr>
          <w:spacing w:val="-1"/>
        </w:rPr>
        <w:t>The</w:t>
      </w:r>
      <w:r>
        <w:rPr>
          <w:spacing w:val="77"/>
        </w:rPr>
        <w:t xml:space="preserve"> </w:t>
      </w:r>
      <w:r>
        <w:t>dose</w:t>
      </w:r>
      <w:r>
        <w:rPr>
          <w:spacing w:val="-1"/>
        </w:rPr>
        <w:t xml:space="preserve"> </w:t>
      </w:r>
      <w:r>
        <w:rPr>
          <w:spacing w:val="-2"/>
        </w:rPr>
        <w:t>of</w:t>
      </w:r>
      <w:r>
        <w:rPr>
          <w:spacing w:val="1"/>
        </w:rPr>
        <w:t xml:space="preserve"> </w:t>
      </w:r>
      <w:r>
        <w:rPr>
          <w:spacing w:val="-1"/>
        </w:rPr>
        <w:t>rituximab</w:t>
      </w:r>
      <w:r>
        <w:t xml:space="preserve"> </w:t>
      </w:r>
      <w:r>
        <w:rPr>
          <w:spacing w:val="-1"/>
        </w:rPr>
        <w:t>was</w:t>
      </w:r>
      <w:r>
        <w:t xml:space="preserve"> 375</w:t>
      </w:r>
      <w:r>
        <w:rPr>
          <w:spacing w:val="-2"/>
        </w:rPr>
        <w:t xml:space="preserve"> mg/m</w:t>
      </w:r>
      <w:r>
        <w:rPr>
          <w:spacing w:val="-2"/>
          <w:position w:val="8"/>
          <w:sz w:val="14"/>
        </w:rPr>
        <w:t>2</w:t>
      </w:r>
      <w:r>
        <w:rPr>
          <w:spacing w:val="20"/>
          <w:position w:val="8"/>
          <w:sz w:val="14"/>
        </w:rPr>
        <w:t xml:space="preserve"> </w:t>
      </w:r>
      <w:r>
        <w:rPr>
          <w:spacing w:val="-1"/>
        </w:rPr>
        <w:t>every</w:t>
      </w:r>
      <w:r>
        <w:rPr>
          <w:spacing w:val="-3"/>
        </w:rPr>
        <w:t xml:space="preserve"> </w:t>
      </w:r>
      <w:r>
        <w:rPr>
          <w:spacing w:val="-1"/>
        </w:rPr>
        <w:t>week</w:t>
      </w:r>
      <w:r>
        <w:rPr>
          <w:spacing w:val="-2"/>
        </w:rPr>
        <w:t xml:space="preserve"> </w:t>
      </w:r>
      <w:r>
        <w:t xml:space="preserve">in </w:t>
      </w:r>
      <w:r>
        <w:rPr>
          <w:spacing w:val="-1"/>
        </w:rPr>
        <w:t>Cycle</w:t>
      </w:r>
      <w:r>
        <w:t xml:space="preserve"> 1 </w:t>
      </w:r>
      <w:r>
        <w:rPr>
          <w:spacing w:val="-1"/>
        </w:rPr>
        <w:t>(Days</w:t>
      </w:r>
      <w:r>
        <w:t xml:space="preserve"> 1, 8, </w:t>
      </w:r>
      <w:r>
        <w:rPr>
          <w:spacing w:val="-1"/>
        </w:rPr>
        <w:t>15,</w:t>
      </w:r>
      <w:r>
        <w:t xml:space="preserve"> and </w:t>
      </w:r>
      <w:r>
        <w:rPr>
          <w:spacing w:val="-1"/>
        </w:rPr>
        <w:t>22)</w:t>
      </w:r>
      <w:r>
        <w:rPr>
          <w:spacing w:val="-2"/>
        </w:rPr>
        <w:t xml:space="preserve"> </w:t>
      </w:r>
      <w:r>
        <w:rPr>
          <w:spacing w:val="-1"/>
        </w:rPr>
        <w:t>and</w:t>
      </w:r>
      <w:r>
        <w:t xml:space="preserve"> on </w:t>
      </w:r>
      <w:r>
        <w:rPr>
          <w:spacing w:val="-1"/>
        </w:rPr>
        <w:t>Day</w:t>
      </w:r>
      <w:r>
        <w:rPr>
          <w:spacing w:val="-3"/>
        </w:rPr>
        <w:t xml:space="preserve"> </w:t>
      </w:r>
      <w:r>
        <w:t>1 of</w:t>
      </w:r>
      <w:r>
        <w:rPr>
          <w:spacing w:val="1"/>
        </w:rPr>
        <w:t xml:space="preserve"> </w:t>
      </w:r>
      <w:r>
        <w:rPr>
          <w:spacing w:val="-1"/>
        </w:rPr>
        <w:t>every</w:t>
      </w:r>
      <w:r>
        <w:rPr>
          <w:spacing w:val="-2"/>
        </w:rPr>
        <w:t xml:space="preserve"> </w:t>
      </w:r>
      <w:r>
        <w:rPr>
          <w:spacing w:val="-1"/>
        </w:rPr>
        <w:t>other</w:t>
      </w:r>
      <w:r>
        <w:rPr>
          <w:spacing w:val="43"/>
        </w:rPr>
        <w:t xml:space="preserve"> </w:t>
      </w:r>
      <w:r>
        <w:rPr>
          <w:spacing w:val="-1"/>
        </w:rPr>
        <w:t>28-day</w:t>
      </w:r>
      <w:r>
        <w:rPr>
          <w:spacing w:val="-3"/>
        </w:rPr>
        <w:t xml:space="preserve"> </w:t>
      </w:r>
      <w:r>
        <w:rPr>
          <w:spacing w:val="-1"/>
        </w:rPr>
        <w:t>cycle</w:t>
      </w:r>
      <w:r>
        <w:t xml:space="preserve"> </w:t>
      </w:r>
      <w:r>
        <w:rPr>
          <w:spacing w:val="-1"/>
        </w:rPr>
        <w:t>(cycles</w:t>
      </w:r>
      <w:r>
        <w:t xml:space="preserve"> 3, 5,</w:t>
      </w:r>
      <w:r>
        <w:rPr>
          <w:spacing w:val="-2"/>
        </w:rPr>
        <w:t xml:space="preserve"> 7,</w:t>
      </w:r>
      <w:r>
        <w:t xml:space="preserve"> 9, and </w:t>
      </w:r>
      <w:r>
        <w:rPr>
          <w:spacing w:val="-1"/>
        </w:rPr>
        <w:t>11)</w:t>
      </w:r>
      <w:r>
        <w:rPr>
          <w:spacing w:val="1"/>
        </w:rPr>
        <w:t xml:space="preserve"> </w:t>
      </w:r>
      <w:r>
        <w:t>up</w:t>
      </w:r>
      <w:r>
        <w:rPr>
          <w:spacing w:val="-3"/>
        </w:rPr>
        <w:t xml:space="preserve"> </w:t>
      </w:r>
      <w:r>
        <w:t xml:space="preserve">to </w:t>
      </w:r>
      <w:r>
        <w:rPr>
          <w:spacing w:val="-2"/>
        </w:rPr>
        <w:t>12</w:t>
      </w:r>
      <w:r>
        <w:t xml:space="preserve"> </w:t>
      </w:r>
      <w:r>
        <w:rPr>
          <w:spacing w:val="-1"/>
        </w:rPr>
        <w:t>cycles</w:t>
      </w:r>
      <w:r>
        <w:rPr>
          <w:spacing w:val="-2"/>
        </w:rPr>
        <w:t xml:space="preserve"> </w:t>
      </w:r>
      <w:r>
        <w:rPr>
          <w:spacing w:val="-1"/>
        </w:rPr>
        <w:t>therapy.</w:t>
      </w:r>
      <w:r>
        <w:t xml:space="preserve"> </w:t>
      </w:r>
      <w:r>
        <w:rPr>
          <w:spacing w:val="-1"/>
        </w:rPr>
        <w:t>All</w:t>
      </w:r>
      <w:r>
        <w:rPr>
          <w:spacing w:val="1"/>
        </w:rPr>
        <w:t xml:space="preserve"> </w:t>
      </w:r>
      <w:r>
        <w:rPr>
          <w:spacing w:val="-1"/>
        </w:rPr>
        <w:t>dosage</w:t>
      </w:r>
      <w:r>
        <w:t xml:space="preserve"> </w:t>
      </w:r>
      <w:r>
        <w:rPr>
          <w:spacing w:val="-1"/>
        </w:rPr>
        <w:t>calculations</w:t>
      </w:r>
      <w:r>
        <w:rPr>
          <w:spacing w:val="-2"/>
        </w:rPr>
        <w:t xml:space="preserve"> </w:t>
      </w:r>
      <w:r>
        <w:t>for</w:t>
      </w:r>
      <w:r>
        <w:rPr>
          <w:spacing w:val="-1"/>
        </w:rPr>
        <w:t xml:space="preserve"> rituximab</w:t>
      </w:r>
      <w:r>
        <w:t xml:space="preserve"> were</w:t>
      </w:r>
      <w:r>
        <w:rPr>
          <w:spacing w:val="55"/>
        </w:rPr>
        <w:t xml:space="preserve"> </w:t>
      </w:r>
      <w:r>
        <w:t>based</w:t>
      </w:r>
      <w:r>
        <w:rPr>
          <w:spacing w:val="-2"/>
        </w:rPr>
        <w:t xml:space="preserve"> </w:t>
      </w:r>
      <w:r>
        <w:t xml:space="preserve">on </w:t>
      </w:r>
      <w:r>
        <w:rPr>
          <w:spacing w:val="-1"/>
        </w:rPr>
        <w:t>the</w:t>
      </w:r>
      <w:r>
        <w:t xml:space="preserve"> </w:t>
      </w:r>
      <w:r>
        <w:rPr>
          <w:spacing w:val="-1"/>
        </w:rPr>
        <w:t>patient</w:t>
      </w:r>
      <w:r>
        <w:rPr>
          <w:spacing w:val="-2"/>
        </w:rPr>
        <w:t xml:space="preserve"> </w:t>
      </w:r>
      <w:r>
        <w:t>body</w:t>
      </w:r>
      <w:r>
        <w:rPr>
          <w:spacing w:val="-3"/>
        </w:rPr>
        <w:t xml:space="preserve"> </w:t>
      </w:r>
      <w:r>
        <w:rPr>
          <w:spacing w:val="-1"/>
        </w:rPr>
        <w:t>surface</w:t>
      </w:r>
      <w:r>
        <w:t xml:space="preserve"> </w:t>
      </w:r>
      <w:r>
        <w:rPr>
          <w:spacing w:val="-1"/>
        </w:rPr>
        <w:t>area</w:t>
      </w:r>
      <w:r>
        <w:t xml:space="preserve"> </w:t>
      </w:r>
      <w:r>
        <w:rPr>
          <w:spacing w:val="-1"/>
        </w:rPr>
        <w:t>(BSA)</w:t>
      </w:r>
      <w:r>
        <w:rPr>
          <w:spacing w:val="-2"/>
        </w:rPr>
        <w:t xml:space="preserve"> </w:t>
      </w:r>
      <w:r>
        <w:t xml:space="preserve">and </w:t>
      </w:r>
      <w:r>
        <w:rPr>
          <w:spacing w:val="-1"/>
        </w:rPr>
        <w:t>actual</w:t>
      </w:r>
      <w:r>
        <w:rPr>
          <w:spacing w:val="1"/>
        </w:rPr>
        <w:t xml:space="preserve"> </w:t>
      </w:r>
      <w:r>
        <w:rPr>
          <w:spacing w:val="-1"/>
        </w:rPr>
        <w:t>weight.</w:t>
      </w:r>
    </w:p>
    <w:p w:rsidR="00F72327" w:rsidRDefault="00F72327" w:rsidP="00514498">
      <w:pPr>
        <w:spacing w:before="1"/>
        <w:rPr>
          <w:rFonts w:eastAsia="Times New Roman"/>
        </w:rPr>
      </w:pPr>
    </w:p>
    <w:p w:rsidR="00F72327" w:rsidRDefault="00F72327" w:rsidP="00514498">
      <w:pPr>
        <w:pStyle w:val="BodyText"/>
        <w:ind w:right="233"/>
      </w:pPr>
      <w:r>
        <w:t>The</w:t>
      </w:r>
      <w:r>
        <w:rPr>
          <w:spacing w:val="-2"/>
        </w:rPr>
        <w:t xml:space="preserve"> </w:t>
      </w:r>
      <w:r>
        <w:rPr>
          <w:spacing w:val="-1"/>
        </w:rPr>
        <w:t>data</w:t>
      </w:r>
      <w:r>
        <w:t xml:space="preserve"> </w:t>
      </w:r>
      <w:r>
        <w:rPr>
          <w:spacing w:val="-1"/>
        </w:rPr>
        <w:t>presented</w:t>
      </w:r>
      <w:r>
        <w:t xml:space="preserve"> </w:t>
      </w:r>
      <w:r>
        <w:rPr>
          <w:spacing w:val="-1"/>
        </w:rPr>
        <w:t>are</w:t>
      </w:r>
      <w:r>
        <w:t xml:space="preserve"> </w:t>
      </w:r>
      <w:r>
        <w:rPr>
          <w:spacing w:val="-1"/>
        </w:rPr>
        <w:t>based</w:t>
      </w:r>
      <w:r>
        <w:t xml:space="preserve"> on an</w:t>
      </w:r>
      <w:r>
        <w:rPr>
          <w:spacing w:val="-2"/>
        </w:rPr>
        <w:t xml:space="preserve"> </w:t>
      </w:r>
      <w:r>
        <w:rPr>
          <w:spacing w:val="-1"/>
        </w:rPr>
        <w:t>interim</w:t>
      </w:r>
      <w:r>
        <w:rPr>
          <w:spacing w:val="-4"/>
        </w:rPr>
        <w:t xml:space="preserve"> </w:t>
      </w:r>
      <w:r>
        <w:rPr>
          <w:spacing w:val="-1"/>
        </w:rPr>
        <w:t>analysis</w:t>
      </w:r>
      <w:r>
        <w:rPr>
          <w:spacing w:val="-2"/>
        </w:rPr>
        <w:t xml:space="preserve"> </w:t>
      </w:r>
      <w:r>
        <w:rPr>
          <w:spacing w:val="-1"/>
        </w:rPr>
        <w:t>focusing</w:t>
      </w:r>
      <w:r>
        <w:rPr>
          <w:spacing w:val="-2"/>
        </w:rPr>
        <w:t xml:space="preserve"> </w:t>
      </w:r>
      <w:r>
        <w:t xml:space="preserve">on </w:t>
      </w:r>
      <w:r>
        <w:rPr>
          <w:spacing w:val="-1"/>
        </w:rPr>
        <w:t>the</w:t>
      </w:r>
      <w:r>
        <w:rPr>
          <w:spacing w:val="1"/>
        </w:rPr>
        <w:t xml:space="preserve"> </w:t>
      </w:r>
      <w:r>
        <w:rPr>
          <w:spacing w:val="-1"/>
        </w:rPr>
        <w:t>single-arm</w:t>
      </w:r>
      <w:r>
        <w:rPr>
          <w:spacing w:val="-4"/>
        </w:rPr>
        <w:t xml:space="preserve"> </w:t>
      </w:r>
      <w:r>
        <w:rPr>
          <w:spacing w:val="-1"/>
        </w:rPr>
        <w:t>induction</w:t>
      </w:r>
      <w:r>
        <w:t xml:space="preserve"> </w:t>
      </w:r>
      <w:r>
        <w:rPr>
          <w:spacing w:val="-1"/>
        </w:rPr>
        <w:t>treatment</w:t>
      </w:r>
      <w:r>
        <w:rPr>
          <w:spacing w:val="1"/>
        </w:rPr>
        <w:t xml:space="preserve"> </w:t>
      </w:r>
      <w:r>
        <w:rPr>
          <w:spacing w:val="-1"/>
        </w:rPr>
        <w:t>period</w:t>
      </w:r>
      <w:proofErr w:type="gramStart"/>
      <w:r>
        <w:rPr>
          <w:spacing w:val="-1"/>
        </w:rPr>
        <w:t>..</w:t>
      </w:r>
      <w:proofErr w:type="gramEnd"/>
      <w:r>
        <w:rPr>
          <w:spacing w:val="89"/>
        </w:rPr>
        <w:t xml:space="preserve"> </w:t>
      </w:r>
      <w:r>
        <w:rPr>
          <w:spacing w:val="-1"/>
        </w:rPr>
        <w:t>Efficacy</w:t>
      </w:r>
      <w:r>
        <w:rPr>
          <w:spacing w:val="-2"/>
        </w:rPr>
        <w:t xml:space="preserve"> </w:t>
      </w:r>
      <w:r>
        <w:rPr>
          <w:spacing w:val="-1"/>
        </w:rPr>
        <w:t>determinations</w:t>
      </w:r>
      <w:r>
        <w:rPr>
          <w:spacing w:val="1"/>
        </w:rPr>
        <w:t xml:space="preserve"> </w:t>
      </w:r>
      <w:r>
        <w:rPr>
          <w:spacing w:val="-1"/>
        </w:rPr>
        <w:t>are</w:t>
      </w:r>
      <w:r>
        <w:rPr>
          <w:spacing w:val="-2"/>
        </w:rPr>
        <w:t xml:space="preserve"> </w:t>
      </w:r>
      <w:r>
        <w:t>based</w:t>
      </w:r>
      <w:r>
        <w:rPr>
          <w:spacing w:val="-3"/>
        </w:rPr>
        <w:t xml:space="preserve"> </w:t>
      </w:r>
      <w:r>
        <w:t xml:space="preserve">on </w:t>
      </w:r>
      <w:r>
        <w:rPr>
          <w:spacing w:val="-1"/>
        </w:rPr>
        <w:t xml:space="preserve">ORR </w:t>
      </w:r>
      <w:r>
        <w:t>by</w:t>
      </w:r>
      <w:r>
        <w:rPr>
          <w:spacing w:val="-3"/>
        </w:rPr>
        <w:t xml:space="preserve"> </w:t>
      </w:r>
      <w:r>
        <w:t>best</w:t>
      </w:r>
      <w:r>
        <w:rPr>
          <w:spacing w:val="-2"/>
        </w:rPr>
        <w:t xml:space="preserve"> </w:t>
      </w:r>
      <w:r>
        <w:rPr>
          <w:spacing w:val="-1"/>
        </w:rPr>
        <w:t>response</w:t>
      </w:r>
      <w:r>
        <w:t xml:space="preserve"> </w:t>
      </w:r>
      <w:r>
        <w:rPr>
          <w:spacing w:val="-1"/>
        </w:rPr>
        <w:t>as</w:t>
      </w:r>
      <w:r>
        <w:t xml:space="preserve"> </w:t>
      </w:r>
      <w:r>
        <w:rPr>
          <w:spacing w:val="-1"/>
        </w:rPr>
        <w:t>the</w:t>
      </w:r>
      <w:r>
        <w:t xml:space="preserve"> </w:t>
      </w:r>
      <w:r>
        <w:rPr>
          <w:spacing w:val="-1"/>
        </w:rPr>
        <w:t>primary</w:t>
      </w:r>
      <w:r>
        <w:rPr>
          <w:spacing w:val="-2"/>
        </w:rPr>
        <w:t xml:space="preserve"> </w:t>
      </w:r>
      <w:r>
        <w:rPr>
          <w:spacing w:val="-1"/>
        </w:rPr>
        <w:t>endpoint,</w:t>
      </w:r>
      <w:r>
        <w:t xml:space="preserve"> </w:t>
      </w:r>
      <w:r>
        <w:rPr>
          <w:spacing w:val="-1"/>
        </w:rPr>
        <w:t>using</w:t>
      </w:r>
      <w:r>
        <w:rPr>
          <w:spacing w:val="-2"/>
        </w:rPr>
        <w:t xml:space="preserve"> </w:t>
      </w:r>
      <w:r>
        <w:t xml:space="preserve">a </w:t>
      </w:r>
      <w:r>
        <w:rPr>
          <w:spacing w:val="-1"/>
        </w:rPr>
        <w:t>modification</w:t>
      </w:r>
      <w:r>
        <w:t xml:space="preserve"> </w:t>
      </w:r>
      <w:r>
        <w:rPr>
          <w:spacing w:val="-2"/>
        </w:rPr>
        <w:t>of</w:t>
      </w:r>
      <w:r>
        <w:rPr>
          <w:spacing w:val="75"/>
        </w:rPr>
        <w:t xml:space="preserve"> </w:t>
      </w:r>
      <w:r>
        <w:t>the</w:t>
      </w:r>
      <w:r>
        <w:rPr>
          <w:spacing w:val="1"/>
        </w:rPr>
        <w:t xml:space="preserve"> </w:t>
      </w:r>
      <w:r>
        <w:rPr>
          <w:spacing w:val="-1"/>
        </w:rPr>
        <w:t>1999</w:t>
      </w:r>
      <w:r>
        <w:t xml:space="preserve"> </w:t>
      </w:r>
      <w:r>
        <w:rPr>
          <w:spacing w:val="-1"/>
        </w:rPr>
        <w:t>International</w:t>
      </w:r>
      <w:r>
        <w:rPr>
          <w:spacing w:val="-2"/>
        </w:rPr>
        <w:t xml:space="preserve"> </w:t>
      </w:r>
      <w:r>
        <w:rPr>
          <w:spacing w:val="-1"/>
        </w:rPr>
        <w:t>Working</w:t>
      </w:r>
      <w:r>
        <w:rPr>
          <w:spacing w:val="-2"/>
        </w:rPr>
        <w:t xml:space="preserve"> </w:t>
      </w:r>
      <w:r>
        <w:rPr>
          <w:spacing w:val="-1"/>
        </w:rPr>
        <w:t>Group</w:t>
      </w:r>
      <w:r>
        <w:t xml:space="preserve"> </w:t>
      </w:r>
      <w:r>
        <w:rPr>
          <w:spacing w:val="-1"/>
        </w:rPr>
        <w:t>Response</w:t>
      </w:r>
      <w:r>
        <w:t xml:space="preserve"> </w:t>
      </w:r>
      <w:r>
        <w:rPr>
          <w:spacing w:val="-1"/>
        </w:rPr>
        <w:t>Criteria</w:t>
      </w:r>
      <w:r>
        <w:rPr>
          <w:spacing w:val="-2"/>
        </w:rPr>
        <w:t xml:space="preserve"> </w:t>
      </w:r>
      <w:r>
        <w:rPr>
          <w:spacing w:val="-1"/>
        </w:rPr>
        <w:t>(IWGRC).</w:t>
      </w:r>
      <w:r>
        <w:t xml:space="preserve"> The</w:t>
      </w:r>
      <w:r>
        <w:rPr>
          <w:spacing w:val="-2"/>
        </w:rPr>
        <w:t xml:space="preserve"> </w:t>
      </w:r>
      <w:r>
        <w:rPr>
          <w:spacing w:val="-1"/>
        </w:rPr>
        <w:t>secondary</w:t>
      </w:r>
      <w:r>
        <w:rPr>
          <w:spacing w:val="-2"/>
        </w:rPr>
        <w:t xml:space="preserve"> </w:t>
      </w:r>
      <w:r>
        <w:rPr>
          <w:spacing w:val="-1"/>
        </w:rPr>
        <w:t>objective</w:t>
      </w:r>
      <w:r>
        <w:t xml:space="preserve"> </w:t>
      </w:r>
      <w:r>
        <w:rPr>
          <w:spacing w:val="-1"/>
        </w:rPr>
        <w:t>was</w:t>
      </w:r>
      <w:r>
        <w:rPr>
          <w:spacing w:val="1"/>
        </w:rPr>
        <w:t xml:space="preserve"> </w:t>
      </w:r>
      <w:r>
        <w:rPr>
          <w:spacing w:val="-1"/>
        </w:rPr>
        <w:t>to</w:t>
      </w:r>
      <w:r>
        <w:t xml:space="preserve"> </w:t>
      </w:r>
      <w:r>
        <w:rPr>
          <w:spacing w:val="-1"/>
        </w:rPr>
        <w:t>evaluate</w:t>
      </w:r>
      <w:r>
        <w:rPr>
          <w:spacing w:val="81"/>
        </w:rPr>
        <w:t xml:space="preserve"> </w:t>
      </w:r>
      <w:r>
        <w:rPr>
          <w:spacing w:val="-1"/>
        </w:rPr>
        <w:t>other</w:t>
      </w:r>
      <w:r>
        <w:rPr>
          <w:spacing w:val="1"/>
        </w:rPr>
        <w:t xml:space="preserve"> </w:t>
      </w:r>
      <w:r>
        <w:rPr>
          <w:spacing w:val="-1"/>
        </w:rPr>
        <w:t>parameters</w:t>
      </w:r>
      <w:r>
        <w:t xml:space="preserve"> of</w:t>
      </w:r>
      <w:r>
        <w:rPr>
          <w:spacing w:val="-2"/>
        </w:rPr>
        <w:t xml:space="preserve"> </w:t>
      </w:r>
      <w:r>
        <w:rPr>
          <w:spacing w:val="-1"/>
        </w:rPr>
        <w:t>efficacy,</w:t>
      </w:r>
      <w:r>
        <w:t xml:space="preserve"> such as </w:t>
      </w:r>
      <w:r>
        <w:rPr>
          <w:spacing w:val="-1"/>
        </w:rPr>
        <w:t>DoR.</w:t>
      </w:r>
    </w:p>
    <w:p w:rsidR="00F72327" w:rsidRDefault="00F72327" w:rsidP="00514498">
      <w:pPr>
        <w:rPr>
          <w:rFonts w:eastAsia="Times New Roman"/>
        </w:rPr>
      </w:pPr>
    </w:p>
    <w:p w:rsidR="00F72327" w:rsidRDefault="00F72327" w:rsidP="004273C8">
      <w:pPr>
        <w:pStyle w:val="Heading1"/>
        <w:numPr>
          <w:ilvl w:val="0"/>
          <w:numId w:val="0"/>
        </w:numPr>
        <w:rPr>
          <w:b w:val="0"/>
          <w:bCs w:val="0"/>
        </w:rPr>
      </w:pPr>
      <w:r>
        <w:rPr>
          <w:spacing w:val="-1"/>
        </w:rPr>
        <w:t>Table</w:t>
      </w:r>
      <w:r>
        <w:t xml:space="preserve"> </w:t>
      </w:r>
      <w:r>
        <w:rPr>
          <w:spacing w:val="-1"/>
        </w:rPr>
        <w:t>15:</w:t>
      </w:r>
      <w:r>
        <w:rPr>
          <w:spacing w:val="1"/>
        </w:rPr>
        <w:t xml:space="preserve"> </w:t>
      </w:r>
      <w:r>
        <w:rPr>
          <w:spacing w:val="-1"/>
        </w:rPr>
        <w:t>Summary</w:t>
      </w:r>
      <w:r>
        <w:t xml:space="preserve"> </w:t>
      </w:r>
      <w:r>
        <w:rPr>
          <w:spacing w:val="-2"/>
        </w:rPr>
        <w:t>of</w:t>
      </w:r>
      <w:r>
        <w:rPr>
          <w:spacing w:val="1"/>
        </w:rPr>
        <w:t xml:space="preserve"> </w:t>
      </w:r>
      <w:r>
        <w:rPr>
          <w:spacing w:val="-1"/>
        </w:rPr>
        <w:t>overall</w:t>
      </w:r>
      <w:r>
        <w:rPr>
          <w:spacing w:val="1"/>
        </w:rPr>
        <w:t xml:space="preserve"> </w:t>
      </w:r>
      <w:r>
        <w:rPr>
          <w:spacing w:val="-1"/>
        </w:rPr>
        <w:t>efficacy</w:t>
      </w:r>
      <w:r>
        <w:t xml:space="preserve"> </w:t>
      </w:r>
      <w:r>
        <w:rPr>
          <w:spacing w:val="-1"/>
        </w:rPr>
        <w:t>data</w:t>
      </w:r>
      <w:r>
        <w:t xml:space="preserve"> </w:t>
      </w:r>
      <w:r>
        <w:rPr>
          <w:spacing w:val="-1"/>
        </w:rPr>
        <w:t>(InductionTreatment</w:t>
      </w:r>
      <w:r>
        <w:rPr>
          <w:spacing w:val="-2"/>
        </w:rPr>
        <w:t xml:space="preserve"> </w:t>
      </w:r>
      <w:r>
        <w:rPr>
          <w:spacing w:val="-1"/>
        </w:rPr>
        <w:t>Period)</w:t>
      </w:r>
      <w:r>
        <w:rPr>
          <w:spacing w:val="-2"/>
        </w:rPr>
        <w:t xml:space="preserve"> </w:t>
      </w:r>
      <w:r>
        <w:t>-</w:t>
      </w:r>
      <w:r>
        <w:rPr>
          <w:spacing w:val="1"/>
        </w:rPr>
        <w:t xml:space="preserve"> </w:t>
      </w:r>
      <w:r>
        <w:rPr>
          <w:spacing w:val="-1"/>
        </w:rPr>
        <w:t>Study</w:t>
      </w:r>
      <w:r>
        <w:t xml:space="preserve"> </w:t>
      </w:r>
      <w:r>
        <w:rPr>
          <w:spacing w:val="-1"/>
        </w:rPr>
        <w:t>CC-5013-NHL-008</w:t>
      </w:r>
    </w:p>
    <w:tbl>
      <w:tblPr>
        <w:tblW w:w="0" w:type="auto"/>
        <w:tblInd w:w="108" w:type="dxa"/>
        <w:tblLayout w:type="fixed"/>
        <w:tblCellMar>
          <w:left w:w="0" w:type="dxa"/>
          <w:right w:w="0" w:type="dxa"/>
        </w:tblCellMar>
        <w:tblLook w:val="01E0" w:firstRow="1" w:lastRow="1" w:firstColumn="1" w:lastColumn="1" w:noHBand="0" w:noVBand="0"/>
      </w:tblPr>
      <w:tblGrid>
        <w:gridCol w:w="2630"/>
        <w:gridCol w:w="1265"/>
        <w:gridCol w:w="1169"/>
        <w:gridCol w:w="1260"/>
        <w:gridCol w:w="1126"/>
        <w:gridCol w:w="1253"/>
        <w:gridCol w:w="1251"/>
      </w:tblGrid>
      <w:tr w:rsidR="00F72327" w:rsidTr="00F72327">
        <w:trPr>
          <w:trHeight w:hRule="exact" w:val="504"/>
        </w:trPr>
        <w:tc>
          <w:tcPr>
            <w:tcW w:w="2630" w:type="dxa"/>
            <w:vMerge w:val="restart"/>
            <w:tcBorders>
              <w:top w:val="single" w:sz="5" w:space="0" w:color="000000"/>
              <w:left w:val="single" w:sz="5" w:space="0" w:color="000000"/>
              <w:right w:val="single" w:sz="5" w:space="0" w:color="000000"/>
            </w:tcBorders>
          </w:tcPr>
          <w:p w:rsidR="00F72327" w:rsidRDefault="00F72327" w:rsidP="00F72327"/>
        </w:tc>
        <w:tc>
          <w:tcPr>
            <w:tcW w:w="3693"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
              <w:jc w:val="center"/>
              <w:rPr>
                <w:rFonts w:ascii="Times New Roman" w:eastAsia="Times New Roman" w:hAnsi="Times New Roman" w:cs="Times New Roman"/>
              </w:rPr>
            </w:pPr>
            <w:r>
              <w:rPr>
                <w:rFonts w:ascii="Times New Roman"/>
                <w:spacing w:val="-1"/>
              </w:rPr>
              <w:t>All</w:t>
            </w:r>
            <w:r>
              <w:rPr>
                <w:rFonts w:ascii="Times New Roman"/>
                <w:spacing w:val="1"/>
              </w:rPr>
              <w:t xml:space="preserve"> </w:t>
            </w:r>
            <w:r>
              <w:rPr>
                <w:rFonts w:ascii="Times New Roman"/>
                <w:spacing w:val="-1"/>
              </w:rPr>
              <w:t>Subjects</w:t>
            </w:r>
          </w:p>
        </w:tc>
        <w:tc>
          <w:tcPr>
            <w:tcW w:w="3629"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spacing w:val="-1"/>
              </w:rPr>
              <w:t>FL Subjects</w:t>
            </w:r>
          </w:p>
        </w:tc>
      </w:tr>
      <w:tr w:rsidR="00F72327" w:rsidTr="00F72327">
        <w:trPr>
          <w:trHeight w:hRule="exact" w:val="1383"/>
        </w:trPr>
        <w:tc>
          <w:tcPr>
            <w:tcW w:w="2630" w:type="dxa"/>
            <w:vMerge/>
            <w:tcBorders>
              <w:left w:val="single" w:sz="5" w:space="0" w:color="000000"/>
              <w:bottom w:val="single" w:sz="5" w:space="0" w:color="000000"/>
              <w:right w:val="single" w:sz="5" w:space="0" w:color="000000"/>
            </w:tcBorders>
          </w:tcPr>
          <w:p w:rsidR="00F72327" w:rsidRDefault="00F72327" w:rsidP="00F72327"/>
        </w:tc>
        <w:tc>
          <w:tcPr>
            <w:tcW w:w="1265"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rPr>
                <w:rFonts w:ascii="Times New Roman" w:eastAsia="Times New Roman" w:hAnsi="Times New Roman" w:cs="Times New Roman"/>
                <w:b/>
                <w:bCs/>
              </w:rPr>
            </w:pPr>
          </w:p>
          <w:p w:rsidR="00F72327" w:rsidRDefault="00F72327" w:rsidP="00F72327">
            <w:pPr>
              <w:pStyle w:val="TableParagraph"/>
              <w:spacing w:before="6"/>
              <w:rPr>
                <w:rFonts w:ascii="Times New Roman" w:eastAsia="Times New Roman" w:hAnsi="Times New Roman" w:cs="Times New Roman"/>
                <w:b/>
                <w:bCs/>
                <w:sz w:val="32"/>
                <w:szCs w:val="32"/>
              </w:rPr>
            </w:pPr>
          </w:p>
          <w:p w:rsidR="00F72327" w:rsidRDefault="00F72327" w:rsidP="00F72327">
            <w:pPr>
              <w:pStyle w:val="TableParagraph"/>
              <w:spacing w:line="347" w:lineRule="auto"/>
              <w:ind w:left="260" w:right="259" w:firstLine="74"/>
              <w:rPr>
                <w:rFonts w:ascii="Times New Roman" w:eastAsia="Times New Roman" w:hAnsi="Times New Roman" w:cs="Times New Roman"/>
                <w:sz w:val="14"/>
                <w:szCs w:val="14"/>
              </w:rPr>
            </w:pPr>
            <w:r>
              <w:rPr>
                <w:rFonts w:ascii="Times New Roman"/>
                <w:spacing w:val="-1"/>
              </w:rPr>
              <w:t>Total</w:t>
            </w:r>
            <w:r>
              <w:rPr>
                <w:rFonts w:ascii="Times New Roman"/>
                <w:spacing w:val="23"/>
              </w:rPr>
              <w:t xml:space="preserve"> </w:t>
            </w:r>
            <w:r>
              <w:rPr>
                <w:rFonts w:ascii="Times New Roman"/>
                <w:spacing w:val="-1"/>
              </w:rPr>
              <w:t>N=187</w:t>
            </w:r>
            <w:r>
              <w:rPr>
                <w:rFonts w:ascii="Times New Roman"/>
                <w:spacing w:val="-2"/>
              </w:rPr>
              <w:t xml:space="preserve"> </w:t>
            </w:r>
            <w:r>
              <w:rPr>
                <w:rFonts w:ascii="Times New Roman"/>
                <w:position w:val="8"/>
                <w:sz w:val="14"/>
              </w:rPr>
              <w:t>a</w:t>
            </w:r>
          </w:p>
        </w:tc>
        <w:tc>
          <w:tcPr>
            <w:tcW w:w="1169"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75" w:right="77"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3"/>
              </w:rPr>
              <w:t xml:space="preserve"> </w:t>
            </w:r>
            <w:r>
              <w:rPr>
                <w:rFonts w:ascii="Times New Roman"/>
                <w:spacing w:val="-1"/>
              </w:rPr>
              <w:t>Yes</w:t>
            </w:r>
          </w:p>
          <w:p w:rsidR="00F72327" w:rsidRDefault="00F72327" w:rsidP="00F72327">
            <w:pPr>
              <w:pStyle w:val="TableParagraph"/>
              <w:spacing w:before="117"/>
              <w:ind w:right="4"/>
              <w:jc w:val="center"/>
              <w:rPr>
                <w:rFonts w:ascii="Times New Roman" w:eastAsia="Times New Roman" w:hAnsi="Times New Roman" w:cs="Times New Roman"/>
              </w:rPr>
            </w:pPr>
            <w:r>
              <w:rPr>
                <w:rFonts w:ascii="Times New Roman"/>
                <w:spacing w:val="-1"/>
              </w:rPr>
              <w:t>N=77</w:t>
            </w:r>
          </w:p>
        </w:tc>
        <w:tc>
          <w:tcPr>
            <w:tcW w:w="12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23" w:right="120"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4"/>
              </w:rPr>
              <w:t xml:space="preserve"> </w:t>
            </w:r>
            <w:r>
              <w:rPr>
                <w:rFonts w:ascii="Times New Roman"/>
                <w:spacing w:val="-1"/>
              </w:rPr>
              <w:t>No</w:t>
            </w:r>
          </w:p>
          <w:p w:rsidR="00F72327" w:rsidRDefault="00F72327" w:rsidP="00F72327">
            <w:pPr>
              <w:pStyle w:val="TableParagraph"/>
              <w:spacing w:before="117"/>
              <w:ind w:left="2"/>
              <w:jc w:val="center"/>
              <w:rPr>
                <w:rFonts w:ascii="Times New Roman" w:eastAsia="Times New Roman" w:hAnsi="Times New Roman" w:cs="Times New Roman"/>
              </w:rPr>
            </w:pPr>
            <w:r>
              <w:rPr>
                <w:rFonts w:ascii="Times New Roman"/>
                <w:spacing w:val="-1"/>
              </w:rPr>
              <w:t>N=110</w:t>
            </w:r>
          </w:p>
        </w:tc>
        <w:tc>
          <w:tcPr>
            <w:tcW w:w="112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rPr>
                <w:rFonts w:ascii="Times New Roman" w:eastAsia="Times New Roman" w:hAnsi="Times New Roman" w:cs="Times New Roman"/>
                <w:b/>
                <w:bCs/>
              </w:rPr>
            </w:pPr>
          </w:p>
          <w:p w:rsidR="00F72327" w:rsidRDefault="00F72327" w:rsidP="00F72327">
            <w:pPr>
              <w:pStyle w:val="TableParagraph"/>
              <w:spacing w:before="6"/>
              <w:rPr>
                <w:rFonts w:ascii="Times New Roman" w:eastAsia="Times New Roman" w:hAnsi="Times New Roman" w:cs="Times New Roman"/>
                <w:b/>
                <w:bCs/>
                <w:sz w:val="32"/>
                <w:szCs w:val="32"/>
              </w:rPr>
            </w:pPr>
          </w:p>
          <w:p w:rsidR="00F72327" w:rsidRDefault="00F72327" w:rsidP="00F72327">
            <w:pPr>
              <w:pStyle w:val="TableParagraph"/>
              <w:spacing w:line="352" w:lineRule="auto"/>
              <w:ind w:left="251" w:right="246" w:firstLine="74"/>
              <w:rPr>
                <w:rFonts w:ascii="Times New Roman" w:eastAsia="Times New Roman" w:hAnsi="Times New Roman" w:cs="Times New Roman"/>
              </w:rPr>
            </w:pPr>
            <w:r>
              <w:rPr>
                <w:rFonts w:ascii="Times New Roman"/>
                <w:spacing w:val="-1"/>
              </w:rPr>
              <w:t>Total</w:t>
            </w:r>
            <w:r>
              <w:rPr>
                <w:rFonts w:ascii="Times New Roman"/>
                <w:spacing w:val="23"/>
              </w:rPr>
              <w:t xml:space="preserve"> </w:t>
            </w:r>
            <w:r>
              <w:rPr>
                <w:rFonts w:ascii="Times New Roman"/>
                <w:spacing w:val="-1"/>
              </w:rPr>
              <w:t>N=148</w:t>
            </w:r>
          </w:p>
        </w:tc>
        <w:tc>
          <w:tcPr>
            <w:tcW w:w="1253"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18" w:right="117"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6"/>
              </w:rPr>
              <w:t xml:space="preserve"> </w:t>
            </w:r>
            <w:r>
              <w:rPr>
                <w:rFonts w:ascii="Times New Roman"/>
                <w:spacing w:val="-1"/>
              </w:rPr>
              <w:t>Yes</w:t>
            </w:r>
          </w:p>
          <w:p w:rsidR="00F72327" w:rsidRDefault="00F72327" w:rsidP="00F72327">
            <w:pPr>
              <w:pStyle w:val="TableParagraph"/>
              <w:spacing w:before="117"/>
              <w:jc w:val="center"/>
              <w:rPr>
                <w:rFonts w:ascii="Times New Roman" w:eastAsia="Times New Roman" w:hAnsi="Times New Roman" w:cs="Times New Roman"/>
              </w:rPr>
            </w:pPr>
            <w:r>
              <w:rPr>
                <w:rFonts w:ascii="Times New Roman"/>
                <w:spacing w:val="-1"/>
              </w:rPr>
              <w:t>N=60</w:t>
            </w:r>
          </w:p>
        </w:tc>
        <w:tc>
          <w:tcPr>
            <w:tcW w:w="1251"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18" w:right="115"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4"/>
              </w:rPr>
              <w:t xml:space="preserve"> </w:t>
            </w:r>
            <w:r>
              <w:rPr>
                <w:rFonts w:ascii="Times New Roman"/>
                <w:spacing w:val="-1"/>
              </w:rPr>
              <w:t>No</w:t>
            </w:r>
          </w:p>
          <w:p w:rsidR="00F72327" w:rsidRDefault="00F72327" w:rsidP="00F72327">
            <w:pPr>
              <w:pStyle w:val="TableParagraph"/>
              <w:spacing w:before="117"/>
              <w:jc w:val="center"/>
              <w:rPr>
                <w:rFonts w:ascii="Times New Roman" w:eastAsia="Times New Roman" w:hAnsi="Times New Roman" w:cs="Times New Roman"/>
              </w:rPr>
            </w:pPr>
            <w:r>
              <w:rPr>
                <w:rFonts w:ascii="Times New Roman"/>
                <w:spacing w:val="-1"/>
              </w:rPr>
              <w:t>N=88</w:t>
            </w:r>
          </w:p>
        </w:tc>
      </w:tr>
      <w:tr w:rsidR="00F72327" w:rsidTr="00F72327">
        <w:trPr>
          <w:trHeight w:hRule="exact" w:val="756"/>
        </w:trPr>
        <w:tc>
          <w:tcPr>
            <w:tcW w:w="2630" w:type="dxa"/>
            <w:tcBorders>
              <w:top w:val="single" w:sz="5" w:space="0" w:color="000000"/>
              <w:left w:val="single" w:sz="5" w:space="0" w:color="000000"/>
              <w:bottom w:val="single" w:sz="5" w:space="0" w:color="000000"/>
              <w:right w:val="single" w:sz="5" w:space="0" w:color="000000"/>
            </w:tcBorders>
          </w:tcPr>
          <w:p w:rsidR="00F72327" w:rsidRPr="00B75DCD" w:rsidRDefault="00F72327" w:rsidP="00F72327">
            <w:pPr>
              <w:pStyle w:val="TableParagraph"/>
              <w:spacing w:before="117"/>
              <w:ind w:left="102" w:right="1152"/>
              <w:rPr>
                <w:rFonts w:ascii="Times New Roman" w:eastAsia="Times New Roman" w:hAnsi="Times New Roman" w:cs="Times New Roman"/>
                <w:lang w:val="es-ES"/>
              </w:rPr>
            </w:pPr>
            <w:r w:rsidRPr="00B75DCD">
              <w:rPr>
                <w:rFonts w:ascii="Times New Roman"/>
                <w:spacing w:val="-1"/>
                <w:lang w:val="es-ES"/>
              </w:rPr>
              <w:t>ORR,</w:t>
            </w:r>
            <w:r w:rsidRPr="00B75DCD">
              <w:rPr>
                <w:rFonts w:ascii="Times New Roman"/>
                <w:lang w:val="es-ES"/>
              </w:rPr>
              <w:t xml:space="preserve"> n (%)</w:t>
            </w:r>
            <w:r w:rsidRPr="00B75DCD">
              <w:rPr>
                <w:rFonts w:ascii="Times New Roman"/>
                <w:spacing w:val="21"/>
                <w:lang w:val="es-ES"/>
              </w:rPr>
              <w:t xml:space="preserve"> </w:t>
            </w:r>
            <w:r w:rsidRPr="00B75DCD">
              <w:rPr>
                <w:rFonts w:ascii="Times New Roman"/>
                <w:spacing w:val="-1"/>
                <w:lang w:val="es-ES"/>
              </w:rPr>
              <w:t>(CR+CRu+PR)</w:t>
            </w:r>
          </w:p>
        </w:tc>
        <w:tc>
          <w:tcPr>
            <w:tcW w:w="1265"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66"/>
              <w:rPr>
                <w:rFonts w:ascii="Times New Roman" w:eastAsia="Times New Roman" w:hAnsi="Times New Roman" w:cs="Times New Roman"/>
              </w:rPr>
            </w:pPr>
            <w:r>
              <w:rPr>
                <w:rFonts w:ascii="Times New Roman"/>
              </w:rPr>
              <w:t xml:space="preserve">127 </w:t>
            </w:r>
            <w:r>
              <w:rPr>
                <w:rFonts w:ascii="Times New Roman"/>
                <w:spacing w:val="-1"/>
              </w:rPr>
              <w:t>(67.9)</w:t>
            </w:r>
          </w:p>
        </w:tc>
        <w:tc>
          <w:tcPr>
            <w:tcW w:w="1169"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72"/>
              <w:rPr>
                <w:rFonts w:ascii="Times New Roman" w:eastAsia="Times New Roman" w:hAnsi="Times New Roman" w:cs="Times New Roman"/>
              </w:rPr>
            </w:pPr>
            <w:r>
              <w:rPr>
                <w:rFonts w:ascii="Times New Roman"/>
              </w:rPr>
              <w:t xml:space="preserve">45 </w:t>
            </w:r>
            <w:r>
              <w:rPr>
                <w:rFonts w:ascii="Times New Roman"/>
                <w:spacing w:val="-1"/>
              </w:rPr>
              <w:t>(58.4)</w:t>
            </w:r>
          </w:p>
        </w:tc>
        <w:tc>
          <w:tcPr>
            <w:tcW w:w="12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20"/>
              <w:rPr>
                <w:rFonts w:ascii="Times New Roman" w:eastAsia="Times New Roman" w:hAnsi="Times New Roman" w:cs="Times New Roman"/>
              </w:rPr>
            </w:pPr>
            <w:r>
              <w:rPr>
                <w:rFonts w:ascii="Times New Roman"/>
              </w:rPr>
              <w:t xml:space="preserve">82 </w:t>
            </w:r>
            <w:r>
              <w:rPr>
                <w:rFonts w:ascii="Times New Roman"/>
                <w:spacing w:val="-1"/>
              </w:rPr>
              <w:t>(75.2)</w:t>
            </w:r>
          </w:p>
        </w:tc>
        <w:tc>
          <w:tcPr>
            <w:tcW w:w="112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98"/>
              <w:rPr>
                <w:rFonts w:ascii="Times New Roman" w:eastAsia="Times New Roman" w:hAnsi="Times New Roman" w:cs="Times New Roman"/>
              </w:rPr>
            </w:pPr>
            <w:r>
              <w:rPr>
                <w:rFonts w:ascii="Times New Roman"/>
              </w:rPr>
              <w:t xml:space="preserve">104 </w:t>
            </w:r>
            <w:r>
              <w:rPr>
                <w:rFonts w:ascii="Times New Roman"/>
                <w:spacing w:val="-1"/>
              </w:rPr>
              <w:t>(70.3)</w:t>
            </w:r>
          </w:p>
        </w:tc>
        <w:tc>
          <w:tcPr>
            <w:tcW w:w="1253"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17"/>
              <w:rPr>
                <w:rFonts w:ascii="Times New Roman" w:eastAsia="Times New Roman" w:hAnsi="Times New Roman" w:cs="Times New Roman"/>
              </w:rPr>
            </w:pPr>
            <w:r>
              <w:rPr>
                <w:rFonts w:ascii="Times New Roman"/>
              </w:rPr>
              <w:t xml:space="preserve">35 </w:t>
            </w:r>
            <w:r>
              <w:rPr>
                <w:rFonts w:ascii="Times New Roman"/>
                <w:spacing w:val="-1"/>
              </w:rPr>
              <w:t>(58.3)</w:t>
            </w:r>
          </w:p>
        </w:tc>
        <w:tc>
          <w:tcPr>
            <w:tcW w:w="1251"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14"/>
              <w:rPr>
                <w:rFonts w:ascii="Times New Roman" w:eastAsia="Times New Roman" w:hAnsi="Times New Roman" w:cs="Times New Roman"/>
              </w:rPr>
            </w:pPr>
            <w:r>
              <w:rPr>
                <w:rFonts w:ascii="Times New Roman"/>
              </w:rPr>
              <w:t xml:space="preserve">69 </w:t>
            </w:r>
            <w:r>
              <w:rPr>
                <w:rFonts w:ascii="Times New Roman"/>
                <w:spacing w:val="-1"/>
              </w:rPr>
              <w:t>(79.3)</w:t>
            </w:r>
          </w:p>
        </w:tc>
      </w:tr>
      <w:tr w:rsidR="00F72327" w:rsidTr="00F72327">
        <w:trPr>
          <w:trHeight w:hRule="exact" w:val="767"/>
        </w:trPr>
        <w:tc>
          <w:tcPr>
            <w:tcW w:w="2630"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17"/>
              <w:ind w:left="102" w:right="1469"/>
              <w:rPr>
                <w:rFonts w:ascii="Times New Roman" w:eastAsia="Times New Roman" w:hAnsi="Times New Roman" w:cs="Times New Roman"/>
              </w:rPr>
            </w:pPr>
            <w:r>
              <w:rPr>
                <w:rFonts w:ascii="Times New Roman"/>
                <w:spacing w:val="-1"/>
              </w:rPr>
              <w:t>CRR,</w:t>
            </w:r>
            <w:r>
              <w:rPr>
                <w:rFonts w:ascii="Times New Roman"/>
              </w:rPr>
              <w:t xml:space="preserve"> n </w:t>
            </w:r>
            <w:r>
              <w:rPr>
                <w:rFonts w:ascii="Times New Roman"/>
                <w:spacing w:val="-1"/>
              </w:rPr>
              <w:t>(%)</w:t>
            </w:r>
            <w:r>
              <w:rPr>
                <w:rFonts w:ascii="Times New Roman"/>
                <w:spacing w:val="23"/>
              </w:rPr>
              <w:t xml:space="preserve"> </w:t>
            </w:r>
            <w:r>
              <w:rPr>
                <w:rFonts w:ascii="Times New Roman"/>
                <w:spacing w:val="-1"/>
              </w:rPr>
              <w:t>(CR+Cru)</w:t>
            </w:r>
          </w:p>
        </w:tc>
        <w:tc>
          <w:tcPr>
            <w:tcW w:w="1265"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22"/>
              <w:rPr>
                <w:rFonts w:ascii="Times New Roman" w:eastAsia="Times New Roman" w:hAnsi="Times New Roman" w:cs="Times New Roman"/>
              </w:rPr>
            </w:pPr>
            <w:r>
              <w:rPr>
                <w:rFonts w:ascii="Times New Roman"/>
              </w:rPr>
              <w:t xml:space="preserve">79 </w:t>
            </w:r>
            <w:r>
              <w:rPr>
                <w:rFonts w:ascii="Times New Roman"/>
                <w:spacing w:val="-1"/>
              </w:rPr>
              <w:t>(42.2)</w:t>
            </w:r>
          </w:p>
        </w:tc>
        <w:tc>
          <w:tcPr>
            <w:tcW w:w="1169"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171"/>
              <w:rPr>
                <w:rFonts w:ascii="Times New Roman" w:eastAsia="Times New Roman" w:hAnsi="Times New Roman" w:cs="Times New Roman"/>
              </w:rPr>
            </w:pPr>
            <w:r>
              <w:rPr>
                <w:rFonts w:ascii="Times New Roman"/>
              </w:rPr>
              <w:t xml:space="preserve">27 </w:t>
            </w:r>
            <w:r>
              <w:rPr>
                <w:rFonts w:ascii="Times New Roman"/>
                <w:spacing w:val="-1"/>
              </w:rPr>
              <w:t>(35.1)</w:t>
            </w:r>
          </w:p>
        </w:tc>
        <w:tc>
          <w:tcPr>
            <w:tcW w:w="1260"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20"/>
              <w:rPr>
                <w:rFonts w:ascii="Times New Roman" w:eastAsia="Times New Roman" w:hAnsi="Times New Roman" w:cs="Times New Roman"/>
              </w:rPr>
            </w:pPr>
            <w:r>
              <w:rPr>
                <w:rFonts w:ascii="Times New Roman"/>
              </w:rPr>
              <w:t xml:space="preserve">52 </w:t>
            </w:r>
            <w:r>
              <w:rPr>
                <w:rFonts w:ascii="Times New Roman"/>
                <w:spacing w:val="-1"/>
              </w:rPr>
              <w:t>(47.7)</w:t>
            </w:r>
          </w:p>
        </w:tc>
        <w:tc>
          <w:tcPr>
            <w:tcW w:w="1126"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153"/>
              <w:rPr>
                <w:rFonts w:ascii="Times New Roman" w:eastAsia="Times New Roman" w:hAnsi="Times New Roman" w:cs="Times New Roman"/>
              </w:rPr>
            </w:pPr>
            <w:r>
              <w:rPr>
                <w:rFonts w:ascii="Times New Roman"/>
              </w:rPr>
              <w:t xml:space="preserve">62 </w:t>
            </w:r>
            <w:r>
              <w:rPr>
                <w:rFonts w:ascii="Times New Roman"/>
                <w:spacing w:val="-1"/>
              </w:rPr>
              <w:t>(41.9)</w:t>
            </w:r>
          </w:p>
        </w:tc>
        <w:tc>
          <w:tcPr>
            <w:tcW w:w="1253"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18"/>
              <w:rPr>
                <w:rFonts w:ascii="Times New Roman" w:eastAsia="Times New Roman" w:hAnsi="Times New Roman" w:cs="Times New Roman"/>
              </w:rPr>
            </w:pPr>
            <w:r>
              <w:rPr>
                <w:rFonts w:ascii="Times New Roman"/>
              </w:rPr>
              <w:t xml:space="preserve">20 </w:t>
            </w:r>
            <w:r>
              <w:rPr>
                <w:rFonts w:ascii="Times New Roman"/>
                <w:spacing w:val="-1"/>
              </w:rPr>
              <w:t>(33.3)</w:t>
            </w:r>
          </w:p>
        </w:tc>
        <w:tc>
          <w:tcPr>
            <w:tcW w:w="1251"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14"/>
              <w:rPr>
                <w:rFonts w:ascii="Times New Roman" w:eastAsia="Times New Roman" w:hAnsi="Times New Roman" w:cs="Times New Roman"/>
              </w:rPr>
            </w:pPr>
            <w:r>
              <w:rPr>
                <w:rFonts w:ascii="Times New Roman"/>
              </w:rPr>
              <w:t xml:space="preserve">42 </w:t>
            </w:r>
            <w:r>
              <w:rPr>
                <w:rFonts w:ascii="Times New Roman"/>
                <w:spacing w:val="-1"/>
              </w:rPr>
              <w:t>(48.3)</w:t>
            </w:r>
          </w:p>
        </w:tc>
      </w:tr>
      <w:tr w:rsidR="00F72327" w:rsidTr="00F72327">
        <w:trPr>
          <w:trHeight w:hRule="exact" w:val="512"/>
        </w:trPr>
        <w:tc>
          <w:tcPr>
            <w:tcW w:w="2630"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102"/>
              <w:rPr>
                <w:rFonts w:ascii="Times New Roman" w:eastAsia="Times New Roman" w:hAnsi="Times New Roman" w:cs="Times New Roman"/>
              </w:rPr>
            </w:pPr>
            <w:r>
              <w:rPr>
                <w:rFonts w:ascii="Times New Roman"/>
                <w:b/>
                <w:spacing w:val="-1"/>
              </w:rPr>
              <w:t>Number</w:t>
            </w:r>
            <w:r>
              <w:rPr>
                <w:rFonts w:ascii="Times New Roman"/>
                <w:b/>
              </w:rPr>
              <w:t xml:space="preserve"> </w:t>
            </w:r>
            <w:r>
              <w:rPr>
                <w:rFonts w:ascii="Times New Roman"/>
                <w:b/>
                <w:spacing w:val="-2"/>
              </w:rPr>
              <w:t>of</w:t>
            </w:r>
            <w:r>
              <w:rPr>
                <w:rFonts w:ascii="Times New Roman"/>
                <w:b/>
                <w:spacing w:val="1"/>
              </w:rPr>
              <w:t xml:space="preserve"> </w:t>
            </w:r>
            <w:r>
              <w:rPr>
                <w:rFonts w:ascii="Times New Roman"/>
                <w:b/>
                <w:spacing w:val="-1"/>
              </w:rPr>
              <w:t>Responders</w:t>
            </w:r>
          </w:p>
        </w:tc>
        <w:tc>
          <w:tcPr>
            <w:tcW w:w="1265"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18"/>
              <w:rPr>
                <w:rFonts w:ascii="Times New Roman" w:eastAsia="Times New Roman" w:hAnsi="Times New Roman" w:cs="Times New Roman"/>
              </w:rPr>
            </w:pPr>
            <w:r>
              <w:rPr>
                <w:rFonts w:ascii="Times New Roman"/>
                <w:b/>
                <w:spacing w:val="-1"/>
              </w:rPr>
              <w:t>N=127</w:t>
            </w:r>
          </w:p>
        </w:tc>
        <w:tc>
          <w:tcPr>
            <w:tcW w:w="1169"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23"/>
              <w:rPr>
                <w:rFonts w:ascii="Times New Roman" w:eastAsia="Times New Roman" w:hAnsi="Times New Roman" w:cs="Times New Roman"/>
              </w:rPr>
            </w:pPr>
            <w:r>
              <w:rPr>
                <w:rFonts w:ascii="Times New Roman"/>
                <w:b/>
                <w:spacing w:val="-1"/>
              </w:rPr>
              <w:t>N=45</w:t>
            </w:r>
          </w:p>
        </w:tc>
        <w:tc>
          <w:tcPr>
            <w:tcW w:w="1260"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71"/>
              <w:rPr>
                <w:rFonts w:ascii="Times New Roman" w:eastAsia="Times New Roman" w:hAnsi="Times New Roman" w:cs="Times New Roman"/>
              </w:rPr>
            </w:pPr>
            <w:r>
              <w:rPr>
                <w:rFonts w:ascii="Times New Roman"/>
                <w:b/>
                <w:spacing w:val="-1"/>
              </w:rPr>
              <w:t>N=82</w:t>
            </w:r>
          </w:p>
        </w:tc>
        <w:tc>
          <w:tcPr>
            <w:tcW w:w="1126"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248"/>
              <w:rPr>
                <w:rFonts w:ascii="Times New Roman" w:eastAsia="Times New Roman" w:hAnsi="Times New Roman" w:cs="Times New Roman"/>
              </w:rPr>
            </w:pPr>
            <w:r>
              <w:rPr>
                <w:rFonts w:ascii="Times New Roman"/>
                <w:b/>
                <w:spacing w:val="-1"/>
              </w:rPr>
              <w:t>N=104</w:t>
            </w:r>
          </w:p>
        </w:tc>
        <w:tc>
          <w:tcPr>
            <w:tcW w:w="1253"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68"/>
              <w:rPr>
                <w:rFonts w:ascii="Times New Roman" w:eastAsia="Times New Roman" w:hAnsi="Times New Roman" w:cs="Times New Roman"/>
              </w:rPr>
            </w:pPr>
            <w:r>
              <w:rPr>
                <w:rFonts w:ascii="Times New Roman"/>
                <w:b/>
                <w:spacing w:val="-1"/>
              </w:rPr>
              <w:t>N=35</w:t>
            </w:r>
          </w:p>
        </w:tc>
        <w:tc>
          <w:tcPr>
            <w:tcW w:w="1251"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66"/>
              <w:rPr>
                <w:rFonts w:ascii="Times New Roman" w:eastAsia="Times New Roman" w:hAnsi="Times New Roman" w:cs="Times New Roman"/>
              </w:rPr>
            </w:pPr>
            <w:r>
              <w:rPr>
                <w:rFonts w:ascii="Times New Roman"/>
                <w:b/>
                <w:spacing w:val="-1"/>
              </w:rPr>
              <w:t>N=69</w:t>
            </w:r>
          </w:p>
        </w:tc>
      </w:tr>
      <w:tr w:rsidR="00F72327" w:rsidTr="00F72327">
        <w:trPr>
          <w:trHeight w:hRule="exact" w:val="382"/>
        </w:trPr>
        <w:tc>
          <w:tcPr>
            <w:tcW w:w="263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2"/>
              <w:ind w:left="102"/>
              <w:rPr>
                <w:rFonts w:ascii="Times New Roman" w:eastAsia="Times New Roman" w:hAnsi="Times New Roman" w:cs="Times New Roman"/>
                <w:sz w:val="14"/>
                <w:szCs w:val="14"/>
              </w:rPr>
            </w:pPr>
            <w:r>
              <w:rPr>
                <w:rFonts w:ascii="Times New Roman"/>
                <w:b/>
              </w:rPr>
              <w:t>%</w:t>
            </w:r>
            <w:r>
              <w:rPr>
                <w:rFonts w:ascii="Times New Roman"/>
                <w:b/>
                <w:spacing w:val="-4"/>
              </w:rPr>
              <w:t xml:space="preserve"> </w:t>
            </w:r>
            <w:r>
              <w:rPr>
                <w:rFonts w:ascii="Times New Roman"/>
                <w:b/>
              </w:rPr>
              <w:t>of</w:t>
            </w:r>
            <w:r>
              <w:rPr>
                <w:rFonts w:ascii="Times New Roman"/>
                <w:b/>
                <w:spacing w:val="3"/>
              </w:rPr>
              <w:t xml:space="preserve"> </w:t>
            </w:r>
            <w:r>
              <w:rPr>
                <w:rFonts w:ascii="Times New Roman"/>
                <w:b/>
                <w:spacing w:val="-1"/>
              </w:rPr>
              <w:t>Subjects</w:t>
            </w:r>
            <w:r>
              <w:rPr>
                <w:rFonts w:ascii="Times New Roman"/>
                <w:b/>
                <w:spacing w:val="-2"/>
              </w:rPr>
              <w:t xml:space="preserve"> </w:t>
            </w:r>
            <w:r>
              <w:rPr>
                <w:rFonts w:ascii="Times New Roman"/>
                <w:b/>
                <w:spacing w:val="-1"/>
              </w:rPr>
              <w:t>with</w:t>
            </w:r>
            <w:r>
              <w:rPr>
                <w:rFonts w:ascii="Times New Roman"/>
                <w:b/>
              </w:rPr>
              <w:t xml:space="preserve"> </w:t>
            </w:r>
            <w:r>
              <w:rPr>
                <w:rFonts w:ascii="Times New Roman"/>
                <w:b/>
                <w:spacing w:val="-1"/>
              </w:rPr>
              <w:t xml:space="preserve">DoR </w:t>
            </w:r>
            <w:r>
              <w:rPr>
                <w:rFonts w:ascii="Times New Roman"/>
                <w:b/>
                <w:position w:val="8"/>
                <w:sz w:val="14"/>
              </w:rPr>
              <w:t>b</w:t>
            </w:r>
          </w:p>
        </w:tc>
        <w:tc>
          <w:tcPr>
            <w:tcW w:w="1265"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93.0</w:t>
            </w:r>
          </w:p>
        </w:tc>
        <w:tc>
          <w:tcPr>
            <w:tcW w:w="1169"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383"/>
              <w:rPr>
                <w:rFonts w:ascii="Times New Roman" w:eastAsia="Times New Roman" w:hAnsi="Times New Roman" w:cs="Times New Roman"/>
              </w:rPr>
            </w:pPr>
            <w:r>
              <w:rPr>
                <w:rFonts w:ascii="Times New Roman"/>
                <w:b/>
              </w:rPr>
              <w:t>90.4</w:t>
            </w:r>
          </w:p>
        </w:tc>
        <w:tc>
          <w:tcPr>
            <w:tcW w:w="12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94.5</w:t>
            </w:r>
          </w:p>
        </w:tc>
        <w:tc>
          <w:tcPr>
            <w:tcW w:w="112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363"/>
              <w:rPr>
                <w:rFonts w:ascii="Times New Roman" w:eastAsia="Times New Roman" w:hAnsi="Times New Roman" w:cs="Times New Roman"/>
              </w:rPr>
            </w:pPr>
            <w:r>
              <w:rPr>
                <w:rFonts w:ascii="Times New Roman"/>
                <w:b/>
              </w:rPr>
              <w:t>94.3</w:t>
            </w:r>
          </w:p>
        </w:tc>
        <w:tc>
          <w:tcPr>
            <w:tcW w:w="1253"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2"/>
              <w:jc w:val="center"/>
              <w:rPr>
                <w:rFonts w:ascii="Times New Roman" w:eastAsia="Times New Roman" w:hAnsi="Times New Roman" w:cs="Times New Roman"/>
              </w:rPr>
            </w:pPr>
            <w:r>
              <w:rPr>
                <w:rFonts w:ascii="Times New Roman"/>
                <w:b/>
              </w:rPr>
              <w:t>96.0</w:t>
            </w:r>
          </w:p>
        </w:tc>
        <w:tc>
          <w:tcPr>
            <w:tcW w:w="1251"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93.5</w:t>
            </w:r>
          </w:p>
        </w:tc>
      </w:tr>
      <w:tr w:rsidR="00F72327" w:rsidTr="00F72327">
        <w:trPr>
          <w:trHeight w:hRule="exact" w:val="372"/>
        </w:trPr>
        <w:tc>
          <w:tcPr>
            <w:tcW w:w="263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2"/>
              <w:rPr>
                <w:rFonts w:ascii="Times New Roman" w:eastAsia="Times New Roman" w:hAnsi="Times New Roman" w:cs="Times New Roman"/>
                <w:sz w:val="14"/>
                <w:szCs w:val="14"/>
              </w:rPr>
            </w:pPr>
            <w:r>
              <w:rPr>
                <w:rFonts w:ascii="Times New Roman" w:eastAsia="Times New Roman" w:hAnsi="Times New Roman" w:cs="Times New Roman"/>
                <w:b/>
                <w:bCs/>
              </w:rPr>
              <w:t>≥ 6</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months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(95%</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CI)</w:t>
            </w:r>
            <w:r>
              <w:rPr>
                <w:rFonts w:ascii="Times New Roman" w:eastAsia="Times New Roman" w:hAnsi="Times New Roman" w:cs="Times New Roman"/>
                <w:b/>
                <w:bCs/>
                <w:spacing w:val="1"/>
              </w:rPr>
              <w:t xml:space="preserve"> </w:t>
            </w:r>
            <w:r>
              <w:rPr>
                <w:rFonts w:ascii="Times New Roman" w:eastAsia="Times New Roman" w:hAnsi="Times New Roman" w:cs="Times New Roman"/>
                <w:b/>
                <w:bCs/>
                <w:position w:val="8"/>
                <w:sz w:val="14"/>
                <w:szCs w:val="14"/>
              </w:rPr>
              <w:t>c</w:t>
            </w:r>
          </w:p>
        </w:tc>
        <w:tc>
          <w:tcPr>
            <w:tcW w:w="1265"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11"/>
              <w:rPr>
                <w:rFonts w:ascii="Times New Roman" w:eastAsia="Times New Roman" w:hAnsi="Times New Roman" w:cs="Times New Roman"/>
              </w:rPr>
            </w:pPr>
            <w:r>
              <w:rPr>
                <w:rFonts w:ascii="Times New Roman"/>
                <w:b/>
              </w:rPr>
              <w:t xml:space="preserve">(85.1, </w:t>
            </w:r>
            <w:r>
              <w:rPr>
                <w:rFonts w:ascii="Times New Roman"/>
                <w:b/>
                <w:spacing w:val="-1"/>
              </w:rPr>
              <w:t>96.8)</w:t>
            </w:r>
          </w:p>
        </w:tc>
        <w:tc>
          <w:tcPr>
            <w:tcW w:w="1169"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61"/>
              <w:rPr>
                <w:rFonts w:ascii="Times New Roman" w:eastAsia="Times New Roman" w:hAnsi="Times New Roman" w:cs="Times New Roman"/>
              </w:rPr>
            </w:pPr>
            <w:r>
              <w:rPr>
                <w:rFonts w:ascii="Times New Roman"/>
                <w:b/>
              </w:rPr>
              <w:t xml:space="preserve">(73.0, </w:t>
            </w:r>
            <w:r>
              <w:rPr>
                <w:rFonts w:ascii="Times New Roman"/>
                <w:b/>
                <w:spacing w:val="-1"/>
              </w:rPr>
              <w:t>96.8)</w:t>
            </w:r>
          </w:p>
        </w:tc>
        <w:tc>
          <w:tcPr>
            <w:tcW w:w="12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9"/>
              <w:rPr>
                <w:rFonts w:ascii="Times New Roman" w:eastAsia="Times New Roman" w:hAnsi="Times New Roman" w:cs="Times New Roman"/>
              </w:rPr>
            </w:pPr>
            <w:r>
              <w:rPr>
                <w:rFonts w:ascii="Times New Roman"/>
                <w:b/>
              </w:rPr>
              <w:t xml:space="preserve">(83.9, </w:t>
            </w:r>
            <w:r>
              <w:rPr>
                <w:rFonts w:ascii="Times New Roman"/>
                <w:b/>
                <w:spacing w:val="-1"/>
              </w:rPr>
              <w:t>98.2)</w:t>
            </w:r>
          </w:p>
        </w:tc>
        <w:tc>
          <w:tcPr>
            <w:tcW w:w="112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42"/>
              <w:rPr>
                <w:rFonts w:ascii="Times New Roman" w:eastAsia="Times New Roman" w:hAnsi="Times New Roman" w:cs="Times New Roman"/>
              </w:rPr>
            </w:pPr>
            <w:r>
              <w:rPr>
                <w:rFonts w:ascii="Times New Roman"/>
                <w:b/>
              </w:rPr>
              <w:t xml:space="preserve">(85.5, </w:t>
            </w:r>
            <w:r>
              <w:rPr>
                <w:rFonts w:ascii="Times New Roman"/>
                <w:b/>
                <w:spacing w:val="-1"/>
              </w:rPr>
              <w:t>97.9)</w:t>
            </w:r>
          </w:p>
        </w:tc>
        <w:tc>
          <w:tcPr>
            <w:tcW w:w="1253"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6"/>
              <w:rPr>
                <w:rFonts w:ascii="Times New Roman" w:eastAsia="Times New Roman" w:hAnsi="Times New Roman" w:cs="Times New Roman"/>
              </w:rPr>
            </w:pPr>
            <w:r>
              <w:rPr>
                <w:rFonts w:ascii="Times New Roman"/>
                <w:b/>
              </w:rPr>
              <w:t xml:space="preserve">(74.8, </w:t>
            </w:r>
            <w:r>
              <w:rPr>
                <w:rFonts w:ascii="Times New Roman"/>
                <w:b/>
                <w:spacing w:val="-1"/>
              </w:rPr>
              <w:t>99.4)</w:t>
            </w:r>
          </w:p>
        </w:tc>
        <w:tc>
          <w:tcPr>
            <w:tcW w:w="1251"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4"/>
              <w:rPr>
                <w:rFonts w:ascii="Times New Roman" w:eastAsia="Times New Roman" w:hAnsi="Times New Roman" w:cs="Times New Roman"/>
              </w:rPr>
            </w:pPr>
            <w:r>
              <w:rPr>
                <w:rFonts w:ascii="Times New Roman"/>
                <w:b/>
              </w:rPr>
              <w:t xml:space="preserve">(81.0, </w:t>
            </w:r>
            <w:r>
              <w:rPr>
                <w:rFonts w:ascii="Times New Roman"/>
                <w:b/>
                <w:spacing w:val="-1"/>
              </w:rPr>
              <w:t>97.9)</w:t>
            </w:r>
          </w:p>
        </w:tc>
      </w:tr>
      <w:tr w:rsidR="00F72327" w:rsidTr="00F72327">
        <w:trPr>
          <w:trHeight w:hRule="exact" w:val="384"/>
        </w:trPr>
        <w:tc>
          <w:tcPr>
            <w:tcW w:w="263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4"/>
              <w:ind w:left="102"/>
              <w:rPr>
                <w:rFonts w:ascii="Times New Roman" w:eastAsia="Times New Roman" w:hAnsi="Times New Roman" w:cs="Times New Roman"/>
                <w:sz w:val="14"/>
                <w:szCs w:val="14"/>
              </w:rPr>
            </w:pPr>
            <w:r>
              <w:rPr>
                <w:rFonts w:ascii="Times New Roman"/>
                <w:b/>
              </w:rPr>
              <w:t>%</w:t>
            </w:r>
            <w:r>
              <w:rPr>
                <w:rFonts w:ascii="Times New Roman"/>
                <w:b/>
                <w:spacing w:val="-4"/>
              </w:rPr>
              <w:t xml:space="preserve"> </w:t>
            </w:r>
            <w:r>
              <w:rPr>
                <w:rFonts w:ascii="Times New Roman"/>
                <w:b/>
              </w:rPr>
              <w:t>of</w:t>
            </w:r>
            <w:r>
              <w:rPr>
                <w:rFonts w:ascii="Times New Roman"/>
                <w:b/>
                <w:spacing w:val="3"/>
              </w:rPr>
              <w:t xml:space="preserve"> </w:t>
            </w:r>
            <w:r>
              <w:rPr>
                <w:rFonts w:ascii="Times New Roman"/>
                <w:b/>
                <w:spacing w:val="-1"/>
              </w:rPr>
              <w:t>Subjects</w:t>
            </w:r>
            <w:r>
              <w:rPr>
                <w:rFonts w:ascii="Times New Roman"/>
                <w:b/>
                <w:spacing w:val="-2"/>
              </w:rPr>
              <w:t xml:space="preserve"> </w:t>
            </w:r>
            <w:r>
              <w:rPr>
                <w:rFonts w:ascii="Times New Roman"/>
                <w:b/>
                <w:spacing w:val="-1"/>
              </w:rPr>
              <w:t>with</w:t>
            </w:r>
            <w:r>
              <w:rPr>
                <w:rFonts w:ascii="Times New Roman"/>
                <w:b/>
              </w:rPr>
              <w:t xml:space="preserve"> </w:t>
            </w:r>
            <w:r>
              <w:rPr>
                <w:rFonts w:ascii="Times New Roman"/>
                <w:b/>
                <w:spacing w:val="-1"/>
              </w:rPr>
              <w:t xml:space="preserve">DoR </w:t>
            </w:r>
            <w:r>
              <w:rPr>
                <w:rFonts w:ascii="Times New Roman"/>
                <w:b/>
                <w:position w:val="8"/>
                <w:sz w:val="14"/>
              </w:rPr>
              <w:t>b</w:t>
            </w:r>
          </w:p>
        </w:tc>
        <w:tc>
          <w:tcPr>
            <w:tcW w:w="1265"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79.1</w:t>
            </w:r>
          </w:p>
        </w:tc>
        <w:tc>
          <w:tcPr>
            <w:tcW w:w="1169"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383"/>
              <w:rPr>
                <w:rFonts w:ascii="Times New Roman" w:eastAsia="Times New Roman" w:hAnsi="Times New Roman" w:cs="Times New Roman"/>
              </w:rPr>
            </w:pPr>
            <w:r>
              <w:rPr>
                <w:rFonts w:ascii="Times New Roman"/>
                <w:b/>
              </w:rPr>
              <w:t>73.3</w:t>
            </w:r>
          </w:p>
        </w:tc>
        <w:tc>
          <w:tcPr>
            <w:tcW w:w="12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82.4</w:t>
            </w:r>
          </w:p>
        </w:tc>
        <w:tc>
          <w:tcPr>
            <w:tcW w:w="112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363"/>
              <w:rPr>
                <w:rFonts w:ascii="Times New Roman" w:eastAsia="Times New Roman" w:hAnsi="Times New Roman" w:cs="Times New Roman"/>
              </w:rPr>
            </w:pPr>
            <w:r>
              <w:rPr>
                <w:rFonts w:ascii="Times New Roman"/>
                <w:b/>
              </w:rPr>
              <w:t>79.5</w:t>
            </w:r>
          </w:p>
        </w:tc>
        <w:tc>
          <w:tcPr>
            <w:tcW w:w="1253"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2"/>
              <w:jc w:val="center"/>
              <w:rPr>
                <w:rFonts w:ascii="Times New Roman" w:eastAsia="Times New Roman" w:hAnsi="Times New Roman" w:cs="Times New Roman"/>
              </w:rPr>
            </w:pPr>
            <w:r>
              <w:rPr>
                <w:rFonts w:ascii="Times New Roman"/>
                <w:b/>
              </w:rPr>
              <w:t>73.9</w:t>
            </w:r>
          </w:p>
        </w:tc>
        <w:tc>
          <w:tcPr>
            <w:tcW w:w="1251"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81.7</w:t>
            </w:r>
          </w:p>
        </w:tc>
      </w:tr>
      <w:tr w:rsidR="00F72327" w:rsidTr="00F72327">
        <w:trPr>
          <w:trHeight w:hRule="exact" w:val="374"/>
        </w:trPr>
        <w:tc>
          <w:tcPr>
            <w:tcW w:w="263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2"/>
              <w:rPr>
                <w:rFonts w:ascii="Times New Roman" w:eastAsia="Times New Roman" w:hAnsi="Times New Roman" w:cs="Times New Roman"/>
                <w:sz w:val="14"/>
                <w:szCs w:val="14"/>
              </w:rPr>
            </w:pPr>
            <w:r>
              <w:rPr>
                <w:rFonts w:ascii="Times New Roman" w:eastAsia="Times New Roman" w:hAnsi="Times New Roman" w:cs="Times New Roman"/>
                <w:b/>
                <w:bCs/>
              </w:rPr>
              <w:t xml:space="preserve">≥ </w:t>
            </w:r>
            <w:r>
              <w:rPr>
                <w:rFonts w:ascii="Times New Roman" w:eastAsia="Times New Roman" w:hAnsi="Times New Roman" w:cs="Times New Roman"/>
                <w:b/>
                <w:bCs/>
                <w:spacing w:val="-1"/>
              </w:rPr>
              <w:t>12</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months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(95%</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CI)</w:t>
            </w:r>
            <w:r>
              <w:rPr>
                <w:rFonts w:ascii="Times New Roman" w:eastAsia="Times New Roman" w:hAnsi="Times New Roman" w:cs="Times New Roman"/>
                <w:b/>
                <w:bCs/>
              </w:rPr>
              <w:t xml:space="preserve"> </w:t>
            </w:r>
            <w:r>
              <w:rPr>
                <w:rFonts w:ascii="Times New Roman" w:eastAsia="Times New Roman" w:hAnsi="Times New Roman" w:cs="Times New Roman"/>
                <w:b/>
                <w:bCs/>
                <w:position w:val="8"/>
                <w:sz w:val="14"/>
                <w:szCs w:val="14"/>
              </w:rPr>
              <w:t>c</w:t>
            </w:r>
          </w:p>
        </w:tc>
        <w:tc>
          <w:tcPr>
            <w:tcW w:w="1265"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11"/>
              <w:rPr>
                <w:rFonts w:ascii="Times New Roman" w:eastAsia="Times New Roman" w:hAnsi="Times New Roman" w:cs="Times New Roman"/>
              </w:rPr>
            </w:pPr>
            <w:r>
              <w:rPr>
                <w:rFonts w:ascii="Times New Roman"/>
                <w:b/>
              </w:rPr>
              <w:t xml:space="preserve">(67.4, </w:t>
            </w:r>
            <w:r>
              <w:rPr>
                <w:rFonts w:ascii="Times New Roman"/>
                <w:b/>
                <w:spacing w:val="-1"/>
              </w:rPr>
              <w:t>87.0)</w:t>
            </w:r>
          </w:p>
        </w:tc>
        <w:tc>
          <w:tcPr>
            <w:tcW w:w="1169"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61"/>
              <w:rPr>
                <w:rFonts w:ascii="Times New Roman" w:eastAsia="Times New Roman" w:hAnsi="Times New Roman" w:cs="Times New Roman"/>
              </w:rPr>
            </w:pPr>
            <w:r>
              <w:rPr>
                <w:rFonts w:ascii="Times New Roman"/>
                <w:b/>
              </w:rPr>
              <w:t xml:space="preserve">(51.2, </w:t>
            </w:r>
            <w:r>
              <w:rPr>
                <w:rFonts w:ascii="Times New Roman"/>
                <w:b/>
                <w:spacing w:val="-1"/>
              </w:rPr>
              <w:t>86.6)</w:t>
            </w:r>
          </w:p>
        </w:tc>
        <w:tc>
          <w:tcPr>
            <w:tcW w:w="12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9"/>
              <w:rPr>
                <w:rFonts w:ascii="Times New Roman" w:eastAsia="Times New Roman" w:hAnsi="Times New Roman" w:cs="Times New Roman"/>
              </w:rPr>
            </w:pPr>
            <w:r>
              <w:rPr>
                <w:rFonts w:ascii="Times New Roman"/>
                <w:b/>
              </w:rPr>
              <w:t xml:space="preserve">(67.5, </w:t>
            </w:r>
            <w:r>
              <w:rPr>
                <w:rFonts w:ascii="Times New Roman"/>
                <w:b/>
                <w:spacing w:val="-1"/>
              </w:rPr>
              <w:t>90.9)</w:t>
            </w:r>
          </w:p>
        </w:tc>
        <w:tc>
          <w:tcPr>
            <w:tcW w:w="112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42"/>
              <w:rPr>
                <w:rFonts w:ascii="Times New Roman" w:eastAsia="Times New Roman" w:hAnsi="Times New Roman" w:cs="Times New Roman"/>
              </w:rPr>
            </w:pPr>
            <w:r>
              <w:rPr>
                <w:rFonts w:ascii="Times New Roman"/>
                <w:b/>
              </w:rPr>
              <w:t xml:space="preserve">(65.5, </w:t>
            </w:r>
            <w:r>
              <w:rPr>
                <w:rFonts w:ascii="Times New Roman"/>
                <w:b/>
                <w:spacing w:val="-1"/>
              </w:rPr>
              <w:t>88.3)</w:t>
            </w:r>
          </w:p>
        </w:tc>
        <w:tc>
          <w:tcPr>
            <w:tcW w:w="1253"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6"/>
              <w:rPr>
                <w:rFonts w:ascii="Times New Roman" w:eastAsia="Times New Roman" w:hAnsi="Times New Roman" w:cs="Times New Roman"/>
              </w:rPr>
            </w:pPr>
            <w:r>
              <w:rPr>
                <w:rFonts w:ascii="Times New Roman"/>
                <w:b/>
              </w:rPr>
              <w:t xml:space="preserve">(43.0, </w:t>
            </w:r>
            <w:r>
              <w:rPr>
                <w:rFonts w:ascii="Times New Roman"/>
                <w:b/>
                <w:spacing w:val="-1"/>
              </w:rPr>
              <w:t>89.8)</w:t>
            </w:r>
          </w:p>
        </w:tc>
        <w:tc>
          <w:tcPr>
            <w:tcW w:w="1251"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4"/>
              <w:rPr>
                <w:rFonts w:ascii="Times New Roman" w:eastAsia="Times New Roman" w:hAnsi="Times New Roman" w:cs="Times New Roman"/>
              </w:rPr>
            </w:pPr>
            <w:r>
              <w:rPr>
                <w:rFonts w:ascii="Times New Roman"/>
                <w:b/>
              </w:rPr>
              <w:t xml:space="preserve">(64.8, </w:t>
            </w:r>
            <w:r>
              <w:rPr>
                <w:rFonts w:ascii="Times New Roman"/>
                <w:b/>
                <w:spacing w:val="-1"/>
              </w:rPr>
              <w:t>91.0)</w:t>
            </w:r>
          </w:p>
        </w:tc>
      </w:tr>
    </w:tbl>
    <w:p w:rsidR="00F72327" w:rsidRDefault="00F72327" w:rsidP="00F72327">
      <w:pPr>
        <w:spacing w:line="181" w:lineRule="exact"/>
        <w:ind w:left="318"/>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DOR</w:t>
      </w:r>
      <w:r>
        <w:rPr>
          <w:spacing w:val="1"/>
          <w:sz w:val="16"/>
        </w:rPr>
        <w:t xml:space="preserve"> </w:t>
      </w:r>
      <w:r>
        <w:rPr>
          <w:sz w:val="16"/>
        </w:rPr>
        <w:t>=</w:t>
      </w:r>
      <w:r>
        <w:rPr>
          <w:spacing w:val="-1"/>
          <w:sz w:val="16"/>
        </w:rPr>
        <w:t xml:space="preserve"> duration of</w:t>
      </w:r>
      <w:r>
        <w:rPr>
          <w:sz w:val="16"/>
        </w:rPr>
        <w:t xml:space="preserve"> </w:t>
      </w:r>
      <w:r>
        <w:rPr>
          <w:spacing w:val="-1"/>
          <w:sz w:val="16"/>
        </w:rPr>
        <w:t>response;</w:t>
      </w:r>
      <w:r>
        <w:rPr>
          <w:spacing w:val="1"/>
          <w:sz w:val="16"/>
        </w:rPr>
        <w:t xml:space="preserve"> </w:t>
      </w:r>
      <w:r>
        <w:rPr>
          <w:spacing w:val="-1"/>
          <w:sz w:val="16"/>
        </w:rPr>
        <w:t>FL</w:t>
      </w:r>
      <w:r>
        <w:rPr>
          <w:spacing w:val="-4"/>
          <w:sz w:val="16"/>
        </w:rPr>
        <w:t xml:space="preserve"> </w:t>
      </w:r>
      <w:r>
        <w:rPr>
          <w:sz w:val="16"/>
        </w:rPr>
        <w:t>=</w:t>
      </w:r>
      <w:r>
        <w:rPr>
          <w:spacing w:val="1"/>
          <w:sz w:val="16"/>
        </w:rPr>
        <w:t xml:space="preserve"> </w:t>
      </w:r>
      <w:r>
        <w:rPr>
          <w:spacing w:val="-1"/>
          <w:sz w:val="16"/>
        </w:rPr>
        <w:t>follicular</w:t>
      </w:r>
      <w:r>
        <w:rPr>
          <w:sz w:val="16"/>
        </w:rPr>
        <w:t xml:space="preserve"> </w:t>
      </w:r>
      <w:r>
        <w:rPr>
          <w:spacing w:val="-1"/>
          <w:sz w:val="16"/>
        </w:rPr>
        <w:t>lymphoma</w:t>
      </w:r>
    </w:p>
    <w:p w:rsidR="00F72327" w:rsidRDefault="00F72327" w:rsidP="00F72327">
      <w:pPr>
        <w:spacing w:line="185" w:lineRule="exact"/>
        <w:ind w:left="318"/>
        <w:rPr>
          <w:rFonts w:eastAsia="Times New Roman"/>
          <w:sz w:val="16"/>
          <w:szCs w:val="16"/>
        </w:rPr>
      </w:pPr>
      <w:r>
        <w:rPr>
          <w:position w:val="6"/>
          <w:sz w:val="10"/>
        </w:rPr>
        <w:t>a</w:t>
      </w:r>
      <w:r>
        <w:rPr>
          <w:spacing w:val="16"/>
          <w:position w:val="6"/>
          <w:sz w:val="10"/>
        </w:rPr>
        <w:t xml:space="preserve"> </w:t>
      </w:r>
      <w:r>
        <w:rPr>
          <w:spacing w:val="-1"/>
          <w:sz w:val="16"/>
        </w:rPr>
        <w:t>Primary Analysis</w:t>
      </w:r>
      <w:r>
        <w:rPr>
          <w:sz w:val="16"/>
        </w:rPr>
        <w:t xml:space="preserve"> </w:t>
      </w:r>
      <w:r>
        <w:rPr>
          <w:spacing w:val="-1"/>
          <w:sz w:val="16"/>
        </w:rPr>
        <w:t>Population for</w:t>
      </w:r>
      <w:r>
        <w:rPr>
          <w:sz w:val="16"/>
        </w:rPr>
        <w:t xml:space="preserve"> </w:t>
      </w:r>
      <w:r>
        <w:rPr>
          <w:spacing w:val="-1"/>
          <w:sz w:val="16"/>
        </w:rPr>
        <w:t>this</w:t>
      </w:r>
      <w:r>
        <w:rPr>
          <w:spacing w:val="-2"/>
          <w:sz w:val="16"/>
        </w:rPr>
        <w:t xml:space="preserve"> </w:t>
      </w:r>
      <w:r>
        <w:rPr>
          <w:sz w:val="16"/>
        </w:rPr>
        <w:t>study</w:t>
      </w:r>
      <w:r>
        <w:rPr>
          <w:spacing w:val="-3"/>
          <w:sz w:val="16"/>
        </w:rPr>
        <w:t xml:space="preserve"> </w:t>
      </w:r>
      <w:r>
        <w:rPr>
          <w:sz w:val="16"/>
        </w:rPr>
        <w:t>is</w:t>
      </w:r>
      <w:r>
        <w:rPr>
          <w:spacing w:val="-2"/>
          <w:sz w:val="16"/>
        </w:rPr>
        <w:t xml:space="preserve"> </w:t>
      </w:r>
      <w:r>
        <w:rPr>
          <w:spacing w:val="-1"/>
          <w:sz w:val="16"/>
        </w:rPr>
        <w:t>induction efficacy</w:t>
      </w:r>
      <w:r>
        <w:rPr>
          <w:spacing w:val="-3"/>
          <w:sz w:val="16"/>
        </w:rPr>
        <w:t xml:space="preserve"> </w:t>
      </w:r>
      <w:r>
        <w:rPr>
          <w:spacing w:val="-1"/>
          <w:sz w:val="16"/>
        </w:rPr>
        <w:t>evaluable (IEE)</w:t>
      </w:r>
      <w:r>
        <w:rPr>
          <w:sz w:val="16"/>
        </w:rPr>
        <w:t xml:space="preserve"> </w:t>
      </w:r>
      <w:r>
        <w:rPr>
          <w:spacing w:val="-1"/>
          <w:sz w:val="16"/>
        </w:rPr>
        <w:t>population.</w:t>
      </w:r>
    </w:p>
    <w:p w:rsidR="00F72327" w:rsidRDefault="00F72327" w:rsidP="00F72327">
      <w:pPr>
        <w:ind w:left="318" w:right="232"/>
        <w:rPr>
          <w:rFonts w:eastAsia="Times New Roman"/>
          <w:sz w:val="16"/>
          <w:szCs w:val="16"/>
        </w:rPr>
      </w:pPr>
      <w:r>
        <w:rPr>
          <w:position w:val="6"/>
          <w:sz w:val="10"/>
        </w:rPr>
        <w:t>b</w:t>
      </w:r>
      <w:r>
        <w:rPr>
          <w:spacing w:val="13"/>
          <w:position w:val="6"/>
          <w:sz w:val="10"/>
        </w:rPr>
        <w:t xml:space="preserve"> </w:t>
      </w:r>
      <w:r>
        <w:rPr>
          <w:spacing w:val="-1"/>
          <w:sz w:val="16"/>
        </w:rPr>
        <w:t>Duration of</w:t>
      </w:r>
      <w:r>
        <w:rPr>
          <w:sz w:val="16"/>
        </w:rPr>
        <w:t xml:space="preserve"> </w:t>
      </w:r>
      <w:r>
        <w:rPr>
          <w:spacing w:val="-1"/>
          <w:sz w:val="16"/>
        </w:rPr>
        <w:t xml:space="preserve">response </w:t>
      </w:r>
      <w:r>
        <w:rPr>
          <w:sz w:val="16"/>
        </w:rPr>
        <w:t>is</w:t>
      </w:r>
      <w:r>
        <w:rPr>
          <w:spacing w:val="-2"/>
          <w:sz w:val="16"/>
        </w:rPr>
        <w:t xml:space="preserve"> </w:t>
      </w:r>
      <w:r>
        <w:rPr>
          <w:spacing w:val="-1"/>
          <w:sz w:val="16"/>
        </w:rPr>
        <w:t>defined</w:t>
      </w:r>
      <w:r>
        <w:rPr>
          <w:spacing w:val="2"/>
          <w:sz w:val="16"/>
        </w:rPr>
        <w:t xml:space="preserve"> </w:t>
      </w:r>
      <w:r>
        <w:rPr>
          <w:sz w:val="16"/>
        </w:rPr>
        <w:t>as</w:t>
      </w:r>
      <w:r>
        <w:rPr>
          <w:spacing w:val="-2"/>
          <w:sz w:val="16"/>
        </w:rPr>
        <w:t xml:space="preserve"> the</w:t>
      </w:r>
      <w:r>
        <w:rPr>
          <w:spacing w:val="-1"/>
          <w:sz w:val="16"/>
        </w:rPr>
        <w:t xml:space="preserve"> </w:t>
      </w:r>
      <w:r>
        <w:rPr>
          <w:sz w:val="16"/>
        </w:rPr>
        <w:t>time</w:t>
      </w:r>
      <w:r>
        <w:rPr>
          <w:spacing w:val="-1"/>
          <w:sz w:val="16"/>
        </w:rPr>
        <w:t xml:space="preserve"> (months)</w:t>
      </w:r>
      <w:r>
        <w:rPr>
          <w:sz w:val="16"/>
        </w:rPr>
        <w:t xml:space="preserve"> </w:t>
      </w:r>
      <w:r>
        <w:rPr>
          <w:spacing w:val="-1"/>
          <w:sz w:val="16"/>
        </w:rPr>
        <w:t>from</w:t>
      </w:r>
      <w:r>
        <w:rPr>
          <w:sz w:val="16"/>
        </w:rPr>
        <w:t xml:space="preserve"> </w:t>
      </w:r>
      <w:r>
        <w:rPr>
          <w:spacing w:val="-1"/>
          <w:sz w:val="16"/>
        </w:rPr>
        <w:t>the initial response</w:t>
      </w:r>
      <w:r>
        <w:rPr>
          <w:spacing w:val="-2"/>
          <w:sz w:val="16"/>
        </w:rPr>
        <w:t xml:space="preserve"> </w:t>
      </w:r>
      <w:r>
        <w:rPr>
          <w:spacing w:val="-1"/>
          <w:sz w:val="16"/>
        </w:rPr>
        <w:t>(at</w:t>
      </w:r>
      <w:r>
        <w:rPr>
          <w:spacing w:val="1"/>
          <w:sz w:val="16"/>
        </w:rPr>
        <w:t xml:space="preserve"> </w:t>
      </w:r>
      <w:r>
        <w:rPr>
          <w:spacing w:val="-1"/>
          <w:sz w:val="16"/>
        </w:rPr>
        <w:t>least PR)</w:t>
      </w:r>
      <w:r>
        <w:rPr>
          <w:spacing w:val="-3"/>
          <w:sz w:val="16"/>
        </w:rPr>
        <w:t xml:space="preserve"> </w:t>
      </w:r>
      <w:r>
        <w:rPr>
          <w:sz w:val="16"/>
        </w:rPr>
        <w:t>to</w:t>
      </w:r>
      <w:r>
        <w:rPr>
          <w:spacing w:val="-1"/>
          <w:sz w:val="16"/>
        </w:rPr>
        <w:t xml:space="preserve"> documented disease</w:t>
      </w:r>
      <w:r>
        <w:rPr>
          <w:spacing w:val="-2"/>
          <w:sz w:val="16"/>
        </w:rPr>
        <w:t xml:space="preserve"> </w:t>
      </w:r>
      <w:r>
        <w:rPr>
          <w:spacing w:val="-1"/>
          <w:sz w:val="16"/>
        </w:rPr>
        <w:t>progression</w:t>
      </w:r>
      <w:r>
        <w:rPr>
          <w:spacing w:val="1"/>
          <w:sz w:val="16"/>
        </w:rPr>
        <w:t xml:space="preserve"> </w:t>
      </w:r>
      <w:r>
        <w:rPr>
          <w:spacing w:val="-1"/>
          <w:sz w:val="16"/>
        </w:rPr>
        <w:t>or</w:t>
      </w:r>
      <w:r>
        <w:rPr>
          <w:sz w:val="16"/>
        </w:rPr>
        <w:t xml:space="preserve"> </w:t>
      </w:r>
      <w:r>
        <w:rPr>
          <w:spacing w:val="-1"/>
          <w:sz w:val="16"/>
        </w:rPr>
        <w:t>death,</w:t>
      </w:r>
      <w:r>
        <w:rPr>
          <w:spacing w:val="1"/>
          <w:sz w:val="16"/>
        </w:rPr>
        <w:t xml:space="preserve"> </w:t>
      </w:r>
      <w:r>
        <w:rPr>
          <w:spacing w:val="-1"/>
          <w:sz w:val="16"/>
        </w:rPr>
        <w:t>whichever</w:t>
      </w:r>
      <w:r>
        <w:rPr>
          <w:spacing w:val="97"/>
          <w:sz w:val="16"/>
        </w:rPr>
        <w:t xml:space="preserve"> </w:t>
      </w:r>
      <w:r>
        <w:rPr>
          <w:spacing w:val="-1"/>
          <w:sz w:val="16"/>
        </w:rPr>
        <w:t>occurs</w:t>
      </w:r>
      <w:r>
        <w:rPr>
          <w:sz w:val="16"/>
        </w:rPr>
        <w:t xml:space="preserve"> </w:t>
      </w:r>
      <w:r>
        <w:rPr>
          <w:spacing w:val="-1"/>
          <w:sz w:val="16"/>
        </w:rPr>
        <w:t>first.</w:t>
      </w:r>
    </w:p>
    <w:p w:rsidR="00F72327" w:rsidRDefault="00F72327" w:rsidP="00F72327">
      <w:pPr>
        <w:spacing w:line="185" w:lineRule="exact"/>
        <w:ind w:left="318"/>
        <w:rPr>
          <w:rFonts w:eastAsia="Times New Roman"/>
          <w:sz w:val="16"/>
          <w:szCs w:val="16"/>
        </w:rPr>
      </w:pPr>
      <w:r>
        <w:rPr>
          <w:position w:val="6"/>
          <w:sz w:val="10"/>
        </w:rPr>
        <w:t>c</w:t>
      </w:r>
      <w:r>
        <w:rPr>
          <w:spacing w:val="14"/>
          <w:position w:val="6"/>
          <w:sz w:val="10"/>
        </w:rPr>
        <w:t xml:space="preserve"> </w:t>
      </w:r>
      <w:r>
        <w:rPr>
          <w:spacing w:val="-1"/>
          <w:sz w:val="16"/>
        </w:rPr>
        <w:t>Statistics</w:t>
      </w:r>
      <w:r>
        <w:rPr>
          <w:sz w:val="16"/>
        </w:rPr>
        <w:t xml:space="preserve"> </w:t>
      </w:r>
      <w:r>
        <w:rPr>
          <w:spacing w:val="-1"/>
          <w:sz w:val="16"/>
        </w:rPr>
        <w:t>obtained</w:t>
      </w:r>
      <w:r>
        <w:rPr>
          <w:spacing w:val="1"/>
          <w:sz w:val="16"/>
        </w:rPr>
        <w:t xml:space="preserve"> </w:t>
      </w:r>
      <w:r>
        <w:rPr>
          <w:spacing w:val="-1"/>
          <w:sz w:val="16"/>
        </w:rPr>
        <w:t>from</w:t>
      </w:r>
      <w:r>
        <w:rPr>
          <w:sz w:val="16"/>
        </w:rPr>
        <w:t xml:space="preserve"> </w:t>
      </w:r>
      <w:r>
        <w:rPr>
          <w:spacing w:val="-1"/>
          <w:sz w:val="16"/>
        </w:rPr>
        <w:t>Kaplan-Meier</w:t>
      </w:r>
      <w:r>
        <w:rPr>
          <w:sz w:val="16"/>
        </w:rPr>
        <w:t xml:space="preserve"> </w:t>
      </w:r>
      <w:r>
        <w:rPr>
          <w:spacing w:val="-1"/>
          <w:sz w:val="16"/>
        </w:rPr>
        <w:t xml:space="preserve">method. 95% </w:t>
      </w:r>
      <w:r>
        <w:rPr>
          <w:sz w:val="16"/>
        </w:rPr>
        <w:t>CI</w:t>
      </w:r>
      <w:r>
        <w:rPr>
          <w:spacing w:val="-5"/>
          <w:sz w:val="16"/>
        </w:rPr>
        <w:t xml:space="preserve"> </w:t>
      </w:r>
      <w:r>
        <w:rPr>
          <w:sz w:val="16"/>
        </w:rPr>
        <w:t xml:space="preserve">is </w:t>
      </w:r>
      <w:r>
        <w:rPr>
          <w:spacing w:val="-1"/>
          <w:sz w:val="16"/>
        </w:rPr>
        <w:t>based</w:t>
      </w:r>
      <w:r>
        <w:rPr>
          <w:spacing w:val="2"/>
          <w:sz w:val="16"/>
        </w:rPr>
        <w:t xml:space="preserve"> </w:t>
      </w:r>
      <w:r>
        <w:rPr>
          <w:spacing w:val="-2"/>
          <w:sz w:val="16"/>
        </w:rPr>
        <w:t>on</w:t>
      </w:r>
      <w:r>
        <w:rPr>
          <w:spacing w:val="2"/>
          <w:sz w:val="16"/>
        </w:rPr>
        <w:t xml:space="preserve"> </w:t>
      </w:r>
      <w:r>
        <w:rPr>
          <w:spacing w:val="-2"/>
          <w:sz w:val="16"/>
        </w:rPr>
        <w:t>Greenwood</w:t>
      </w:r>
      <w:r>
        <w:rPr>
          <w:spacing w:val="1"/>
          <w:sz w:val="16"/>
        </w:rPr>
        <w:t xml:space="preserve"> </w:t>
      </w:r>
      <w:r>
        <w:rPr>
          <w:spacing w:val="-1"/>
          <w:sz w:val="16"/>
        </w:rPr>
        <w:t>formula.</w:t>
      </w:r>
    </w:p>
    <w:p w:rsidR="00F72327" w:rsidRDefault="00F72327" w:rsidP="00F72327">
      <w:pPr>
        <w:ind w:left="318" w:right="320"/>
        <w:rPr>
          <w:rFonts w:eastAsia="Times New Roman"/>
          <w:sz w:val="16"/>
          <w:szCs w:val="16"/>
        </w:rPr>
      </w:pPr>
      <w:r>
        <w:rPr>
          <w:spacing w:val="-1"/>
          <w:sz w:val="16"/>
        </w:rPr>
        <w:t>Notes: The analysis</w:t>
      </w:r>
      <w:r>
        <w:rPr>
          <w:sz w:val="16"/>
        </w:rPr>
        <w:t xml:space="preserve"> is </w:t>
      </w:r>
      <w:r>
        <w:rPr>
          <w:spacing w:val="-1"/>
          <w:sz w:val="16"/>
        </w:rPr>
        <w:t>only</w:t>
      </w:r>
      <w:r>
        <w:rPr>
          <w:spacing w:val="-3"/>
          <w:sz w:val="16"/>
        </w:rPr>
        <w:t xml:space="preserve"> </w:t>
      </w:r>
      <w:r>
        <w:rPr>
          <w:spacing w:val="-1"/>
          <w:sz w:val="16"/>
        </w:rPr>
        <w:t>performed</w:t>
      </w:r>
      <w:r>
        <w:rPr>
          <w:spacing w:val="4"/>
          <w:sz w:val="16"/>
        </w:rPr>
        <w:t xml:space="preserve"> </w:t>
      </w:r>
      <w:r>
        <w:rPr>
          <w:spacing w:val="-1"/>
          <w:sz w:val="16"/>
        </w:rPr>
        <w:t>for</w:t>
      </w:r>
      <w:r>
        <w:rPr>
          <w:sz w:val="16"/>
        </w:rPr>
        <w:t xml:space="preserve"> </w:t>
      </w:r>
      <w:r>
        <w:rPr>
          <w:spacing w:val="-1"/>
          <w:sz w:val="16"/>
        </w:rPr>
        <w:t>subjects</w:t>
      </w:r>
      <w:r>
        <w:rPr>
          <w:sz w:val="16"/>
        </w:rPr>
        <w:t xml:space="preserve"> </w:t>
      </w:r>
      <w:r>
        <w:rPr>
          <w:spacing w:val="-1"/>
          <w:sz w:val="16"/>
        </w:rPr>
        <w:t>who</w:t>
      </w:r>
      <w:r>
        <w:rPr>
          <w:spacing w:val="-3"/>
          <w:sz w:val="16"/>
        </w:rPr>
        <w:t xml:space="preserve"> </w:t>
      </w:r>
      <w:r>
        <w:rPr>
          <w:sz w:val="16"/>
        </w:rPr>
        <w:t>have</w:t>
      </w:r>
      <w:r>
        <w:rPr>
          <w:spacing w:val="-1"/>
          <w:sz w:val="16"/>
        </w:rPr>
        <w:t xml:space="preserve"> achieved</w:t>
      </w:r>
      <w:r>
        <w:rPr>
          <w:spacing w:val="2"/>
          <w:sz w:val="16"/>
        </w:rPr>
        <w:t xml:space="preserve"> </w:t>
      </w:r>
      <w:r>
        <w:rPr>
          <w:spacing w:val="-1"/>
          <w:sz w:val="16"/>
        </w:rPr>
        <w:t>PR or</w:t>
      </w:r>
      <w:r>
        <w:rPr>
          <w:sz w:val="16"/>
        </w:rPr>
        <w:t xml:space="preserve"> </w:t>
      </w:r>
      <w:r>
        <w:rPr>
          <w:spacing w:val="-1"/>
          <w:sz w:val="16"/>
        </w:rPr>
        <w:t>better</w:t>
      </w:r>
      <w:r>
        <w:rPr>
          <w:sz w:val="16"/>
        </w:rPr>
        <w:t xml:space="preserve"> </w:t>
      </w:r>
      <w:r>
        <w:rPr>
          <w:spacing w:val="-1"/>
          <w:sz w:val="16"/>
        </w:rPr>
        <w:t>after the first dose</w:t>
      </w:r>
      <w:r>
        <w:rPr>
          <w:spacing w:val="-4"/>
          <w:sz w:val="16"/>
        </w:rPr>
        <w:t xml:space="preserve"> </w:t>
      </w:r>
      <w:r>
        <w:rPr>
          <w:sz w:val="16"/>
        </w:rPr>
        <w:t>date</w:t>
      </w:r>
      <w:r>
        <w:rPr>
          <w:spacing w:val="-2"/>
          <w:sz w:val="16"/>
        </w:rPr>
        <w:t xml:space="preserve"> </w:t>
      </w:r>
      <w:r>
        <w:rPr>
          <w:spacing w:val="-1"/>
          <w:sz w:val="16"/>
        </w:rPr>
        <w:t>of</w:t>
      </w:r>
      <w:r>
        <w:rPr>
          <w:sz w:val="16"/>
        </w:rPr>
        <w:t xml:space="preserve"> </w:t>
      </w:r>
      <w:r>
        <w:rPr>
          <w:spacing w:val="-1"/>
          <w:sz w:val="16"/>
        </w:rPr>
        <w:t>induction therapy</w:t>
      </w:r>
      <w:r>
        <w:rPr>
          <w:spacing w:val="-3"/>
          <w:sz w:val="16"/>
        </w:rPr>
        <w:t xml:space="preserve"> </w:t>
      </w:r>
      <w:r>
        <w:rPr>
          <w:spacing w:val="-1"/>
          <w:sz w:val="16"/>
        </w:rPr>
        <w:t>and prior</w:t>
      </w:r>
      <w:r>
        <w:rPr>
          <w:sz w:val="16"/>
        </w:rPr>
        <w:t xml:space="preserve"> to</w:t>
      </w:r>
      <w:r>
        <w:rPr>
          <w:spacing w:val="-3"/>
          <w:sz w:val="16"/>
        </w:rPr>
        <w:t xml:space="preserve"> </w:t>
      </w:r>
      <w:r>
        <w:rPr>
          <w:sz w:val="16"/>
        </w:rPr>
        <w:t>any</w:t>
      </w:r>
      <w:r>
        <w:rPr>
          <w:spacing w:val="91"/>
          <w:sz w:val="16"/>
        </w:rPr>
        <w:t xml:space="preserve"> </w:t>
      </w:r>
      <w:r>
        <w:rPr>
          <w:spacing w:val="-1"/>
          <w:sz w:val="16"/>
        </w:rPr>
        <w:t>Maintenance Period treatment</w:t>
      </w:r>
      <w:r>
        <w:rPr>
          <w:spacing w:val="1"/>
          <w:sz w:val="16"/>
        </w:rPr>
        <w:t xml:space="preserve"> </w:t>
      </w:r>
      <w:r>
        <w:rPr>
          <w:spacing w:val="-2"/>
          <w:sz w:val="16"/>
        </w:rPr>
        <w:t>and</w:t>
      </w:r>
      <w:r>
        <w:rPr>
          <w:spacing w:val="2"/>
          <w:sz w:val="16"/>
        </w:rPr>
        <w:t xml:space="preserve"> </w:t>
      </w:r>
      <w:r>
        <w:rPr>
          <w:spacing w:val="-2"/>
          <w:sz w:val="16"/>
        </w:rPr>
        <w:t>any</w:t>
      </w:r>
      <w:r>
        <w:rPr>
          <w:spacing w:val="-3"/>
          <w:sz w:val="16"/>
        </w:rPr>
        <w:t xml:space="preserve"> </w:t>
      </w:r>
      <w:r>
        <w:rPr>
          <w:spacing w:val="-1"/>
          <w:sz w:val="16"/>
        </w:rPr>
        <w:t>subsequent</w:t>
      </w:r>
      <w:r>
        <w:rPr>
          <w:spacing w:val="1"/>
          <w:sz w:val="16"/>
        </w:rPr>
        <w:t xml:space="preserve"> </w:t>
      </w:r>
      <w:r>
        <w:rPr>
          <w:spacing w:val="-1"/>
          <w:sz w:val="16"/>
        </w:rPr>
        <w:t xml:space="preserve">anti-lymphoma </w:t>
      </w:r>
      <w:r>
        <w:rPr>
          <w:sz w:val="16"/>
        </w:rPr>
        <w:t>therapy</w:t>
      </w:r>
      <w:r>
        <w:rPr>
          <w:spacing w:val="-3"/>
          <w:sz w:val="16"/>
        </w:rPr>
        <w:t xml:space="preserve"> </w:t>
      </w:r>
      <w:r>
        <w:rPr>
          <w:spacing w:val="-1"/>
          <w:sz w:val="16"/>
        </w:rPr>
        <w:t>in</w:t>
      </w:r>
      <w:r>
        <w:rPr>
          <w:spacing w:val="2"/>
          <w:sz w:val="16"/>
        </w:rPr>
        <w:t xml:space="preserve"> </w:t>
      </w:r>
      <w:r>
        <w:rPr>
          <w:spacing w:val="-1"/>
          <w:sz w:val="16"/>
        </w:rPr>
        <w:t>Induction Period.</w:t>
      </w:r>
      <w:r>
        <w:rPr>
          <w:spacing w:val="1"/>
          <w:sz w:val="16"/>
        </w:rPr>
        <w:t xml:space="preserve"> </w:t>
      </w:r>
      <w:r>
        <w:rPr>
          <w:spacing w:val="-1"/>
          <w:sz w:val="16"/>
        </w:rPr>
        <w:t xml:space="preserve">Percentage </w:t>
      </w:r>
      <w:r>
        <w:rPr>
          <w:sz w:val="16"/>
        </w:rPr>
        <w:t>is</w:t>
      </w:r>
      <w:r>
        <w:rPr>
          <w:spacing w:val="-2"/>
          <w:sz w:val="16"/>
        </w:rPr>
        <w:t xml:space="preserve"> </w:t>
      </w:r>
      <w:r>
        <w:rPr>
          <w:spacing w:val="-1"/>
          <w:sz w:val="16"/>
        </w:rPr>
        <w:t>based</w:t>
      </w:r>
      <w:r>
        <w:rPr>
          <w:spacing w:val="2"/>
          <w:sz w:val="16"/>
        </w:rPr>
        <w:t xml:space="preserve"> </w:t>
      </w:r>
      <w:r>
        <w:rPr>
          <w:spacing w:val="-1"/>
          <w:sz w:val="16"/>
        </w:rPr>
        <w:t>on the total number of</w:t>
      </w:r>
      <w:r>
        <w:rPr>
          <w:sz w:val="16"/>
        </w:rPr>
        <w:t xml:space="preserve"> </w:t>
      </w:r>
      <w:r>
        <w:rPr>
          <w:spacing w:val="-1"/>
          <w:sz w:val="16"/>
        </w:rPr>
        <w:t>responders.</w:t>
      </w:r>
    </w:p>
    <w:p w:rsidR="001A6F5D" w:rsidRPr="00335062" w:rsidRDefault="001A6F5D" w:rsidP="00AB7A9E"/>
    <w:p w:rsidR="00506994" w:rsidRPr="00335062" w:rsidRDefault="00506994" w:rsidP="00AB7A9E">
      <w:r w:rsidRPr="00335062">
        <w:rPr>
          <w:rFonts w:eastAsia="Times New Roman"/>
          <w:u w:val="single"/>
        </w:rPr>
        <w:t>Paediatric population</w:t>
      </w:r>
    </w:p>
    <w:p w:rsidR="00506994" w:rsidRPr="00335062" w:rsidRDefault="00506994" w:rsidP="00AB7A9E">
      <w:pPr>
        <w:ind w:right="100"/>
      </w:pPr>
      <w:r w:rsidRPr="00335062">
        <w:rPr>
          <w:rFonts w:eastAsia="Times New Roman"/>
        </w:rPr>
        <w:t xml:space="preserve">The European Medicines Agency </w:t>
      </w:r>
      <w:r w:rsidR="009F2733">
        <w:rPr>
          <w:rFonts w:eastAsia="Times New Roman"/>
        </w:rPr>
        <w:t xml:space="preserve">(EMA) </w:t>
      </w:r>
      <w:r w:rsidRPr="00335062">
        <w:rPr>
          <w:rFonts w:eastAsia="Times New Roman"/>
        </w:rPr>
        <w:t xml:space="preserve">has </w:t>
      </w:r>
      <w:r w:rsidR="00DC0029">
        <w:rPr>
          <w:rFonts w:eastAsia="Times New Roman"/>
        </w:rPr>
        <w:t>granted a product</w:t>
      </w:r>
      <w:r w:rsidR="00DC0029">
        <w:rPr>
          <w:spacing w:val="-1"/>
        </w:rPr>
        <w:t>-specific</w:t>
      </w:r>
      <w:r w:rsidR="00DC0029">
        <w:rPr>
          <w:spacing w:val="-2"/>
        </w:rPr>
        <w:t xml:space="preserve"> </w:t>
      </w:r>
      <w:r w:rsidR="00DC0029">
        <w:rPr>
          <w:spacing w:val="-1"/>
        </w:rPr>
        <w:t>waiver</w:t>
      </w:r>
      <w:r w:rsidR="00DC0029">
        <w:rPr>
          <w:spacing w:val="-2"/>
        </w:rPr>
        <w:t xml:space="preserve"> </w:t>
      </w:r>
      <w:r w:rsidR="00DC0029">
        <w:t>for</w:t>
      </w:r>
      <w:r w:rsidR="00DC0029">
        <w:rPr>
          <w:spacing w:val="-1"/>
        </w:rPr>
        <w:t xml:space="preserve"> </w:t>
      </w:r>
      <w:r w:rsidR="005B5623">
        <w:rPr>
          <w:spacing w:val="-1"/>
        </w:rPr>
        <w:t xml:space="preserve">the reference product </w:t>
      </w:r>
      <w:r w:rsidR="00DC0029">
        <w:t>that</w:t>
      </w:r>
      <w:r w:rsidR="00DC0029">
        <w:rPr>
          <w:spacing w:val="-2"/>
        </w:rPr>
        <w:t xml:space="preserve"> </w:t>
      </w:r>
      <w:r w:rsidR="00DC0029">
        <w:rPr>
          <w:spacing w:val="-1"/>
        </w:rPr>
        <w:t>applies</w:t>
      </w:r>
      <w:r w:rsidR="00DC0029">
        <w:t xml:space="preserve"> </w:t>
      </w:r>
      <w:r w:rsidR="00DC0029">
        <w:rPr>
          <w:spacing w:val="-1"/>
        </w:rPr>
        <w:t>to</w:t>
      </w:r>
      <w:r w:rsidR="005B5623">
        <w:rPr>
          <w:spacing w:val="-1"/>
        </w:rPr>
        <w:t xml:space="preserve"> </w:t>
      </w:r>
      <w:r w:rsidRPr="00335062">
        <w:rPr>
          <w:rFonts w:eastAsia="Times New Roman"/>
        </w:rPr>
        <w:t xml:space="preserve">all subsets of the paediatric population </w:t>
      </w:r>
      <w:r w:rsidR="00DC0029">
        <w:rPr>
          <w:spacing w:val="-1"/>
        </w:rPr>
        <w:t>for</w:t>
      </w:r>
      <w:r w:rsidR="00DC0029">
        <w:rPr>
          <w:spacing w:val="1"/>
        </w:rPr>
        <w:t xml:space="preserve"> </w:t>
      </w:r>
      <w:r w:rsidR="00DC0029">
        <w:rPr>
          <w:spacing w:val="-1"/>
        </w:rPr>
        <w:t>mature</w:t>
      </w:r>
      <w:r w:rsidR="00DC0029">
        <w:t xml:space="preserve"> </w:t>
      </w:r>
      <w:r w:rsidR="00DC0029">
        <w:rPr>
          <w:spacing w:val="-1"/>
        </w:rPr>
        <w:t>B-cell</w:t>
      </w:r>
      <w:r w:rsidR="00DC0029">
        <w:rPr>
          <w:spacing w:val="1"/>
        </w:rPr>
        <w:t xml:space="preserve"> </w:t>
      </w:r>
      <w:r w:rsidR="00DC0029">
        <w:rPr>
          <w:spacing w:val="-1"/>
        </w:rPr>
        <w:t>neoplasm</w:t>
      </w:r>
      <w:r w:rsidR="00DC0029">
        <w:rPr>
          <w:spacing w:val="-4"/>
        </w:rPr>
        <w:t xml:space="preserve"> </w:t>
      </w:r>
      <w:r w:rsidR="00DC0029">
        <w:t xml:space="preserve">conditions </w:t>
      </w:r>
      <w:r w:rsidRPr="00335062">
        <w:rPr>
          <w:rFonts w:eastAsia="Times New Roman"/>
        </w:rPr>
        <w:t>(see section 4.2 for information on paediatric use).</w:t>
      </w:r>
    </w:p>
    <w:p w:rsidR="00506994" w:rsidRPr="00335062" w:rsidRDefault="00506994" w:rsidP="00AB7A9E"/>
    <w:p w:rsidR="00506994" w:rsidRPr="00335062" w:rsidRDefault="00506994" w:rsidP="00AB7A9E">
      <w:pPr>
        <w:tabs>
          <w:tab w:val="left" w:pos="540"/>
        </w:tabs>
      </w:pPr>
      <w:r w:rsidRPr="00335062">
        <w:rPr>
          <w:rFonts w:eastAsia="Times New Roman"/>
          <w:b/>
          <w:bCs/>
        </w:rPr>
        <w:t>5.2</w:t>
      </w:r>
      <w:r w:rsidRPr="00335062">
        <w:tab/>
      </w:r>
      <w:r w:rsidRPr="00335062">
        <w:rPr>
          <w:rFonts w:eastAsia="Times New Roman"/>
          <w:b/>
          <w:bCs/>
        </w:rPr>
        <w:t>Pharmacokinetic properties</w:t>
      </w:r>
    </w:p>
    <w:p w:rsidR="00506994" w:rsidRPr="00335062" w:rsidRDefault="00506994" w:rsidP="00AB7A9E"/>
    <w:p w:rsidR="00506994" w:rsidRPr="00335062" w:rsidRDefault="00506994" w:rsidP="00AB7A9E">
      <w:pPr>
        <w:ind w:right="220"/>
      </w:pPr>
      <w:r w:rsidRPr="00335062">
        <w:rPr>
          <w:rFonts w:eastAsia="Times New Roman"/>
        </w:rPr>
        <w:t xml:space="preserve">Lenalidomide has an asymmetric carbon atom and can therefore exist as the optically active forms </w:t>
      </w:r>
      <w:proofErr w:type="gramStart"/>
      <w:r w:rsidRPr="00335062">
        <w:rPr>
          <w:rFonts w:eastAsia="Times New Roman"/>
        </w:rPr>
        <w:t>S(</w:t>
      </w:r>
      <w:proofErr w:type="gramEnd"/>
      <w:r w:rsidRPr="00335062">
        <w:rPr>
          <w:rFonts w:eastAsia="Times New Roman"/>
        </w:rPr>
        <w:t>-) and R(+). Lenalidomide is produced as a racemic mixture. Lenalidomide is generally more soluble in organic solvents but exhibits the greatest solubility in 0.1N HCl buffer.</w:t>
      </w:r>
    </w:p>
    <w:p w:rsidR="00506994" w:rsidRPr="00335062" w:rsidRDefault="00506994" w:rsidP="00AB7A9E"/>
    <w:p w:rsidR="00506994" w:rsidRPr="00335062" w:rsidRDefault="00506994" w:rsidP="00AB7A9E">
      <w:r w:rsidRPr="00335062">
        <w:rPr>
          <w:rFonts w:eastAsia="Times New Roman"/>
          <w:u w:val="single"/>
        </w:rPr>
        <w:t>Absorption</w:t>
      </w:r>
    </w:p>
    <w:p w:rsidR="00506994" w:rsidRPr="00335062" w:rsidRDefault="00506994" w:rsidP="00AB7A9E">
      <w:pPr>
        <w:ind w:right="180"/>
      </w:pPr>
      <w:r w:rsidRPr="00335062">
        <w:rPr>
          <w:rFonts w:eastAsia="Times New Roman"/>
        </w:rPr>
        <w:t>Lenalidomide is rapidly absorbed following oral administration in healthy volunteers, under fasting conditions, with maximum plasma concentrations occurring between 0.5 and 2 hours post-dose. In patients, as well as in healthy volunteers, the maximum concentration (C</w:t>
      </w:r>
      <w:r w:rsidRPr="00AB7A9E">
        <w:rPr>
          <w:rFonts w:eastAsia="Times New Roman"/>
          <w:vertAlign w:val="subscript"/>
        </w:rPr>
        <w:t>max</w:t>
      </w:r>
      <w:r w:rsidRPr="00335062">
        <w:rPr>
          <w:rFonts w:eastAsia="Times New Roman"/>
        </w:rPr>
        <w:t>) and area-under-the-concentration time curve (AUC) increase proportionally with increases in dose. Multiple dosing does not cause marked medicinal product accumulation. In plasma, the relative exposures of the S- and R- enantiomers of lenalidomide are approximately 56% and 44%, respectively.</w:t>
      </w:r>
    </w:p>
    <w:p w:rsidR="00506994" w:rsidRPr="00335062" w:rsidRDefault="00506994" w:rsidP="00AB7A9E"/>
    <w:p w:rsidR="00B85F0C" w:rsidRDefault="00506994" w:rsidP="004273C8">
      <w:pPr>
        <w:ind w:right="160"/>
        <w:rPr>
          <w:rFonts w:eastAsia="Times New Roman"/>
        </w:rPr>
      </w:pPr>
      <w:r w:rsidRPr="00335062">
        <w:rPr>
          <w:rFonts w:eastAsia="Times New Roman"/>
        </w:rPr>
        <w:t>Co-administration with a high-fat and high-calorie meal in healthy volunteers reduces the extent of absorption, resulting in an approximately 20% decrease in area under the concentration versus time curve (AUC) and 50% decrease in Cmax in plasma. However, in the main multiple myeloma</w:t>
      </w:r>
      <w:r w:rsidR="00D82921">
        <w:rPr>
          <w:rFonts w:eastAsia="Times New Roman"/>
        </w:rPr>
        <w:t xml:space="preserve"> </w:t>
      </w:r>
      <w:r w:rsidR="00D82921" w:rsidRPr="00B2301B">
        <w:rPr>
          <w:rFonts w:eastAsia="Times New Roman"/>
          <w:shd w:val="clear" w:color="auto" w:fill="FDE9D9" w:themeFill="accent6" w:themeFillTint="33"/>
        </w:rPr>
        <w:t>and myelodysplastic syndromes</w:t>
      </w:r>
      <w:r w:rsidR="00485AA3" w:rsidRPr="00485AA3">
        <w:rPr>
          <w:rFonts w:eastAsia="Times New Roman"/>
        </w:rPr>
        <w:t xml:space="preserve"> </w:t>
      </w:r>
      <w:r w:rsidRPr="00335062">
        <w:rPr>
          <w:rFonts w:eastAsia="Times New Roman"/>
        </w:rPr>
        <w:t>registration trials where the efficacy and safety were established for lenalidomide, the medicinal product was administered without regard to food intake. Thus, lenalidomide can be administered with or without food.</w:t>
      </w:r>
    </w:p>
    <w:p w:rsidR="00D82921" w:rsidRPr="004273C8" w:rsidRDefault="00D82921" w:rsidP="004273C8">
      <w:pPr>
        <w:ind w:right="160"/>
        <w:rPr>
          <w:rFonts w:eastAsia="Times New Roman"/>
        </w:rPr>
      </w:pPr>
      <w:r>
        <w:rPr>
          <w:spacing w:val="-1"/>
        </w:rPr>
        <w:t>Population</w:t>
      </w:r>
      <w:r>
        <w:t xml:space="preserve"> </w:t>
      </w:r>
      <w:r>
        <w:rPr>
          <w:spacing w:val="-1"/>
        </w:rPr>
        <w:t>pharmacokinetic</w:t>
      </w:r>
      <w:r>
        <w:t xml:space="preserve"> </w:t>
      </w:r>
      <w:r>
        <w:rPr>
          <w:spacing w:val="-1"/>
        </w:rPr>
        <w:t>analyses</w:t>
      </w:r>
      <w:r>
        <w:rPr>
          <w:spacing w:val="1"/>
        </w:rPr>
        <w:t xml:space="preserve"> </w:t>
      </w:r>
      <w:r>
        <w:rPr>
          <w:spacing w:val="-1"/>
        </w:rPr>
        <w:t>indicate</w:t>
      </w:r>
      <w:r>
        <w:t xml:space="preserve"> </w:t>
      </w:r>
      <w:r>
        <w:rPr>
          <w:spacing w:val="-1"/>
        </w:rPr>
        <w:t>that</w:t>
      </w:r>
      <w:r>
        <w:rPr>
          <w:spacing w:val="-2"/>
        </w:rPr>
        <w:t xml:space="preserve"> </w:t>
      </w:r>
      <w:r>
        <w:t>the</w:t>
      </w:r>
      <w:r>
        <w:rPr>
          <w:spacing w:val="-4"/>
        </w:rPr>
        <w:t xml:space="preserve"> </w:t>
      </w:r>
      <w:r>
        <w:t>oral</w:t>
      </w:r>
      <w:r>
        <w:rPr>
          <w:spacing w:val="-2"/>
        </w:rPr>
        <w:t xml:space="preserve"> </w:t>
      </w:r>
      <w:r>
        <w:rPr>
          <w:spacing w:val="-1"/>
        </w:rPr>
        <w:t>absorption</w:t>
      </w:r>
      <w:r>
        <w:t xml:space="preserve"> </w:t>
      </w:r>
      <w:r>
        <w:rPr>
          <w:spacing w:val="-1"/>
        </w:rPr>
        <w:t>rate</w:t>
      </w:r>
      <w:r>
        <w:t xml:space="preserve"> </w:t>
      </w:r>
      <w:r>
        <w:rPr>
          <w:spacing w:val="-2"/>
        </w:rPr>
        <w:t xml:space="preserve">of </w:t>
      </w:r>
      <w:r>
        <w:rPr>
          <w:spacing w:val="-1"/>
        </w:rPr>
        <w:t>lenalidomide</w:t>
      </w:r>
      <w:r>
        <w:rPr>
          <w:spacing w:val="1"/>
        </w:rPr>
        <w:t xml:space="preserve"> </w:t>
      </w:r>
      <w:r>
        <w:t>is</w:t>
      </w:r>
      <w:r>
        <w:rPr>
          <w:spacing w:val="-2"/>
        </w:rPr>
        <w:t xml:space="preserve"> </w:t>
      </w:r>
      <w:r>
        <w:rPr>
          <w:spacing w:val="-1"/>
        </w:rPr>
        <w:t>similar</w:t>
      </w:r>
      <w:r>
        <w:rPr>
          <w:spacing w:val="1"/>
        </w:rPr>
        <w:t xml:space="preserve"> </w:t>
      </w:r>
      <w:r>
        <w:rPr>
          <w:spacing w:val="-1"/>
        </w:rPr>
        <w:t>among</w:t>
      </w:r>
      <w:r>
        <w:rPr>
          <w:spacing w:val="77"/>
        </w:rPr>
        <w:t xml:space="preserve"> </w:t>
      </w:r>
      <w:r>
        <w:t>MM,</w:t>
      </w:r>
      <w:r>
        <w:rPr>
          <w:spacing w:val="-3"/>
        </w:rPr>
        <w:t xml:space="preserve"> </w:t>
      </w:r>
      <w:r w:rsidRPr="00B2301B">
        <w:rPr>
          <w:spacing w:val="-1"/>
          <w:shd w:val="clear" w:color="auto" w:fill="FDE9D9" w:themeFill="accent6" w:themeFillTint="33"/>
        </w:rPr>
        <w:t>MDS</w:t>
      </w:r>
      <w:r>
        <w:rPr>
          <w:spacing w:val="-1"/>
        </w:rPr>
        <w:t xml:space="preserve"> </w:t>
      </w:r>
      <w:r w:rsidRPr="00B2301B">
        <w:rPr>
          <w:shd w:val="clear" w:color="auto" w:fill="DBE5F1" w:themeFill="accent1" w:themeFillTint="33"/>
        </w:rPr>
        <w:t>and</w:t>
      </w:r>
      <w:r w:rsidRPr="00B2301B">
        <w:rPr>
          <w:spacing w:val="-2"/>
          <w:shd w:val="clear" w:color="auto" w:fill="DBE5F1" w:themeFill="accent1" w:themeFillTint="33"/>
        </w:rPr>
        <w:t xml:space="preserve"> </w:t>
      </w:r>
      <w:r w:rsidRPr="00B2301B">
        <w:rPr>
          <w:spacing w:val="-1"/>
          <w:shd w:val="clear" w:color="auto" w:fill="DBE5F1" w:themeFill="accent1" w:themeFillTint="33"/>
        </w:rPr>
        <w:t>MCL</w:t>
      </w:r>
      <w:r>
        <w:rPr>
          <w:spacing w:val="-1"/>
        </w:rPr>
        <w:t xml:space="preserve"> patients.</w:t>
      </w:r>
    </w:p>
    <w:p w:rsidR="00506994" w:rsidRPr="00335062" w:rsidRDefault="00506994" w:rsidP="00AB7A9E"/>
    <w:p w:rsidR="00506994" w:rsidRPr="00335062" w:rsidRDefault="00506994" w:rsidP="00AB7A9E">
      <w:r w:rsidRPr="00335062">
        <w:rPr>
          <w:rFonts w:eastAsia="Times New Roman"/>
          <w:u w:val="single"/>
        </w:rPr>
        <w:t>Distribution</w:t>
      </w:r>
    </w:p>
    <w:p w:rsidR="00506994" w:rsidRPr="00335062" w:rsidRDefault="00506994" w:rsidP="00AB7A9E">
      <w:pPr>
        <w:ind w:right="360"/>
      </w:pPr>
      <w:r w:rsidRPr="00335062">
        <w:rPr>
          <w:rFonts w:eastAsia="Times New Roman"/>
          <w:i/>
          <w:iCs/>
        </w:rPr>
        <w:t xml:space="preserve">In vitro </w:t>
      </w:r>
      <w:r w:rsidRPr="00335062">
        <w:rPr>
          <w:rFonts w:eastAsia="Times New Roman"/>
        </w:rPr>
        <w:t>(</w:t>
      </w:r>
      <w:r w:rsidRPr="00335062">
        <w:rPr>
          <w:rFonts w:eastAsia="Times New Roman"/>
          <w:vertAlign w:val="superscript"/>
        </w:rPr>
        <w:t>14</w:t>
      </w:r>
      <w:r w:rsidRPr="00335062">
        <w:rPr>
          <w:rFonts w:eastAsia="Times New Roman"/>
        </w:rPr>
        <w:t>C)-lenalidomide binding to plasma proteins was low with mean plasma protein binding at 23%</w:t>
      </w:r>
      <w:r w:rsidRPr="00335062">
        <w:rPr>
          <w:rFonts w:eastAsia="Times New Roman"/>
          <w:i/>
          <w:iCs/>
        </w:rPr>
        <w:t xml:space="preserve"> </w:t>
      </w:r>
      <w:r w:rsidRPr="00335062">
        <w:rPr>
          <w:rFonts w:eastAsia="Times New Roman"/>
        </w:rPr>
        <w:t>and 29% in multiple myeloma patients and healthy volunteers, respectively.</w:t>
      </w:r>
    </w:p>
    <w:p w:rsidR="00506994" w:rsidRPr="00335062" w:rsidRDefault="00506994" w:rsidP="00AB7A9E"/>
    <w:p w:rsidR="00506994" w:rsidRPr="00335062" w:rsidRDefault="00506994" w:rsidP="00AB7A9E">
      <w:pPr>
        <w:jc w:val="both"/>
      </w:pPr>
      <w:r w:rsidRPr="00335062">
        <w:rPr>
          <w:rFonts w:eastAsia="Times New Roman"/>
        </w:rPr>
        <w:t>Lenalidomide is present in human semen (&lt; 0.01% of the dose) after administration of 25 mg/day and the medicinal product is undetectable in semen of a healthy subject 3 days after stopping the substance (see section 4.4).</w:t>
      </w:r>
    </w:p>
    <w:p w:rsidR="00506994" w:rsidRPr="00335062" w:rsidRDefault="00506994" w:rsidP="00AB7A9E"/>
    <w:p w:rsidR="00506994" w:rsidRPr="00335062" w:rsidRDefault="00506994" w:rsidP="00AB7A9E">
      <w:r w:rsidRPr="00335062">
        <w:rPr>
          <w:rFonts w:eastAsia="Times New Roman"/>
          <w:u w:val="single"/>
        </w:rPr>
        <w:t>Biotransformation and elimination</w:t>
      </w:r>
    </w:p>
    <w:p w:rsidR="00506994" w:rsidRPr="00335062" w:rsidRDefault="00506994" w:rsidP="00AB7A9E">
      <w:pPr>
        <w:ind w:right="40"/>
      </w:pPr>
      <w:r w:rsidRPr="00335062">
        <w:rPr>
          <w:rFonts w:eastAsia="Times New Roman"/>
        </w:rPr>
        <w:t xml:space="preserve">Results from human </w:t>
      </w:r>
      <w:r w:rsidRPr="00335062">
        <w:rPr>
          <w:rFonts w:eastAsia="Times New Roman"/>
          <w:i/>
          <w:iCs/>
        </w:rPr>
        <w:t>in vitro</w:t>
      </w:r>
      <w:r w:rsidRPr="00335062">
        <w:rPr>
          <w:rFonts w:eastAsia="Times New Roman"/>
        </w:rPr>
        <w:t xml:space="preserve"> metabolism studies indicate that lenalidomide is not metabolised by cytochrome P450 enzymes suggesting that administration of lenalidomide with medicinal products that inhibit cytochrome P450 enzymes is not likely to result in metabolic medicinal product interactions in humans. </w:t>
      </w:r>
      <w:r w:rsidRPr="00335062">
        <w:rPr>
          <w:rFonts w:eastAsia="Times New Roman"/>
          <w:i/>
          <w:iCs/>
        </w:rPr>
        <w:t>In</w:t>
      </w:r>
      <w:r w:rsidRPr="00335062">
        <w:rPr>
          <w:rFonts w:eastAsia="Times New Roman"/>
        </w:rPr>
        <w:t xml:space="preserve"> </w:t>
      </w:r>
      <w:r w:rsidRPr="00335062">
        <w:rPr>
          <w:rFonts w:eastAsia="Times New Roman"/>
          <w:i/>
          <w:iCs/>
        </w:rPr>
        <w:t xml:space="preserve">vitro </w:t>
      </w:r>
      <w:r w:rsidRPr="00335062">
        <w:rPr>
          <w:rFonts w:eastAsia="Times New Roman"/>
        </w:rPr>
        <w:t>studies indicate that lenalidomide has no inhibitory effect on CYP1A2, CYP2C9, CYP2C19, CYP2D6,</w:t>
      </w:r>
      <w:r w:rsidRPr="00335062">
        <w:rPr>
          <w:rFonts w:eastAsia="Times New Roman"/>
          <w:i/>
          <w:iCs/>
        </w:rPr>
        <w:t xml:space="preserve"> </w:t>
      </w:r>
      <w:r w:rsidRPr="00335062">
        <w:rPr>
          <w:rFonts w:eastAsia="Times New Roman"/>
        </w:rPr>
        <w:t>CYP2E1, CYP3A, or UGT1A1. Therefore, lenalidomide is unlikely to cause any clinically relevant medicinal product interactions when co-administered with substrates of these enzymes.</w:t>
      </w:r>
    </w:p>
    <w:p w:rsidR="00506994" w:rsidRPr="00335062" w:rsidRDefault="00506994" w:rsidP="00AB7A9E"/>
    <w:p w:rsidR="00506994" w:rsidRPr="00335062" w:rsidRDefault="00506994" w:rsidP="00AB7A9E">
      <w:pPr>
        <w:ind w:right="340"/>
      </w:pPr>
      <w:r w:rsidRPr="00335062">
        <w:rPr>
          <w:rFonts w:eastAsia="Times New Roman"/>
          <w:i/>
          <w:iCs/>
        </w:rPr>
        <w:t xml:space="preserve">In vitro </w:t>
      </w:r>
      <w:r w:rsidRPr="00335062">
        <w:rPr>
          <w:rFonts w:eastAsia="Times New Roman"/>
        </w:rPr>
        <w:t>studies indicate that lenalidomide is not a substrate of human breast cancer resistance protein</w:t>
      </w:r>
      <w:r w:rsidRPr="00335062">
        <w:rPr>
          <w:rFonts w:eastAsia="Times New Roman"/>
          <w:i/>
          <w:iCs/>
        </w:rPr>
        <w:t xml:space="preserve"> </w:t>
      </w:r>
      <w:r w:rsidRPr="00335062">
        <w:rPr>
          <w:rFonts w:eastAsia="Times New Roman"/>
        </w:rPr>
        <w:t>(BCRP), multidrug resistance protein (MRP) transporters MRP1, MRP2, or MRP3, organic anion transporters (OAT) OAT1 and OAT3, organic anion transporting polypeptide 1B1 (OATP1B1), organic cation transporters (OCT) OCT1 and OCT2, multidrug and toxin extrusion protein (MATE) MATE1, and organic cation transporters novel (OCTN) OCTN1 and OCTN2.</w:t>
      </w:r>
    </w:p>
    <w:p w:rsidR="00506994" w:rsidRPr="00335062" w:rsidRDefault="00506994" w:rsidP="00AB7A9E"/>
    <w:p w:rsidR="00506994" w:rsidRPr="00335062" w:rsidRDefault="00506994" w:rsidP="00AB7A9E">
      <w:pPr>
        <w:rPr>
          <w:rFonts w:eastAsia="Times New Roman"/>
        </w:rPr>
      </w:pPr>
      <w:r w:rsidRPr="00335062">
        <w:rPr>
          <w:rFonts w:eastAsia="Times New Roman"/>
          <w:i/>
          <w:iCs/>
        </w:rPr>
        <w:t xml:space="preserve">In vitro </w:t>
      </w:r>
      <w:r w:rsidRPr="00335062">
        <w:rPr>
          <w:rFonts w:eastAsia="Times New Roman"/>
        </w:rPr>
        <w:t>studies indicate that lenalidomide has no inhibitory effect on human bile salt export pump (BSEP),</w:t>
      </w:r>
      <w:r w:rsidRPr="00335062">
        <w:rPr>
          <w:rFonts w:eastAsia="Times New Roman"/>
          <w:i/>
          <w:iCs/>
        </w:rPr>
        <w:t xml:space="preserve"> </w:t>
      </w:r>
      <w:r w:rsidRPr="00335062">
        <w:rPr>
          <w:rFonts w:eastAsia="Times New Roman"/>
        </w:rPr>
        <w:t>BCRP, MRP2, OAT1, OAT3, OATP1B1, OATP1B3, and OCT2</w:t>
      </w:r>
      <w:r w:rsidR="00D82921">
        <w:rPr>
          <w:rFonts w:eastAsia="Times New Roman"/>
        </w:rPr>
        <w:t>.</w:t>
      </w:r>
    </w:p>
    <w:p w:rsidR="00506994" w:rsidRPr="00335062" w:rsidRDefault="00506994" w:rsidP="00AB7A9E">
      <w:pPr>
        <w:rPr>
          <w:rFonts w:eastAsia="Times New Roman"/>
        </w:rPr>
      </w:pPr>
    </w:p>
    <w:p w:rsidR="00506994" w:rsidRPr="00335062" w:rsidRDefault="00506994" w:rsidP="00AB7A9E">
      <w:pPr>
        <w:ind w:right="340"/>
      </w:pPr>
      <w:r w:rsidRPr="00335062">
        <w:rPr>
          <w:rFonts w:eastAsia="Times New Roman"/>
        </w:rPr>
        <w:t>A majority of lenalidomide is eliminated through urinary excretion. The contribution of renal excretion to total clearance in subjects with normal renal function was 90%, with 4% of lenalidomide eliminated in faeces.</w:t>
      </w:r>
    </w:p>
    <w:p w:rsidR="00506994" w:rsidRPr="00335062" w:rsidRDefault="00506994" w:rsidP="00AB7A9E"/>
    <w:p w:rsidR="00506994" w:rsidRPr="00335062" w:rsidRDefault="00506994" w:rsidP="00AB7A9E">
      <w:pPr>
        <w:ind w:right="160"/>
      </w:pPr>
      <w:r w:rsidRPr="00335062">
        <w:rPr>
          <w:rFonts w:eastAsia="Times New Roman"/>
        </w:rPr>
        <w:t>Lenalidomide is poorly metabolized as 82% of the dose is excreted unchanged in urine. Hydroxy-lenalidomide and N-acetyl-lenalidomide represent 4.59% and 1.83% of the excreted dose, respectively. The renal clearance of lenalidomide exceeds the glomerular filtration rate and therefore is at least actively secreted to some extent.</w:t>
      </w:r>
    </w:p>
    <w:p w:rsidR="00506994" w:rsidRPr="00335062" w:rsidRDefault="00506994" w:rsidP="00AB7A9E"/>
    <w:p w:rsidR="00506994" w:rsidRPr="00335062" w:rsidRDefault="00506994" w:rsidP="004560FA">
      <w:pPr>
        <w:pStyle w:val="BodyText"/>
        <w:spacing w:before="46"/>
        <w:ind w:right="249"/>
      </w:pPr>
      <w:r w:rsidRPr="00335062">
        <w:rPr>
          <w:rFonts w:eastAsia="Times New Roman"/>
        </w:rPr>
        <w:t>At doses of 5 to 25 mg/day, half-life in plasma is approximately 3 hours in healthy volunteers and ranges from 3 to 5 hours in patients with multiple myeloma</w:t>
      </w:r>
      <w:r w:rsidR="00D82921">
        <w:rPr>
          <w:rFonts w:eastAsia="Times New Roman"/>
        </w:rPr>
        <w:t xml:space="preserve"> </w:t>
      </w:r>
      <w:r w:rsidR="00D82921" w:rsidRPr="00B2301B">
        <w:rPr>
          <w:spacing w:val="-1"/>
          <w:shd w:val="clear" w:color="auto" w:fill="FDE9D9" w:themeFill="accent6" w:themeFillTint="33"/>
        </w:rPr>
        <w:t>myelodysplastic</w:t>
      </w:r>
      <w:r w:rsidR="00D82921" w:rsidRPr="00B2301B">
        <w:rPr>
          <w:spacing w:val="-2"/>
          <w:shd w:val="clear" w:color="auto" w:fill="FDE9D9" w:themeFill="accent6" w:themeFillTint="33"/>
        </w:rPr>
        <w:t xml:space="preserve"> </w:t>
      </w:r>
      <w:r w:rsidR="00D82921" w:rsidRPr="00B2301B">
        <w:rPr>
          <w:spacing w:val="-1"/>
          <w:shd w:val="clear" w:color="auto" w:fill="FDE9D9" w:themeFill="accent6" w:themeFillTint="33"/>
        </w:rPr>
        <w:t>syndromes</w:t>
      </w:r>
      <w:r w:rsidR="00D82921">
        <w:rPr>
          <w:spacing w:val="1"/>
        </w:rPr>
        <w:t xml:space="preserve"> </w:t>
      </w:r>
      <w:r w:rsidR="00D82921" w:rsidRPr="00B2301B">
        <w:rPr>
          <w:shd w:val="clear" w:color="auto" w:fill="DBE5F1" w:themeFill="accent1" w:themeFillTint="33"/>
        </w:rPr>
        <w:t>or</w:t>
      </w:r>
      <w:r w:rsidR="00D82921" w:rsidRPr="00B2301B">
        <w:rPr>
          <w:spacing w:val="1"/>
          <w:shd w:val="clear" w:color="auto" w:fill="DBE5F1" w:themeFill="accent1" w:themeFillTint="33"/>
        </w:rPr>
        <w:t xml:space="preserve"> </w:t>
      </w:r>
      <w:r w:rsidR="00D82921" w:rsidRPr="00B2301B">
        <w:rPr>
          <w:spacing w:val="-1"/>
          <w:shd w:val="clear" w:color="auto" w:fill="DBE5F1" w:themeFill="accent1" w:themeFillTint="33"/>
        </w:rPr>
        <w:t>mantle</w:t>
      </w:r>
      <w:r w:rsidR="00D82921" w:rsidRPr="00B2301B">
        <w:rPr>
          <w:spacing w:val="-2"/>
          <w:shd w:val="clear" w:color="auto" w:fill="DBE5F1" w:themeFill="accent1" w:themeFillTint="33"/>
        </w:rPr>
        <w:t xml:space="preserve"> </w:t>
      </w:r>
      <w:r w:rsidR="00D82921" w:rsidRPr="00B2301B">
        <w:rPr>
          <w:spacing w:val="-1"/>
          <w:shd w:val="clear" w:color="auto" w:fill="DBE5F1" w:themeFill="accent1" w:themeFillTint="33"/>
        </w:rPr>
        <w:t>cell</w:t>
      </w:r>
      <w:r w:rsidR="00D82921" w:rsidRPr="00B2301B">
        <w:rPr>
          <w:spacing w:val="-2"/>
          <w:shd w:val="clear" w:color="auto" w:fill="DBE5F1" w:themeFill="accent1" w:themeFillTint="33"/>
        </w:rPr>
        <w:t xml:space="preserve"> </w:t>
      </w:r>
      <w:r w:rsidR="00D82921" w:rsidRPr="00B2301B">
        <w:rPr>
          <w:spacing w:val="-1"/>
          <w:shd w:val="clear" w:color="auto" w:fill="DBE5F1" w:themeFill="accent1" w:themeFillTint="33"/>
        </w:rPr>
        <w:t>lymphoma</w:t>
      </w:r>
      <w:r w:rsidRPr="00B2301B">
        <w:rPr>
          <w:rFonts w:eastAsia="Times New Roman"/>
          <w:shd w:val="clear" w:color="auto" w:fill="DBE5F1" w:themeFill="accent1" w:themeFillTint="33"/>
        </w:rPr>
        <w:t>.</w:t>
      </w:r>
    </w:p>
    <w:p w:rsidR="00506994" w:rsidRPr="00335062" w:rsidRDefault="00506994" w:rsidP="00AB7A9E"/>
    <w:p w:rsidR="00506994" w:rsidRPr="00335062" w:rsidRDefault="00506994" w:rsidP="00AB7A9E">
      <w:r>
        <w:rPr>
          <w:rFonts w:eastAsia="Times New Roman"/>
          <w:u w:val="single"/>
        </w:rPr>
        <w:t>Elderly</w:t>
      </w:r>
    </w:p>
    <w:p w:rsidR="00506994" w:rsidRPr="00335062" w:rsidRDefault="00506994" w:rsidP="00AB7A9E">
      <w:pPr>
        <w:ind w:right="80"/>
      </w:pPr>
      <w:r w:rsidRPr="00335062">
        <w:rPr>
          <w:rFonts w:eastAsia="Times New Roman"/>
        </w:rPr>
        <w:t>No dedicated clinical studies have been conducted to evaluate pharmacokinetics of lenalidomide in the elderly. Population pharmacokinetic analyses included patients with ages ranging from 39 to 85 years old and indicate that age does not influence lenalidomide clearance (exposure in plasma). Because elderly patients are more likely to have decreased renal function, care should be taken in dose selection and it would be prudent to monitor renal function.</w:t>
      </w:r>
    </w:p>
    <w:p w:rsidR="00506994" w:rsidRPr="00335062" w:rsidRDefault="00506994" w:rsidP="00AB7A9E"/>
    <w:p w:rsidR="00506994" w:rsidRPr="00335062" w:rsidRDefault="00506994" w:rsidP="00AB7A9E">
      <w:r w:rsidRPr="00335062">
        <w:rPr>
          <w:rFonts w:eastAsia="Times New Roman"/>
          <w:u w:val="single"/>
        </w:rPr>
        <w:t>Renal impairment</w:t>
      </w:r>
    </w:p>
    <w:p w:rsidR="00506994" w:rsidRPr="00335062" w:rsidRDefault="00506994" w:rsidP="00AB7A9E">
      <w:pPr>
        <w:ind w:right="40"/>
      </w:pPr>
      <w:r w:rsidRPr="00335062">
        <w:rPr>
          <w:rFonts w:eastAsia="Times New Roman"/>
        </w:rPr>
        <w:t>The pharmacokinetics of lenalidomide was studied in subjects with renal impairment due to nonmalignant conditions. In this study, two methods were used to classify renal function: the urinary creatinine clearance measured over 24 hours and the creatinine clearance estimated by Cockcroft-Gault formula. The results indicate that as renal function decreases (&lt; 50 mL/min), the total lenalidomide clearance decreases proportionally resulting in an increase in AUC. The AUC was increased by approximately 2.5, 4 and 5-fold in subjects with moderate renal impairment, severe renal impairment, and end-stage renal disease, respectively, compared to the group combining subjects with normal renal function and subjects with mild renal impairment. The half-life of lenalidomide increased from approximately 3.5 hours in subjects with creatinine clearance &gt; 50 mL/min to more than 9 hours in subjects with reduced renal function &lt; 50 mL/min. However, renal impairment did not alter the oral absorption of lenalidomide. The Cmax was similar between healthy subjects and patients with renal impairment. Approximately 30% of the medicinal product in the body was removed during a single 4-hour dialysis session. Recommended dose adjustments in patients with impaired renal function are described in section 4.2.</w:t>
      </w:r>
    </w:p>
    <w:p w:rsidR="00506994" w:rsidRPr="00335062" w:rsidRDefault="00506994" w:rsidP="00AB7A9E"/>
    <w:p w:rsidR="00506994" w:rsidRPr="00335062" w:rsidRDefault="00506994" w:rsidP="00AB7A9E">
      <w:r w:rsidRPr="00335062">
        <w:rPr>
          <w:rFonts w:eastAsia="Times New Roman"/>
          <w:u w:val="single"/>
        </w:rPr>
        <w:t>Hepatic impairment</w:t>
      </w:r>
    </w:p>
    <w:p w:rsidR="00506994" w:rsidRPr="00335062" w:rsidRDefault="00506994" w:rsidP="00AB7A9E">
      <w:r w:rsidRPr="00335062">
        <w:rPr>
          <w:rFonts w:eastAsia="Times New Roman"/>
        </w:rPr>
        <w:t>Population pharmacokinetic analyses included patients with mild hepatic impairment (N=16, total bilirubin &gt;1 to ≤1.5 x ULN or AST &gt; ULN) and indicate that mild hepatic impairment does not influence lenalidomide clearance (exposure in plasma). There are no data available for patients with moderate to severe hepatic impairment.</w:t>
      </w:r>
    </w:p>
    <w:p w:rsidR="00506994" w:rsidRPr="00335062" w:rsidRDefault="00506994" w:rsidP="00AB7A9E"/>
    <w:p w:rsidR="00506994" w:rsidRPr="00335062" w:rsidRDefault="00506994" w:rsidP="00AB7A9E">
      <w:r w:rsidRPr="00335062">
        <w:rPr>
          <w:rFonts w:eastAsia="Times New Roman"/>
          <w:u w:val="single"/>
        </w:rPr>
        <w:t>Other intrinsic factors</w:t>
      </w:r>
    </w:p>
    <w:p w:rsidR="00506994" w:rsidRPr="00335062" w:rsidRDefault="00506994" w:rsidP="00AB7A9E">
      <w:pPr>
        <w:ind w:right="360"/>
      </w:pPr>
      <w:r w:rsidRPr="00335062">
        <w:rPr>
          <w:rFonts w:eastAsia="Times New Roman"/>
        </w:rPr>
        <w:t>Population pharmacokinetic analyses indicate that body weight (33- 135 kg), gender, race and type of haematological malignancy (MM</w:t>
      </w:r>
      <w:r w:rsidR="00D82921">
        <w:rPr>
          <w:rFonts w:eastAsia="Times New Roman"/>
        </w:rPr>
        <w:t xml:space="preserve">, </w:t>
      </w:r>
      <w:r w:rsidR="00D82921" w:rsidRPr="00B2301B">
        <w:rPr>
          <w:rFonts w:eastAsia="Times New Roman"/>
          <w:shd w:val="clear" w:color="auto" w:fill="FDE9D9" w:themeFill="accent6" w:themeFillTint="33"/>
        </w:rPr>
        <w:t>MDS or</w:t>
      </w:r>
      <w:r w:rsidR="00D82921">
        <w:rPr>
          <w:rFonts w:eastAsia="Times New Roman"/>
        </w:rPr>
        <w:t xml:space="preserve"> </w:t>
      </w:r>
      <w:r w:rsidR="00D82921" w:rsidRPr="00B2301B">
        <w:rPr>
          <w:rFonts w:eastAsia="Times New Roman"/>
          <w:shd w:val="clear" w:color="auto" w:fill="DBE5F1" w:themeFill="accent1" w:themeFillTint="33"/>
        </w:rPr>
        <w:t>MCL</w:t>
      </w:r>
      <w:r w:rsidRPr="00335062">
        <w:rPr>
          <w:rFonts w:eastAsia="Times New Roman"/>
        </w:rPr>
        <w:t>) do not have a clinically relevant effect on lenalidomide clearance in adult patients.</w:t>
      </w:r>
    </w:p>
    <w:p w:rsidR="00506994" w:rsidRPr="00335062" w:rsidRDefault="00506994" w:rsidP="00AB7A9E"/>
    <w:p w:rsidR="00506994" w:rsidRPr="00335062" w:rsidRDefault="00506994" w:rsidP="00AB7A9E">
      <w:pPr>
        <w:tabs>
          <w:tab w:val="left" w:pos="540"/>
        </w:tabs>
      </w:pPr>
      <w:r w:rsidRPr="00335062">
        <w:rPr>
          <w:rFonts w:eastAsia="Times New Roman"/>
          <w:b/>
          <w:bCs/>
        </w:rPr>
        <w:t>5.3</w:t>
      </w:r>
      <w:r w:rsidRPr="00335062">
        <w:rPr>
          <w:rFonts w:eastAsia="Times New Roman"/>
          <w:b/>
          <w:bCs/>
        </w:rPr>
        <w:tab/>
        <w:t>Preclinical safety data</w:t>
      </w:r>
    </w:p>
    <w:p w:rsidR="00506994" w:rsidRPr="00335062" w:rsidRDefault="00506994" w:rsidP="00AB7A9E"/>
    <w:p w:rsidR="00506994" w:rsidRPr="00335062" w:rsidRDefault="00506994" w:rsidP="00AB7A9E">
      <w:pPr>
        <w:ind w:right="20"/>
      </w:pPr>
      <w:r w:rsidRPr="00335062">
        <w:rPr>
          <w:rFonts w:eastAsia="Times New Roman"/>
        </w:rPr>
        <w:t xml:space="preserve">An embryofoetal development study has been conducted in monkeys administered lenalidomide at doses from 0.5 and up to 4 mg/kg/day. Findings from this study indicate that lenalidomide produced external malformations including non-patent anus and malformations of upper and lower extremities (bent, shortened, malformed, malrotated and/or absent part of the extremities, oligo and/or polydactyly) in the offspring of female monkeys who received the </w:t>
      </w:r>
      <w:r w:rsidR="003A3861">
        <w:rPr>
          <w:rFonts w:eastAsia="Times New Roman"/>
        </w:rPr>
        <w:t>active substance</w:t>
      </w:r>
      <w:r w:rsidR="003A3861" w:rsidRPr="00335062">
        <w:rPr>
          <w:rFonts w:eastAsia="Times New Roman"/>
        </w:rPr>
        <w:t xml:space="preserve"> </w:t>
      </w:r>
      <w:r w:rsidRPr="00335062">
        <w:rPr>
          <w:rFonts w:eastAsia="Times New Roman"/>
        </w:rPr>
        <w:t>during pregnancy.</w:t>
      </w:r>
    </w:p>
    <w:p w:rsidR="00506994" w:rsidRPr="00335062" w:rsidRDefault="00506994" w:rsidP="00AB7A9E"/>
    <w:p w:rsidR="00506994" w:rsidRPr="00335062" w:rsidRDefault="00506994" w:rsidP="00AB7A9E">
      <w:pPr>
        <w:ind w:right="680"/>
      </w:pPr>
      <w:r w:rsidRPr="00335062">
        <w:rPr>
          <w:rFonts w:eastAsia="Times New Roman"/>
        </w:rPr>
        <w:t>Various visceral effects (discoloration, red foci at different organs, small colourless mass above atrio-ventricular valve, small gall bladder, malformed diaphragm) were also observed in single foetuses.</w:t>
      </w:r>
    </w:p>
    <w:p w:rsidR="00506994" w:rsidRPr="00335062" w:rsidRDefault="00506994" w:rsidP="00AB7A9E"/>
    <w:p w:rsidR="00506994" w:rsidRPr="00335062" w:rsidRDefault="00506994" w:rsidP="00AB7A9E">
      <w:pPr>
        <w:ind w:right="120"/>
      </w:pPr>
      <w:r w:rsidRPr="00335062">
        <w:rPr>
          <w:rFonts w:eastAsia="Times New Roman"/>
        </w:rPr>
        <w:t>Lenalidomide has a potential for acute toxicity; minimum lethal doses after oral administration were &gt; 2000 mg/kg/day in rodents. Repeated oral administration of 75, 150 and 300 mg/kg/day to rats for up to 26 weeks</w:t>
      </w:r>
    </w:p>
    <w:p w:rsidR="00506994" w:rsidRPr="00335062" w:rsidRDefault="00506994" w:rsidP="00AB7A9E">
      <w:pPr>
        <w:ind w:right="20"/>
      </w:pPr>
      <w:r w:rsidRPr="00335062">
        <w:rPr>
          <w:rFonts w:eastAsia="Times New Roman"/>
        </w:rPr>
        <w:t>produced a reversible treatment-related increase in kidney pelvis mineralisation in all 3 doses, most notably in females. The no observed adverse effect level (NOAEL) was considered to be less than 75 mg/kg/day, and is approximately 25-fold greater than the human daily exposure based on AUC exposure. Repeated oral administration of 4 and 6 mg/kg/day to monkeys for up to 20 weeks produced mortality and significant toxicity (marked weight loss, reduced red and white blood cell and platelet counts, multiple organ haemorrhage, gastrointestinal tract inflammation, lymphoid, and bone marrow atrophy). Repeated oral administration of 1 and 2 mg/kg/day to monkeys for up to 1 year produced reversible changes in bone marrow cellularity, a slight decrease in myeloid/erythroid cell ratio and thymic atrophy. Mild suppression of white blood cell count was observed at 1 mg/kg/day corresponding to approximately the same human dose based on AUC comparisons.</w:t>
      </w:r>
    </w:p>
    <w:p w:rsidR="00506994" w:rsidRPr="00335062" w:rsidRDefault="00506994" w:rsidP="00AB7A9E"/>
    <w:p w:rsidR="00506994" w:rsidRPr="00335062" w:rsidRDefault="00506994" w:rsidP="00AB7A9E">
      <w:pPr>
        <w:ind w:right="100"/>
      </w:pPr>
      <w:r w:rsidRPr="00335062">
        <w:rPr>
          <w:rFonts w:eastAsia="Times New Roman"/>
          <w:i/>
          <w:iCs/>
        </w:rPr>
        <w:t xml:space="preserve">In vitro </w:t>
      </w:r>
      <w:r w:rsidRPr="00335062">
        <w:rPr>
          <w:rFonts w:eastAsia="Times New Roman"/>
        </w:rPr>
        <w:t>(bacterial mutation, human lymphocytes, mouse lymphoma, Syrian Hamster Embryo cell</w:t>
      </w:r>
      <w:r w:rsidRPr="00335062">
        <w:rPr>
          <w:rFonts w:eastAsia="Times New Roman"/>
          <w:i/>
          <w:iCs/>
        </w:rPr>
        <w:t xml:space="preserve"> </w:t>
      </w:r>
      <w:r w:rsidRPr="00335062">
        <w:rPr>
          <w:rFonts w:eastAsia="Times New Roman"/>
        </w:rPr>
        <w:t xml:space="preserve">transformation) and </w:t>
      </w:r>
      <w:r w:rsidRPr="00335062">
        <w:rPr>
          <w:rFonts w:eastAsia="Times New Roman"/>
          <w:i/>
          <w:iCs/>
        </w:rPr>
        <w:t>in vivo</w:t>
      </w:r>
      <w:r w:rsidRPr="00335062">
        <w:rPr>
          <w:rFonts w:eastAsia="Times New Roman"/>
        </w:rPr>
        <w:t xml:space="preserve"> (rat micronucleus) mutagenicity studies revealed no drug related effects at either the gene or chromosomal level. Carcinogenicity studies with lenalidomide have not been conducted.</w:t>
      </w:r>
    </w:p>
    <w:p w:rsidR="00506994" w:rsidRPr="00335062" w:rsidRDefault="00506994" w:rsidP="00AB7A9E"/>
    <w:p w:rsidR="00506994" w:rsidRPr="00335062" w:rsidRDefault="00506994" w:rsidP="00AB7A9E">
      <w:r w:rsidRPr="00335062">
        <w:rPr>
          <w:rFonts w:eastAsia="Times New Roman"/>
        </w:rPr>
        <w:t>Developmental toxicity studies were previously conducted in rabbits. In these studies, rabbits were administered 3, 10 and 20 mg/kg/day orally. An absence of the intermediate lobe of the lung was observed at 10 and 20 mg/kg/day with dose dependence and displaced kidneys were observed at 20 mg/kg/day. Although it was observed at maternotoxic levels they may be attributable to a direct effect. Soft tissue and skeletal variations in the foetuses were also observed at 10 and 20 mg/kg/day.</w:t>
      </w:r>
    </w:p>
    <w:p w:rsidR="00506994" w:rsidRPr="00335062" w:rsidRDefault="00506994" w:rsidP="00AB7A9E"/>
    <w:p w:rsidR="00506994" w:rsidRPr="00335062" w:rsidRDefault="00506994" w:rsidP="00AB7A9E"/>
    <w:p w:rsidR="00506994" w:rsidRPr="00335062" w:rsidRDefault="00506994" w:rsidP="00AB7A9E">
      <w:pPr>
        <w:numPr>
          <w:ilvl w:val="0"/>
          <w:numId w:val="35"/>
        </w:numPr>
        <w:tabs>
          <w:tab w:val="left" w:pos="568"/>
        </w:tabs>
        <w:ind w:right="5260"/>
        <w:rPr>
          <w:rFonts w:eastAsia="Times New Roman"/>
          <w:b/>
          <w:bCs/>
        </w:rPr>
      </w:pPr>
      <w:r w:rsidRPr="00335062">
        <w:rPr>
          <w:rFonts w:eastAsia="Times New Roman"/>
          <w:b/>
          <w:bCs/>
        </w:rPr>
        <w:t xml:space="preserve">PHARMACEUTICAL PARTICULARS 6.1 </w:t>
      </w:r>
      <w:r w:rsidRPr="00335062">
        <w:rPr>
          <w:rFonts w:eastAsia="Times New Roman"/>
          <w:b/>
          <w:bCs/>
        </w:rPr>
        <w:tab/>
        <w:t>List of excipients</w:t>
      </w:r>
    </w:p>
    <w:p w:rsidR="00506994" w:rsidRPr="00335062" w:rsidRDefault="00506994" w:rsidP="00AB7A9E"/>
    <w:p w:rsidR="00506994" w:rsidRPr="00335062" w:rsidRDefault="00506994" w:rsidP="00AB7A9E">
      <w:r w:rsidRPr="00335062">
        <w:rPr>
          <w:rFonts w:eastAsia="Times New Roman"/>
          <w:u w:val="single"/>
        </w:rPr>
        <w:t>Capsule contents</w:t>
      </w:r>
    </w:p>
    <w:p w:rsidR="00506994" w:rsidRPr="00335062" w:rsidRDefault="00506994" w:rsidP="00AB7A9E">
      <w:r w:rsidRPr="00335062">
        <w:rPr>
          <w:rFonts w:eastAsia="Times New Roman"/>
        </w:rPr>
        <w:t>Lactose</w:t>
      </w:r>
    </w:p>
    <w:p w:rsidR="00506994" w:rsidRPr="00335062" w:rsidRDefault="00506994" w:rsidP="00AB7A9E">
      <w:r w:rsidRPr="00335062">
        <w:rPr>
          <w:rFonts w:eastAsia="Times New Roman"/>
        </w:rPr>
        <w:t>Cellulose, microcrystalline</w:t>
      </w:r>
      <w:r w:rsidR="00931D74">
        <w:rPr>
          <w:rFonts w:eastAsia="Times New Roman"/>
        </w:rPr>
        <w:t xml:space="preserve"> (E 460 (i))</w:t>
      </w:r>
    </w:p>
    <w:p w:rsidR="00506994" w:rsidRPr="00335062" w:rsidRDefault="00506994" w:rsidP="00AB7A9E">
      <w:r w:rsidRPr="00335062">
        <w:rPr>
          <w:rFonts w:eastAsia="Times New Roman"/>
        </w:rPr>
        <w:t>Croscarmellose sodium</w:t>
      </w:r>
      <w:r w:rsidR="00931D74">
        <w:rPr>
          <w:rFonts w:eastAsia="Times New Roman"/>
        </w:rPr>
        <w:t xml:space="preserve"> (E 468)</w:t>
      </w:r>
    </w:p>
    <w:p w:rsidR="00506994" w:rsidRPr="00335062" w:rsidRDefault="00506994" w:rsidP="00AB7A9E">
      <w:r w:rsidRPr="00335062">
        <w:rPr>
          <w:rFonts w:eastAsia="Times New Roman"/>
        </w:rPr>
        <w:t>Magnesium stearate</w:t>
      </w:r>
      <w:r w:rsidR="00931D74">
        <w:rPr>
          <w:rFonts w:eastAsia="Times New Roman"/>
        </w:rPr>
        <w:t xml:space="preserve"> (E 470b)</w:t>
      </w:r>
    </w:p>
    <w:p w:rsidR="00506994" w:rsidRPr="00335062" w:rsidRDefault="00506994" w:rsidP="00AB7A9E"/>
    <w:p w:rsidR="00506994" w:rsidRPr="00335062" w:rsidRDefault="00506994" w:rsidP="00AB7A9E">
      <w:r w:rsidRPr="00335062">
        <w:rPr>
          <w:rFonts w:eastAsia="Times New Roman"/>
          <w:u w:val="single"/>
        </w:rPr>
        <w:t>Capsule shell</w:t>
      </w:r>
    </w:p>
    <w:p w:rsidR="00506994" w:rsidRPr="00335062" w:rsidRDefault="00506994" w:rsidP="00AB7A9E">
      <w:r w:rsidRPr="00335062">
        <w:rPr>
          <w:rFonts w:eastAsia="Times New Roman"/>
        </w:rPr>
        <w:t>Gelatin</w:t>
      </w:r>
    </w:p>
    <w:p w:rsidR="00506994" w:rsidRPr="00335062" w:rsidRDefault="00506994" w:rsidP="00AB7A9E">
      <w:r w:rsidRPr="00335062">
        <w:rPr>
          <w:rFonts w:eastAsia="Times New Roman"/>
        </w:rPr>
        <w:t>Titanium dioxide (E171)</w:t>
      </w:r>
    </w:p>
    <w:p w:rsidR="00506994" w:rsidRPr="000E11AD" w:rsidRDefault="00506994" w:rsidP="00AB7A9E">
      <w:pPr>
        <w:rPr>
          <w:rFonts w:eastAsia="Times New Roman"/>
        </w:rPr>
      </w:pPr>
      <w:r w:rsidRPr="000E11AD">
        <w:rPr>
          <w:iCs/>
        </w:rPr>
        <w:t xml:space="preserve">Only 10 mg, 15 mg: </w:t>
      </w:r>
      <w:r w:rsidR="00903789" w:rsidRPr="00903789">
        <w:rPr>
          <w:rFonts w:eastAsia="Times New Roman"/>
        </w:rPr>
        <w:t>Indigotine (E132)</w:t>
      </w:r>
    </w:p>
    <w:p w:rsidR="00506994" w:rsidRPr="00335062" w:rsidRDefault="00506994" w:rsidP="00AB7A9E">
      <w:r w:rsidRPr="000E11AD">
        <w:rPr>
          <w:iCs/>
        </w:rPr>
        <w:t>Only 10 mg:</w:t>
      </w:r>
      <w:r>
        <w:rPr>
          <w:iCs/>
        </w:rPr>
        <w:t xml:space="preserve"> </w:t>
      </w:r>
      <w:r w:rsidRPr="000E11AD">
        <w:rPr>
          <w:rFonts w:eastAsia="Times New Roman"/>
        </w:rPr>
        <w:t>Yellow iron oxide (E172)</w:t>
      </w:r>
    </w:p>
    <w:p w:rsidR="00506994" w:rsidRPr="00335062" w:rsidRDefault="00506994" w:rsidP="00AB7A9E"/>
    <w:p w:rsidR="00506994" w:rsidRPr="00335062" w:rsidRDefault="00506994" w:rsidP="00AB7A9E">
      <w:r w:rsidRPr="00335062">
        <w:rPr>
          <w:rFonts w:eastAsia="Times New Roman"/>
          <w:u w:val="single"/>
        </w:rPr>
        <w:t>Printing ink</w:t>
      </w:r>
    </w:p>
    <w:p w:rsidR="00506994" w:rsidRPr="00335062" w:rsidRDefault="00506994" w:rsidP="00AB7A9E">
      <w:r w:rsidRPr="00335062">
        <w:rPr>
          <w:rFonts w:eastAsia="Times New Roman"/>
        </w:rPr>
        <w:t>Shellac</w:t>
      </w:r>
      <w:r w:rsidR="003556B0">
        <w:rPr>
          <w:rFonts w:eastAsia="Times New Roman"/>
        </w:rPr>
        <w:t xml:space="preserve"> (E904)</w:t>
      </w:r>
    </w:p>
    <w:p w:rsidR="00506994" w:rsidRPr="00335062" w:rsidRDefault="00506994" w:rsidP="00AB7A9E">
      <w:r w:rsidRPr="00335062">
        <w:rPr>
          <w:rFonts w:eastAsia="Times New Roman"/>
        </w:rPr>
        <w:t>Propylene glycol</w:t>
      </w:r>
      <w:r w:rsidR="003556B0" w:rsidRPr="00601162">
        <w:t xml:space="preserve"> (E1520)</w:t>
      </w:r>
    </w:p>
    <w:p w:rsidR="00506994" w:rsidRPr="00335062" w:rsidRDefault="00506994" w:rsidP="00AB7A9E">
      <w:pPr>
        <w:rPr>
          <w:rFonts w:eastAsia="Times New Roman"/>
        </w:rPr>
      </w:pPr>
      <w:r w:rsidRPr="00335062">
        <w:rPr>
          <w:rFonts w:eastAsia="Times New Roman"/>
        </w:rPr>
        <w:t>Black iron oxide (E172)</w:t>
      </w:r>
    </w:p>
    <w:p w:rsidR="00506994" w:rsidRPr="00335062" w:rsidRDefault="00506994" w:rsidP="00AB7A9E">
      <w:r w:rsidRPr="00335062">
        <w:rPr>
          <w:rFonts w:eastAsia="Times New Roman"/>
        </w:rPr>
        <w:t>Potassium hydroxide</w:t>
      </w:r>
      <w:r w:rsidR="003556B0">
        <w:rPr>
          <w:rFonts w:eastAsia="Times New Roman"/>
        </w:rPr>
        <w:t xml:space="preserve"> (E525)</w:t>
      </w:r>
    </w:p>
    <w:p w:rsidR="00506994" w:rsidRPr="00335062" w:rsidRDefault="00506994" w:rsidP="00AB7A9E"/>
    <w:p w:rsidR="00506994" w:rsidRPr="00335062" w:rsidRDefault="00506994" w:rsidP="00AB7A9E">
      <w:pPr>
        <w:tabs>
          <w:tab w:val="left" w:pos="541"/>
        </w:tabs>
      </w:pPr>
      <w:r w:rsidRPr="00335062">
        <w:rPr>
          <w:rFonts w:eastAsia="Times New Roman"/>
          <w:b/>
          <w:bCs/>
        </w:rPr>
        <w:t>6.2</w:t>
      </w:r>
      <w:r w:rsidRPr="00335062">
        <w:rPr>
          <w:rFonts w:eastAsia="Times New Roman"/>
          <w:b/>
          <w:bCs/>
        </w:rPr>
        <w:tab/>
        <w:t>Incompatibilities</w:t>
      </w:r>
    </w:p>
    <w:p w:rsidR="00506994" w:rsidRPr="00335062" w:rsidRDefault="00506994" w:rsidP="00AB7A9E"/>
    <w:p w:rsidR="00506994" w:rsidRPr="00335062" w:rsidRDefault="00506994" w:rsidP="00AB7A9E">
      <w:r w:rsidRPr="00335062">
        <w:rPr>
          <w:rFonts w:eastAsia="Times New Roman"/>
        </w:rPr>
        <w:t>Not applicable.</w:t>
      </w:r>
    </w:p>
    <w:p w:rsidR="00506994" w:rsidRPr="00335062" w:rsidRDefault="00506994" w:rsidP="00AB7A9E"/>
    <w:p w:rsidR="00506994" w:rsidRPr="00335062" w:rsidRDefault="00506994" w:rsidP="00AB7A9E">
      <w:pPr>
        <w:tabs>
          <w:tab w:val="left" w:pos="541"/>
        </w:tabs>
      </w:pPr>
      <w:r w:rsidRPr="00335062">
        <w:rPr>
          <w:rFonts w:eastAsia="Times New Roman"/>
          <w:b/>
          <w:bCs/>
        </w:rPr>
        <w:t>6.3</w:t>
      </w:r>
      <w:r w:rsidRPr="00335062">
        <w:rPr>
          <w:rFonts w:eastAsia="Times New Roman"/>
          <w:b/>
          <w:bCs/>
        </w:rPr>
        <w:tab/>
        <w:t>Shelf life</w:t>
      </w:r>
    </w:p>
    <w:p w:rsidR="00506994" w:rsidRPr="00335062" w:rsidRDefault="00506994" w:rsidP="00AB7A9E"/>
    <w:p w:rsidR="00506994" w:rsidRPr="00335062" w:rsidRDefault="002F5209" w:rsidP="00AB7A9E">
      <w:r>
        <w:rPr>
          <w:rFonts w:eastAsia="Times New Roman"/>
        </w:rPr>
        <w:t>3</w:t>
      </w:r>
      <w:r w:rsidR="00506994" w:rsidRPr="00335062">
        <w:rPr>
          <w:rFonts w:eastAsia="Times New Roman"/>
        </w:rPr>
        <w:t xml:space="preserve"> years</w:t>
      </w:r>
    </w:p>
    <w:p w:rsidR="00506994" w:rsidRPr="00335062" w:rsidRDefault="00506994" w:rsidP="00AB7A9E"/>
    <w:p w:rsidR="00506994" w:rsidRPr="00335062" w:rsidRDefault="00506994" w:rsidP="00AB7A9E">
      <w:pPr>
        <w:tabs>
          <w:tab w:val="left" w:pos="541"/>
        </w:tabs>
      </w:pPr>
      <w:r w:rsidRPr="00335062">
        <w:rPr>
          <w:rFonts w:eastAsia="Times New Roman"/>
          <w:b/>
          <w:bCs/>
        </w:rPr>
        <w:t>6.4</w:t>
      </w:r>
      <w:r w:rsidRPr="00335062">
        <w:tab/>
      </w:r>
      <w:r w:rsidRPr="00335062">
        <w:rPr>
          <w:rFonts w:eastAsia="Times New Roman"/>
          <w:b/>
          <w:bCs/>
        </w:rPr>
        <w:t>Special precautions for storage</w:t>
      </w:r>
    </w:p>
    <w:p w:rsidR="00506994" w:rsidRPr="00335062" w:rsidRDefault="00506994" w:rsidP="00AB7A9E"/>
    <w:p w:rsidR="00506994" w:rsidRPr="00335062" w:rsidRDefault="00506994" w:rsidP="00AB7A9E">
      <w:r w:rsidRPr="009E7F63">
        <w:rPr>
          <w:rFonts w:eastAsia="Times New Roman"/>
        </w:rPr>
        <w:t>This medicinal product does not require any special storage conditions.</w:t>
      </w:r>
    </w:p>
    <w:p w:rsidR="00506994" w:rsidRPr="00335062" w:rsidRDefault="00506994" w:rsidP="00AB7A9E"/>
    <w:p w:rsidR="00506994" w:rsidRPr="00335062" w:rsidRDefault="00506994" w:rsidP="00AB7A9E">
      <w:pPr>
        <w:tabs>
          <w:tab w:val="left" w:pos="541"/>
        </w:tabs>
      </w:pPr>
      <w:r w:rsidRPr="00335062">
        <w:rPr>
          <w:rFonts w:eastAsia="Times New Roman"/>
          <w:b/>
          <w:bCs/>
        </w:rPr>
        <w:t>6.5</w:t>
      </w:r>
      <w:r w:rsidRPr="00335062">
        <w:rPr>
          <w:rFonts w:eastAsia="Times New Roman"/>
          <w:b/>
          <w:bCs/>
        </w:rPr>
        <w:tab/>
        <w:t>Nature and contents of container</w:t>
      </w:r>
    </w:p>
    <w:p w:rsidR="0061578B" w:rsidRDefault="0061578B" w:rsidP="00AB7A9E"/>
    <w:p w:rsidR="008C35B7" w:rsidRPr="00007790" w:rsidRDefault="005F6EAD" w:rsidP="00AB7A9E">
      <w:r w:rsidRPr="00007790">
        <w:t>oPA/Al/PVC/Al blisters.</w:t>
      </w:r>
    </w:p>
    <w:p w:rsidR="0061578B" w:rsidRPr="00007790" w:rsidRDefault="0061578B" w:rsidP="00AB7A9E"/>
    <w:p w:rsidR="008A6EE9" w:rsidRPr="000872D2" w:rsidRDefault="000C4FC9" w:rsidP="008A6EE9">
      <w:r>
        <w:t>Boxes containing 7 or 21 capsules.</w:t>
      </w:r>
    </w:p>
    <w:p w:rsidR="00506994" w:rsidRPr="00746107" w:rsidRDefault="00506994" w:rsidP="00AB7A9E">
      <w:pPr>
        <w:rPr>
          <w:highlight w:val="yellow"/>
        </w:rPr>
      </w:pPr>
    </w:p>
    <w:p w:rsidR="00506994" w:rsidRPr="00335062" w:rsidRDefault="00506994" w:rsidP="00AB7A9E">
      <w:r w:rsidRPr="00335062">
        <w:rPr>
          <w:rFonts w:eastAsia="Times New Roman"/>
        </w:rPr>
        <w:t xml:space="preserve">Not all pack sizes may be </w:t>
      </w:r>
      <w:r w:rsidR="004C54E2">
        <w:rPr>
          <w:rFonts w:eastAsia="Times New Roman"/>
        </w:rPr>
        <w:t>marketed</w:t>
      </w:r>
      <w:r w:rsidRPr="00335062">
        <w:rPr>
          <w:rFonts w:eastAsia="Times New Roman"/>
        </w:rPr>
        <w:t>.</w:t>
      </w:r>
    </w:p>
    <w:p w:rsidR="00506994" w:rsidRPr="00335062" w:rsidRDefault="00506994" w:rsidP="00AB7A9E"/>
    <w:p w:rsidR="00506994" w:rsidRDefault="00506994" w:rsidP="00AB7A9E">
      <w:pPr>
        <w:tabs>
          <w:tab w:val="left" w:pos="541"/>
        </w:tabs>
        <w:rPr>
          <w:rFonts w:eastAsia="Times New Roman"/>
          <w:b/>
          <w:bCs/>
        </w:rPr>
      </w:pPr>
      <w:r w:rsidRPr="00335062">
        <w:rPr>
          <w:rFonts w:eastAsia="Times New Roman"/>
          <w:b/>
          <w:bCs/>
        </w:rPr>
        <w:t>6.6</w:t>
      </w:r>
      <w:r w:rsidRPr="00335062">
        <w:rPr>
          <w:rFonts w:eastAsia="Times New Roman"/>
          <w:b/>
          <w:bCs/>
        </w:rPr>
        <w:tab/>
        <w:t>Special precautions for disposal</w:t>
      </w:r>
      <w:r w:rsidR="009D2CF1">
        <w:rPr>
          <w:rFonts w:eastAsia="Times New Roman"/>
          <w:b/>
          <w:bCs/>
        </w:rPr>
        <w:t xml:space="preserve"> and other handling</w:t>
      </w:r>
    </w:p>
    <w:p w:rsidR="00506994" w:rsidRPr="00335062" w:rsidRDefault="00506994" w:rsidP="00AB7A9E">
      <w:pPr>
        <w:tabs>
          <w:tab w:val="left" w:pos="541"/>
        </w:tabs>
      </w:pPr>
    </w:p>
    <w:p w:rsidR="00506994" w:rsidRDefault="00506994" w:rsidP="00AB7A9E">
      <w:r w:rsidRPr="008B414D">
        <w:t>Capsules should not be opened or crushed. If powder from lenalidomide makes contact with the skin, the skin should be washed immediately and thoroughly with soap and water. If lenalidomide makes contact with the mucous membranes, they should be thoroughly flushed with water.</w:t>
      </w:r>
    </w:p>
    <w:p w:rsidR="00506994" w:rsidRDefault="00506994" w:rsidP="00AB7A9E"/>
    <w:p w:rsidR="007372DB" w:rsidRDefault="007372DB" w:rsidP="007372DB">
      <w:pPr>
        <w:pStyle w:val="BodyText"/>
        <w:spacing w:after="0"/>
        <w:ind w:right="161"/>
      </w:pPr>
      <w:r w:rsidRPr="004A3A6C">
        <w:t>Healthcare professionals and caregivers should wear disposable gloves when handling the blister or capsule. Gloves should then be removed carefully to prevent skin exposure, placed in a sealable plastic polyethylene bag and disposed of in accordance with local requirements. Hands should then be washed thoroughly with soap and water. Women who are pregnant or suspect they may be pregnant should not handle the blister or capsule (see section 4.4).</w:t>
      </w:r>
    </w:p>
    <w:p w:rsidR="007372DB" w:rsidRPr="00335062" w:rsidRDefault="007372DB" w:rsidP="00AB7A9E"/>
    <w:p w:rsidR="00506994" w:rsidRPr="00335062" w:rsidRDefault="00506994" w:rsidP="00AB7A9E">
      <w:r w:rsidRPr="00335062">
        <w:rPr>
          <w:rFonts w:eastAsia="Times New Roman"/>
        </w:rPr>
        <w:t xml:space="preserve">Any unused product or waste material should be </w:t>
      </w:r>
      <w:r>
        <w:rPr>
          <w:rFonts w:eastAsia="Times New Roman"/>
        </w:rPr>
        <w:t>returned to the pharmacist for safe disposal</w:t>
      </w:r>
      <w:r w:rsidRPr="00335062">
        <w:rPr>
          <w:rFonts w:eastAsia="Times New Roman"/>
        </w:rPr>
        <w:t xml:space="preserve"> in accordance with local requirements.</w:t>
      </w:r>
    </w:p>
    <w:p w:rsidR="00506994" w:rsidRPr="00335062" w:rsidRDefault="00506994" w:rsidP="00AB7A9E"/>
    <w:p w:rsidR="00506994" w:rsidRPr="00335062" w:rsidRDefault="00506994" w:rsidP="00AB7A9E"/>
    <w:p w:rsidR="00506994" w:rsidRPr="00335062" w:rsidRDefault="00506994" w:rsidP="00AB7A9E">
      <w:pPr>
        <w:numPr>
          <w:ilvl w:val="0"/>
          <w:numId w:val="36"/>
        </w:numPr>
        <w:tabs>
          <w:tab w:val="left" w:pos="561"/>
        </w:tabs>
        <w:rPr>
          <w:rFonts w:eastAsia="Times New Roman"/>
          <w:b/>
          <w:bCs/>
        </w:rPr>
      </w:pPr>
      <w:r w:rsidRPr="00335062">
        <w:rPr>
          <w:rFonts w:eastAsia="Times New Roman"/>
          <w:b/>
          <w:bCs/>
        </w:rPr>
        <w:t>MARKETING AUTHORISATION HOLDER</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7"/>
        </w:numPr>
        <w:tabs>
          <w:tab w:val="left" w:pos="561"/>
        </w:tabs>
        <w:rPr>
          <w:rFonts w:eastAsia="Times New Roman"/>
          <w:b/>
          <w:bCs/>
        </w:rPr>
      </w:pPr>
      <w:r w:rsidRPr="00335062">
        <w:rPr>
          <w:rFonts w:eastAsia="Times New Roman"/>
          <w:b/>
          <w:bCs/>
        </w:rPr>
        <w:t>MARKETING AUTHORISATION NUMBER(S)</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8"/>
        </w:numPr>
        <w:tabs>
          <w:tab w:val="left" w:pos="561"/>
        </w:tabs>
        <w:rPr>
          <w:rFonts w:eastAsia="Times New Roman"/>
          <w:b/>
          <w:bCs/>
        </w:rPr>
      </w:pPr>
      <w:r w:rsidRPr="00335062">
        <w:rPr>
          <w:rFonts w:eastAsia="Times New Roman"/>
          <w:b/>
          <w:bCs/>
        </w:rPr>
        <w:t>DATE OF FIRST AUTHORISATION/RENEWAL OF THE AUTHORISATION</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9"/>
        </w:numPr>
        <w:tabs>
          <w:tab w:val="left" w:pos="561"/>
        </w:tabs>
        <w:rPr>
          <w:rFonts w:eastAsia="Times New Roman"/>
          <w:b/>
          <w:bCs/>
        </w:rPr>
      </w:pPr>
      <w:r w:rsidRPr="00335062">
        <w:rPr>
          <w:rFonts w:eastAsia="Times New Roman"/>
          <w:b/>
          <w:bCs/>
        </w:rPr>
        <w:t>DATE OF REVISION OF THE TEXT</w:t>
      </w:r>
    </w:p>
    <w:p w:rsidR="00506994" w:rsidRPr="00335062" w:rsidRDefault="00506994" w:rsidP="00AB7A9E"/>
    <w:p w:rsidR="00506994" w:rsidRPr="00506994" w:rsidRDefault="00506994" w:rsidP="00AB7A9E">
      <w:r w:rsidRPr="00335062">
        <w:t>[to be completed nationally]</w:t>
      </w:r>
    </w:p>
    <w:sectPr w:rsidR="00506994" w:rsidRPr="00506994" w:rsidSect="00AD5F8B">
      <w:headerReference w:type="default" r:id="rId15"/>
      <w:footerReference w:type="default" r:id="rId16"/>
      <w:pgSz w:w="11907" w:h="16839" w:code="9"/>
      <w:pgMar w:top="2693" w:right="851" w:bottom="1588" w:left="1134" w:header="170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AF1" w:rsidRDefault="00081AF1">
      <w:r>
        <w:separator/>
      </w:r>
    </w:p>
  </w:endnote>
  <w:endnote w:type="continuationSeparator" w:id="0">
    <w:p w:rsidR="00081AF1" w:rsidRDefault="0008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panose1 w:val="00000000000000000000"/>
    <w:charset w:val="88"/>
    <w:family w:val="auto"/>
    <w:notTrueType/>
    <w:pitch w:val="default"/>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4F5D86">
      <w:trPr>
        <w:cantSplit/>
        <w:trHeight w:hRule="exact" w:val="280"/>
      </w:trPr>
      <w:tc>
        <w:tcPr>
          <w:tcW w:w="8403" w:type="dxa"/>
          <w:tcBorders>
            <w:top w:val="single" w:sz="8" w:space="0" w:color="940150"/>
            <w:bottom w:val="nil"/>
          </w:tcBorders>
        </w:tcPr>
        <w:p w:rsidR="008A30FA" w:rsidRPr="004273C8" w:rsidRDefault="008A30FA" w:rsidP="00726834">
          <w:pPr>
            <w:tabs>
              <w:tab w:val="right" w:pos="9360"/>
            </w:tabs>
            <w:rPr>
              <w:sz w:val="20"/>
              <w:szCs w:val="20"/>
            </w:rPr>
          </w:pPr>
          <w:r w:rsidRPr="004273C8">
            <w:rPr>
              <w:sz w:val="20"/>
              <w:szCs w:val="20"/>
            </w:rPr>
            <w:t>M1.3.1_01.LNL.cap.</w:t>
          </w:r>
          <w:r>
            <w:rPr>
              <w:sz w:val="20"/>
              <w:szCs w:val="20"/>
            </w:rPr>
            <w:t>020.</w:t>
          </w:r>
          <w:r w:rsidR="00F532D4">
            <w:rPr>
              <w:sz w:val="20"/>
              <w:szCs w:val="20"/>
            </w:rPr>
            <w:t>03</w:t>
          </w:r>
          <w:r w:rsidRPr="004273C8">
            <w:rPr>
              <w:sz w:val="20"/>
              <w:szCs w:val="20"/>
            </w:rPr>
            <w:t>.core</w:t>
          </w:r>
        </w:p>
      </w:tc>
      <w:tc>
        <w:tcPr>
          <w:tcW w:w="1521" w:type="dxa"/>
          <w:tcBorders>
            <w:top w:val="single" w:sz="8" w:space="0" w:color="940150"/>
            <w:bottom w:val="nil"/>
          </w:tcBorders>
          <w:tcMar>
            <w:right w:w="113" w:type="dxa"/>
          </w:tcMar>
        </w:tcPr>
        <w:p w:rsidR="008A30FA" w:rsidRPr="00D2232E" w:rsidRDefault="008A30FA" w:rsidP="00726834">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236F4F">
            <w:rPr>
              <w:noProof/>
              <w:sz w:val="20"/>
              <w:szCs w:val="20"/>
            </w:rPr>
            <w:t>1</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236F4F">
            <w:rPr>
              <w:noProof/>
              <w:sz w:val="20"/>
              <w:szCs w:val="20"/>
            </w:rPr>
            <w:t>15</w:t>
          </w:r>
          <w:r w:rsidRPr="00D2232E">
            <w:rPr>
              <w:sz w:val="20"/>
              <w:szCs w:val="20"/>
            </w:rPr>
            <w:fldChar w:fldCharType="end"/>
          </w:r>
        </w:p>
      </w:tc>
    </w:tr>
  </w:tbl>
  <w:p w:rsidR="008A30FA" w:rsidRDefault="008A3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0E0978">
      <w:trPr>
        <w:cantSplit/>
        <w:trHeight w:hRule="exact" w:val="280"/>
      </w:trPr>
      <w:tc>
        <w:tcPr>
          <w:tcW w:w="8403" w:type="dxa"/>
          <w:tcBorders>
            <w:top w:val="single" w:sz="8" w:space="0" w:color="940150"/>
            <w:bottom w:val="nil"/>
          </w:tcBorders>
        </w:tcPr>
        <w:p w:rsidR="008A30FA" w:rsidRDefault="008A30FA" w:rsidP="008820D9">
          <w:pPr>
            <w:tabs>
              <w:tab w:val="right" w:pos="9360"/>
            </w:tabs>
            <w:rPr>
              <w:sz w:val="20"/>
              <w:szCs w:val="20"/>
              <w:lang w:val="de-DE"/>
            </w:rPr>
          </w:pPr>
          <w:r w:rsidRPr="00B13080">
            <w:rPr>
              <w:sz w:val="20"/>
              <w:szCs w:val="20"/>
              <w:lang w:val="de-DE"/>
            </w:rPr>
            <w:t>M1.3.1_01.LNL.cap.</w:t>
          </w:r>
          <w:r>
            <w:rPr>
              <w:sz w:val="20"/>
              <w:szCs w:val="20"/>
              <w:lang w:val="de-DE"/>
            </w:rPr>
            <w:t>020.</w:t>
          </w:r>
          <w:r w:rsidR="00F532D4">
            <w:rPr>
              <w:sz w:val="20"/>
              <w:szCs w:val="20"/>
              <w:lang w:val="de-DE"/>
            </w:rPr>
            <w:t>03</w:t>
          </w:r>
          <w:r w:rsidRPr="00B13080">
            <w:rPr>
              <w:sz w:val="20"/>
              <w:szCs w:val="20"/>
              <w:lang w:val="de-DE"/>
            </w:rPr>
            <w:t>.core</w:t>
          </w:r>
        </w:p>
      </w:tc>
      <w:tc>
        <w:tcPr>
          <w:tcW w:w="1521" w:type="dxa"/>
          <w:tcBorders>
            <w:top w:val="single" w:sz="8" w:space="0" w:color="940150"/>
            <w:bottom w:val="nil"/>
          </w:tcBorders>
          <w:tcMar>
            <w:right w:w="113" w:type="dxa"/>
          </w:tcMar>
        </w:tcPr>
        <w:p w:rsidR="008A30FA" w:rsidRPr="00D2232E" w:rsidRDefault="008A30FA" w:rsidP="000E0978">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9C4B2B">
            <w:rPr>
              <w:noProof/>
              <w:sz w:val="20"/>
              <w:szCs w:val="20"/>
            </w:rPr>
            <w:t>55</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9C4B2B">
            <w:rPr>
              <w:noProof/>
              <w:sz w:val="20"/>
              <w:szCs w:val="20"/>
            </w:rPr>
            <w:t>65</w:t>
          </w:r>
          <w:r w:rsidRPr="00D2232E">
            <w:rPr>
              <w:sz w:val="20"/>
              <w:szCs w:val="20"/>
            </w:rPr>
            <w:fldChar w:fldCharType="end"/>
          </w:r>
        </w:p>
      </w:tc>
    </w:tr>
  </w:tbl>
  <w:p w:rsidR="008A30FA" w:rsidRDefault="008A30FA">
    <w:pPr>
      <w:pStyle w:val="Footer"/>
    </w:pPr>
  </w:p>
  <w:p w:rsidR="008A30FA" w:rsidRDefault="008A30FA"/>
  <w:p w:rsidR="008A30FA" w:rsidRDefault="008A30F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040A0D">
      <w:trPr>
        <w:cantSplit/>
        <w:trHeight w:hRule="exact" w:val="280"/>
      </w:trPr>
      <w:tc>
        <w:tcPr>
          <w:tcW w:w="8403" w:type="dxa"/>
          <w:tcBorders>
            <w:top w:val="single" w:sz="8" w:space="0" w:color="940150"/>
            <w:bottom w:val="nil"/>
          </w:tcBorders>
        </w:tcPr>
        <w:p w:rsidR="008A30FA" w:rsidRPr="004273C8" w:rsidRDefault="008A30FA" w:rsidP="00A33204">
          <w:pPr>
            <w:tabs>
              <w:tab w:val="right" w:pos="9360"/>
            </w:tabs>
            <w:rPr>
              <w:sz w:val="20"/>
              <w:szCs w:val="20"/>
            </w:rPr>
          </w:pPr>
          <w:r w:rsidRPr="004273C8">
            <w:rPr>
              <w:sz w:val="20"/>
              <w:szCs w:val="20"/>
            </w:rPr>
            <w:t>M1.3.1_01.LNL.cap.</w:t>
          </w:r>
          <w:r>
            <w:rPr>
              <w:sz w:val="20"/>
              <w:szCs w:val="20"/>
            </w:rPr>
            <w:t>020.</w:t>
          </w:r>
          <w:r w:rsidR="00F532D4">
            <w:rPr>
              <w:sz w:val="20"/>
              <w:szCs w:val="20"/>
            </w:rPr>
            <w:t>03</w:t>
          </w:r>
          <w:r w:rsidRPr="004273C8">
            <w:rPr>
              <w:sz w:val="20"/>
              <w:szCs w:val="20"/>
            </w:rPr>
            <w:t>.core</w:t>
          </w:r>
        </w:p>
      </w:tc>
      <w:tc>
        <w:tcPr>
          <w:tcW w:w="1521" w:type="dxa"/>
          <w:tcBorders>
            <w:top w:val="single" w:sz="8" w:space="0" w:color="940150"/>
            <w:bottom w:val="nil"/>
          </w:tcBorders>
          <w:tcMar>
            <w:right w:w="113" w:type="dxa"/>
          </w:tcMar>
        </w:tcPr>
        <w:p w:rsidR="008A30FA" w:rsidRPr="00D2232E" w:rsidRDefault="008A30FA" w:rsidP="00B06304">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9C4B2B">
            <w:rPr>
              <w:noProof/>
              <w:sz w:val="20"/>
              <w:szCs w:val="20"/>
            </w:rPr>
            <w:t>60</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9C4B2B">
            <w:rPr>
              <w:noProof/>
              <w:sz w:val="20"/>
              <w:szCs w:val="20"/>
            </w:rPr>
            <w:t>65</w:t>
          </w:r>
          <w:r w:rsidRPr="00D2232E">
            <w:rPr>
              <w:sz w:val="20"/>
              <w:szCs w:val="20"/>
            </w:rPr>
            <w:fldChar w:fldCharType="end"/>
          </w:r>
        </w:p>
      </w:tc>
    </w:tr>
  </w:tbl>
  <w:p w:rsidR="008A30FA" w:rsidRDefault="008A30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AF1" w:rsidRDefault="00081AF1">
      <w:r>
        <w:separator/>
      </w:r>
    </w:p>
  </w:footnote>
  <w:footnote w:type="continuationSeparator" w:id="0">
    <w:p w:rsidR="00081AF1" w:rsidRDefault="00081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0FA" w:rsidRDefault="008A30FA">
    <w:pPr>
      <w:pStyle w:val="Header"/>
    </w:pPr>
  </w:p>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4F5D86">
      <w:trPr>
        <w:trHeight w:val="692"/>
      </w:trPr>
      <w:tc>
        <w:tcPr>
          <w:tcW w:w="3941" w:type="dxa"/>
          <w:shd w:val="clear" w:color="auto" w:fill="auto"/>
        </w:tcPr>
        <w:p w:rsidR="008A30FA" w:rsidRPr="00A27DD2" w:rsidRDefault="008A30FA" w:rsidP="00726834">
          <w:pPr>
            <w:tabs>
              <w:tab w:val="right" w:pos="9360"/>
            </w:tabs>
            <w:ind w:left="-98"/>
            <w:rPr>
              <w:sz w:val="18"/>
              <w:szCs w:val="18"/>
            </w:rPr>
          </w:pPr>
          <w:r>
            <w:rPr>
              <w:noProof/>
            </w:rPr>
            <w:drawing>
              <wp:anchor distT="0" distB="0" distL="114300" distR="114300" simplePos="0" relativeHeight="251661824" behindDoc="0" locked="1" layoutInCell="1" allowOverlap="1" wp14:anchorId="1F8C8B23" wp14:editId="09D657BF">
                <wp:simplePos x="0" y="0"/>
                <wp:positionH relativeFrom="page">
                  <wp:posOffset>-3810</wp:posOffset>
                </wp:positionH>
                <wp:positionV relativeFrom="page">
                  <wp:posOffset>890270</wp:posOffset>
                </wp:positionV>
                <wp:extent cx="830580" cy="419100"/>
                <wp:effectExtent l="19050" t="0" r="7620" b="0"/>
                <wp:wrapNone/>
                <wp:docPr id="9" name="Picture 9"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tc>
      <w:tc>
        <w:tcPr>
          <w:tcW w:w="2155" w:type="dxa"/>
          <w:shd w:val="clear" w:color="auto" w:fill="auto"/>
        </w:tcPr>
        <w:p w:rsidR="008A30FA" w:rsidRPr="00A27DD2" w:rsidRDefault="008A30FA" w:rsidP="00726834">
          <w:pPr>
            <w:ind w:right="567"/>
            <w:jc w:val="center"/>
          </w:pPr>
        </w:p>
      </w:tc>
      <w:tc>
        <w:tcPr>
          <w:tcW w:w="3941" w:type="dxa"/>
        </w:tcPr>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r>
            <w:rPr>
              <w:sz w:val="18"/>
              <w:szCs w:val="18"/>
            </w:rPr>
            <w:t>Common Technical Document</w:t>
          </w:r>
        </w:p>
        <w:p w:rsidR="008A30FA" w:rsidRDefault="008A30FA" w:rsidP="00726834">
          <w:pPr>
            <w:tabs>
              <w:tab w:val="right" w:pos="9360"/>
            </w:tabs>
            <w:jc w:val="right"/>
            <w:rPr>
              <w:sz w:val="18"/>
              <w:szCs w:val="18"/>
            </w:rPr>
          </w:pPr>
          <w:r>
            <w:rPr>
              <w:sz w:val="18"/>
              <w:szCs w:val="18"/>
            </w:rPr>
            <w:t>Lenalidomide  5,  10, 15 and 25 mg</w:t>
          </w:r>
        </w:p>
        <w:p w:rsidR="008A30FA" w:rsidRPr="003A14EC" w:rsidRDefault="008A30FA" w:rsidP="00726834">
          <w:pPr>
            <w:jc w:val="right"/>
          </w:pPr>
          <w:r>
            <w:rPr>
              <w:sz w:val="18"/>
              <w:szCs w:val="18"/>
            </w:rPr>
            <w:t>capsule</w:t>
          </w:r>
        </w:p>
      </w:tc>
    </w:tr>
  </w:tbl>
  <w:p w:rsidR="008A30FA" w:rsidRDefault="008A3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0E0978">
      <w:trPr>
        <w:trHeight w:val="1281"/>
      </w:trPr>
      <w:tc>
        <w:tcPr>
          <w:tcW w:w="3941" w:type="dxa"/>
          <w:shd w:val="clear" w:color="auto" w:fill="auto"/>
        </w:tcPr>
        <w:p w:rsidR="008A30FA" w:rsidRPr="00A27DD2" w:rsidRDefault="008A30FA" w:rsidP="000E0978">
          <w:pPr>
            <w:tabs>
              <w:tab w:val="right" w:pos="9360"/>
            </w:tabs>
            <w:ind w:left="-98"/>
            <w:rPr>
              <w:sz w:val="18"/>
              <w:szCs w:val="18"/>
            </w:rPr>
          </w:pPr>
          <w:r>
            <w:rPr>
              <w:noProof/>
            </w:rPr>
            <w:drawing>
              <wp:anchor distT="0" distB="0" distL="114300" distR="114300" simplePos="0" relativeHeight="251656192" behindDoc="0" locked="1" layoutInCell="1" allowOverlap="1" wp14:anchorId="2CC21D2A" wp14:editId="069BE6BD">
                <wp:simplePos x="0" y="0"/>
                <wp:positionH relativeFrom="page">
                  <wp:posOffset>-27305</wp:posOffset>
                </wp:positionH>
                <wp:positionV relativeFrom="page">
                  <wp:posOffset>1016000</wp:posOffset>
                </wp:positionV>
                <wp:extent cx="830580" cy="419100"/>
                <wp:effectExtent l="19050" t="0" r="7620" b="0"/>
                <wp:wrapNone/>
                <wp:docPr id="2" name="Picture 2"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tc>
      <w:tc>
        <w:tcPr>
          <w:tcW w:w="2155" w:type="dxa"/>
          <w:shd w:val="clear" w:color="auto" w:fill="auto"/>
        </w:tcPr>
        <w:p w:rsidR="008A30FA" w:rsidRPr="00A27DD2" w:rsidRDefault="008A30FA" w:rsidP="000E0978">
          <w:pPr>
            <w:ind w:right="567"/>
            <w:jc w:val="center"/>
          </w:pPr>
        </w:p>
      </w:tc>
      <w:tc>
        <w:tcPr>
          <w:tcW w:w="3941" w:type="dxa"/>
        </w:tcPr>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r>
            <w:rPr>
              <w:sz w:val="18"/>
              <w:szCs w:val="18"/>
            </w:rPr>
            <w:t>Common Technical Document</w:t>
          </w:r>
        </w:p>
        <w:p w:rsidR="008A30FA" w:rsidRDefault="008A30FA" w:rsidP="000E0978">
          <w:pPr>
            <w:tabs>
              <w:tab w:val="right" w:pos="9360"/>
            </w:tabs>
            <w:jc w:val="right"/>
            <w:rPr>
              <w:sz w:val="18"/>
              <w:szCs w:val="18"/>
            </w:rPr>
          </w:pPr>
          <w:r>
            <w:rPr>
              <w:sz w:val="18"/>
              <w:szCs w:val="18"/>
            </w:rPr>
            <w:t>Lenalidomide 5, 10, 15 and 25 mg</w:t>
          </w:r>
        </w:p>
        <w:p w:rsidR="008A30FA" w:rsidRPr="003A14EC" w:rsidRDefault="008A30FA" w:rsidP="000E0978">
          <w:pPr>
            <w:jc w:val="right"/>
          </w:pPr>
          <w:r>
            <w:rPr>
              <w:sz w:val="18"/>
              <w:szCs w:val="18"/>
            </w:rPr>
            <w:t>capsule</w:t>
          </w:r>
        </w:p>
      </w:tc>
    </w:tr>
  </w:tbl>
  <w:p w:rsidR="008A30FA" w:rsidRDefault="008A30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24610B">
      <w:trPr>
        <w:trHeight w:val="692"/>
      </w:trPr>
      <w:tc>
        <w:tcPr>
          <w:tcW w:w="3941" w:type="dxa"/>
          <w:shd w:val="clear" w:color="auto" w:fill="auto"/>
        </w:tcPr>
        <w:p w:rsidR="008A30FA" w:rsidRPr="00A27DD2" w:rsidRDefault="008A30FA" w:rsidP="00890847">
          <w:pPr>
            <w:tabs>
              <w:tab w:val="right" w:pos="9360"/>
            </w:tabs>
            <w:ind w:left="-98"/>
            <w:rPr>
              <w:sz w:val="18"/>
              <w:szCs w:val="18"/>
            </w:rPr>
          </w:pPr>
        </w:p>
      </w:tc>
      <w:tc>
        <w:tcPr>
          <w:tcW w:w="2155" w:type="dxa"/>
          <w:shd w:val="clear" w:color="auto" w:fill="auto"/>
        </w:tcPr>
        <w:p w:rsidR="008A30FA" w:rsidRPr="00A27DD2" w:rsidRDefault="008A30FA" w:rsidP="00482284">
          <w:pPr>
            <w:ind w:right="567"/>
            <w:jc w:val="center"/>
          </w:pPr>
        </w:p>
      </w:tc>
      <w:tc>
        <w:tcPr>
          <w:tcW w:w="3941" w:type="dxa"/>
        </w:tcPr>
        <w:p w:rsidR="008A30FA" w:rsidRDefault="008A30FA" w:rsidP="00B13080">
          <w:pPr>
            <w:tabs>
              <w:tab w:val="right" w:pos="9360"/>
            </w:tabs>
            <w:jc w:val="right"/>
            <w:rPr>
              <w:sz w:val="18"/>
              <w:szCs w:val="18"/>
            </w:rPr>
          </w:pPr>
          <w:r>
            <w:rPr>
              <w:sz w:val="18"/>
              <w:szCs w:val="18"/>
            </w:rPr>
            <w:t>Common Technical Document</w:t>
          </w:r>
        </w:p>
        <w:p w:rsidR="008A30FA" w:rsidRDefault="008A30FA" w:rsidP="00B13080">
          <w:pPr>
            <w:tabs>
              <w:tab w:val="right" w:pos="9360"/>
            </w:tabs>
            <w:jc w:val="right"/>
            <w:rPr>
              <w:sz w:val="18"/>
              <w:szCs w:val="18"/>
            </w:rPr>
          </w:pPr>
          <w:r>
            <w:rPr>
              <w:sz w:val="18"/>
              <w:szCs w:val="18"/>
            </w:rPr>
            <w:t>Lenalidomide 5, 10, 15 and 25 mg</w:t>
          </w:r>
        </w:p>
        <w:p w:rsidR="008A30FA" w:rsidRPr="003A14EC" w:rsidRDefault="008A30FA" w:rsidP="00B13080">
          <w:pPr>
            <w:jc w:val="right"/>
          </w:pPr>
          <w:r>
            <w:rPr>
              <w:sz w:val="18"/>
              <w:szCs w:val="18"/>
            </w:rPr>
            <w:t>capsule</w:t>
          </w:r>
        </w:p>
      </w:tc>
    </w:tr>
  </w:tbl>
  <w:p w:rsidR="008A30FA" w:rsidRDefault="008A30FA">
    <w:r>
      <w:rPr>
        <w:noProof/>
      </w:rPr>
      <w:drawing>
        <wp:anchor distT="0" distB="0" distL="114300" distR="114300" simplePos="0" relativeHeight="251657728" behindDoc="0" locked="1" layoutInCell="1" allowOverlap="1" wp14:anchorId="1C3AB2DA" wp14:editId="12EC17F6">
          <wp:simplePos x="0" y="0"/>
          <wp:positionH relativeFrom="page">
            <wp:posOffset>676275</wp:posOffset>
          </wp:positionH>
          <wp:positionV relativeFrom="page">
            <wp:posOffset>1104900</wp:posOffset>
          </wp:positionV>
          <wp:extent cx="830580" cy="419100"/>
          <wp:effectExtent l="19050" t="0" r="7620" b="0"/>
          <wp:wrapNone/>
          <wp:docPr id="1" name="Picture 1"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6D8"/>
    <w:multiLevelType w:val="hybridMultilevel"/>
    <w:tmpl w:val="3B28CB3C"/>
    <w:lvl w:ilvl="0" w:tplc="5AF2750C">
      <w:start w:val="2"/>
      <w:numFmt w:val="decimal"/>
      <w:lvlText w:val="%1."/>
      <w:lvlJc w:val="left"/>
    </w:lvl>
    <w:lvl w:ilvl="1" w:tplc="ACD4F02A">
      <w:numFmt w:val="decimal"/>
      <w:lvlText w:val=""/>
      <w:lvlJc w:val="left"/>
    </w:lvl>
    <w:lvl w:ilvl="2" w:tplc="40C8C076">
      <w:numFmt w:val="decimal"/>
      <w:lvlText w:val=""/>
      <w:lvlJc w:val="left"/>
    </w:lvl>
    <w:lvl w:ilvl="3" w:tplc="E4788A0C">
      <w:numFmt w:val="decimal"/>
      <w:lvlText w:val=""/>
      <w:lvlJc w:val="left"/>
    </w:lvl>
    <w:lvl w:ilvl="4" w:tplc="8D9AC8F4">
      <w:numFmt w:val="decimal"/>
      <w:lvlText w:val=""/>
      <w:lvlJc w:val="left"/>
    </w:lvl>
    <w:lvl w:ilvl="5" w:tplc="AF9682BA">
      <w:numFmt w:val="decimal"/>
      <w:lvlText w:val=""/>
      <w:lvlJc w:val="left"/>
    </w:lvl>
    <w:lvl w:ilvl="6" w:tplc="BD7CC0D0">
      <w:numFmt w:val="decimal"/>
      <w:lvlText w:val=""/>
      <w:lvlJc w:val="left"/>
    </w:lvl>
    <w:lvl w:ilvl="7" w:tplc="721051A4">
      <w:numFmt w:val="decimal"/>
      <w:lvlText w:val=""/>
      <w:lvlJc w:val="left"/>
    </w:lvl>
    <w:lvl w:ilvl="8" w:tplc="9216BACE">
      <w:numFmt w:val="decimal"/>
      <w:lvlText w:val=""/>
      <w:lvlJc w:val="left"/>
    </w:lvl>
  </w:abstractNum>
  <w:abstractNum w:abstractNumId="1" w15:restartNumberingAfterBreak="0">
    <w:nsid w:val="00000A6E"/>
    <w:multiLevelType w:val="hybridMultilevel"/>
    <w:tmpl w:val="B3C62D5A"/>
    <w:lvl w:ilvl="0" w:tplc="5B483EE0">
      <w:start w:val="10"/>
      <w:numFmt w:val="decimal"/>
      <w:lvlText w:val="%1."/>
      <w:lvlJc w:val="left"/>
    </w:lvl>
    <w:lvl w:ilvl="1" w:tplc="9B5CB1D0">
      <w:numFmt w:val="decimal"/>
      <w:lvlText w:val=""/>
      <w:lvlJc w:val="left"/>
    </w:lvl>
    <w:lvl w:ilvl="2" w:tplc="1C84577C">
      <w:numFmt w:val="decimal"/>
      <w:lvlText w:val=""/>
      <w:lvlJc w:val="left"/>
    </w:lvl>
    <w:lvl w:ilvl="3" w:tplc="95C4F022">
      <w:numFmt w:val="decimal"/>
      <w:lvlText w:val=""/>
      <w:lvlJc w:val="left"/>
    </w:lvl>
    <w:lvl w:ilvl="4" w:tplc="E796EC8E">
      <w:numFmt w:val="decimal"/>
      <w:lvlText w:val=""/>
      <w:lvlJc w:val="left"/>
    </w:lvl>
    <w:lvl w:ilvl="5" w:tplc="C58639FC">
      <w:numFmt w:val="decimal"/>
      <w:lvlText w:val=""/>
      <w:lvlJc w:val="left"/>
    </w:lvl>
    <w:lvl w:ilvl="6" w:tplc="E0CCA954">
      <w:numFmt w:val="decimal"/>
      <w:lvlText w:val=""/>
      <w:lvlJc w:val="left"/>
    </w:lvl>
    <w:lvl w:ilvl="7" w:tplc="9E80FBA0">
      <w:numFmt w:val="decimal"/>
      <w:lvlText w:val=""/>
      <w:lvlJc w:val="left"/>
    </w:lvl>
    <w:lvl w:ilvl="8" w:tplc="EA541A6A">
      <w:numFmt w:val="decimal"/>
      <w:lvlText w:val=""/>
      <w:lvlJc w:val="left"/>
    </w:lvl>
  </w:abstractNum>
  <w:abstractNum w:abstractNumId="2" w15:restartNumberingAfterBreak="0">
    <w:nsid w:val="00000EF5"/>
    <w:multiLevelType w:val="hybridMultilevel"/>
    <w:tmpl w:val="0CA09858"/>
    <w:lvl w:ilvl="0" w:tplc="D94A95F8">
      <w:start w:val="1"/>
      <w:numFmt w:val="bullet"/>
      <w:lvlText w:val="**"/>
      <w:lvlJc w:val="left"/>
    </w:lvl>
    <w:lvl w:ilvl="1" w:tplc="C130D4DC">
      <w:numFmt w:val="decimal"/>
      <w:lvlText w:val=""/>
      <w:lvlJc w:val="left"/>
    </w:lvl>
    <w:lvl w:ilvl="2" w:tplc="B2C6CFD2">
      <w:numFmt w:val="decimal"/>
      <w:lvlText w:val=""/>
      <w:lvlJc w:val="left"/>
    </w:lvl>
    <w:lvl w:ilvl="3" w:tplc="29200664">
      <w:numFmt w:val="decimal"/>
      <w:lvlText w:val=""/>
      <w:lvlJc w:val="left"/>
    </w:lvl>
    <w:lvl w:ilvl="4" w:tplc="9EAE1910">
      <w:numFmt w:val="decimal"/>
      <w:lvlText w:val=""/>
      <w:lvlJc w:val="left"/>
    </w:lvl>
    <w:lvl w:ilvl="5" w:tplc="C456C5A4">
      <w:numFmt w:val="decimal"/>
      <w:lvlText w:val=""/>
      <w:lvlJc w:val="left"/>
    </w:lvl>
    <w:lvl w:ilvl="6" w:tplc="B74C5A04">
      <w:numFmt w:val="decimal"/>
      <w:lvlText w:val=""/>
      <w:lvlJc w:val="left"/>
    </w:lvl>
    <w:lvl w:ilvl="7" w:tplc="E1C6F6C6">
      <w:numFmt w:val="decimal"/>
      <w:lvlText w:val=""/>
      <w:lvlJc w:val="left"/>
    </w:lvl>
    <w:lvl w:ilvl="8" w:tplc="D2385178">
      <w:numFmt w:val="decimal"/>
      <w:lvlText w:val=""/>
      <w:lvlJc w:val="left"/>
    </w:lvl>
  </w:abstractNum>
  <w:abstractNum w:abstractNumId="3" w15:restartNumberingAfterBreak="0">
    <w:nsid w:val="000015E1"/>
    <w:multiLevelType w:val="hybridMultilevel"/>
    <w:tmpl w:val="6DDC1C14"/>
    <w:lvl w:ilvl="0" w:tplc="7FC2C346">
      <w:start w:val="7"/>
      <w:numFmt w:val="decimal"/>
      <w:lvlText w:val="%1."/>
      <w:lvlJc w:val="left"/>
    </w:lvl>
    <w:lvl w:ilvl="1" w:tplc="C5780506">
      <w:numFmt w:val="decimal"/>
      <w:lvlText w:val=""/>
      <w:lvlJc w:val="left"/>
    </w:lvl>
    <w:lvl w:ilvl="2" w:tplc="FD8C73D8">
      <w:numFmt w:val="decimal"/>
      <w:lvlText w:val=""/>
      <w:lvlJc w:val="left"/>
    </w:lvl>
    <w:lvl w:ilvl="3" w:tplc="9A5E91CE">
      <w:numFmt w:val="decimal"/>
      <w:lvlText w:val=""/>
      <w:lvlJc w:val="left"/>
    </w:lvl>
    <w:lvl w:ilvl="4" w:tplc="1CAEA938">
      <w:numFmt w:val="decimal"/>
      <w:lvlText w:val=""/>
      <w:lvlJc w:val="left"/>
    </w:lvl>
    <w:lvl w:ilvl="5" w:tplc="39B68A88">
      <w:numFmt w:val="decimal"/>
      <w:lvlText w:val=""/>
      <w:lvlJc w:val="left"/>
    </w:lvl>
    <w:lvl w:ilvl="6" w:tplc="E9E20B60">
      <w:numFmt w:val="decimal"/>
      <w:lvlText w:val=""/>
      <w:lvlJc w:val="left"/>
    </w:lvl>
    <w:lvl w:ilvl="7" w:tplc="C9F0997A">
      <w:numFmt w:val="decimal"/>
      <w:lvlText w:val=""/>
      <w:lvlJc w:val="left"/>
    </w:lvl>
    <w:lvl w:ilvl="8" w:tplc="8A729CA2">
      <w:numFmt w:val="decimal"/>
      <w:lvlText w:val=""/>
      <w:lvlJc w:val="left"/>
    </w:lvl>
  </w:abstractNum>
  <w:abstractNum w:abstractNumId="4" w15:restartNumberingAfterBreak="0">
    <w:nsid w:val="000017BD"/>
    <w:multiLevelType w:val="hybridMultilevel"/>
    <w:tmpl w:val="03809D92"/>
    <w:lvl w:ilvl="0" w:tplc="55CAB4F6">
      <w:start w:val="5"/>
      <w:numFmt w:val="decimal"/>
      <w:lvlText w:val="%1."/>
      <w:lvlJc w:val="left"/>
    </w:lvl>
    <w:lvl w:ilvl="1" w:tplc="B5087CEE">
      <w:numFmt w:val="decimal"/>
      <w:lvlText w:val=""/>
      <w:lvlJc w:val="left"/>
    </w:lvl>
    <w:lvl w:ilvl="2" w:tplc="4EB4E0D6">
      <w:numFmt w:val="decimal"/>
      <w:lvlText w:val=""/>
      <w:lvlJc w:val="left"/>
    </w:lvl>
    <w:lvl w:ilvl="3" w:tplc="2C8C566A">
      <w:numFmt w:val="decimal"/>
      <w:lvlText w:val=""/>
      <w:lvlJc w:val="left"/>
    </w:lvl>
    <w:lvl w:ilvl="4" w:tplc="93E41C8E">
      <w:numFmt w:val="decimal"/>
      <w:lvlText w:val=""/>
      <w:lvlJc w:val="left"/>
    </w:lvl>
    <w:lvl w:ilvl="5" w:tplc="D9C61AC0">
      <w:numFmt w:val="decimal"/>
      <w:lvlText w:val=""/>
      <w:lvlJc w:val="left"/>
    </w:lvl>
    <w:lvl w:ilvl="6" w:tplc="80861E50">
      <w:numFmt w:val="decimal"/>
      <w:lvlText w:val=""/>
      <w:lvlJc w:val="left"/>
    </w:lvl>
    <w:lvl w:ilvl="7" w:tplc="47922380">
      <w:numFmt w:val="decimal"/>
      <w:lvlText w:val=""/>
      <w:lvlJc w:val="left"/>
    </w:lvl>
    <w:lvl w:ilvl="8" w:tplc="4074FD36">
      <w:numFmt w:val="decimal"/>
      <w:lvlText w:val=""/>
      <w:lvlJc w:val="left"/>
    </w:lvl>
  </w:abstractNum>
  <w:abstractNum w:abstractNumId="5" w15:restartNumberingAfterBreak="0">
    <w:nsid w:val="00002015"/>
    <w:multiLevelType w:val="hybridMultilevel"/>
    <w:tmpl w:val="989E4D8C"/>
    <w:lvl w:ilvl="0" w:tplc="5802CF48">
      <w:start w:val="1"/>
      <w:numFmt w:val="bullet"/>
      <w:lvlText w:val="†"/>
      <w:lvlJc w:val="left"/>
    </w:lvl>
    <w:lvl w:ilvl="1" w:tplc="ABD211C6">
      <w:numFmt w:val="decimal"/>
      <w:lvlText w:val=""/>
      <w:lvlJc w:val="left"/>
    </w:lvl>
    <w:lvl w:ilvl="2" w:tplc="19C282BE">
      <w:numFmt w:val="decimal"/>
      <w:lvlText w:val=""/>
      <w:lvlJc w:val="left"/>
    </w:lvl>
    <w:lvl w:ilvl="3" w:tplc="5178FB32">
      <w:numFmt w:val="decimal"/>
      <w:lvlText w:val=""/>
      <w:lvlJc w:val="left"/>
    </w:lvl>
    <w:lvl w:ilvl="4" w:tplc="4432AD22">
      <w:numFmt w:val="decimal"/>
      <w:lvlText w:val=""/>
      <w:lvlJc w:val="left"/>
    </w:lvl>
    <w:lvl w:ilvl="5" w:tplc="9BA6CCFC">
      <w:numFmt w:val="decimal"/>
      <w:lvlText w:val=""/>
      <w:lvlJc w:val="left"/>
    </w:lvl>
    <w:lvl w:ilvl="6" w:tplc="702004B4">
      <w:numFmt w:val="decimal"/>
      <w:lvlText w:val=""/>
      <w:lvlJc w:val="left"/>
    </w:lvl>
    <w:lvl w:ilvl="7" w:tplc="BFD4DEEC">
      <w:numFmt w:val="decimal"/>
      <w:lvlText w:val=""/>
      <w:lvlJc w:val="left"/>
    </w:lvl>
    <w:lvl w:ilvl="8" w:tplc="B8D0B54A">
      <w:numFmt w:val="decimal"/>
      <w:lvlText w:val=""/>
      <w:lvlJc w:val="left"/>
    </w:lvl>
  </w:abstractNum>
  <w:abstractNum w:abstractNumId="6" w15:restartNumberingAfterBreak="0">
    <w:nsid w:val="000021EB"/>
    <w:multiLevelType w:val="hybridMultilevel"/>
    <w:tmpl w:val="B12C8D8A"/>
    <w:lvl w:ilvl="0" w:tplc="6360C5F2">
      <w:start w:val="1"/>
      <w:numFmt w:val="lowerLetter"/>
      <w:lvlText w:val="%1:"/>
      <w:lvlJc w:val="left"/>
    </w:lvl>
    <w:lvl w:ilvl="1" w:tplc="80FCC8EC">
      <w:numFmt w:val="decimal"/>
      <w:lvlText w:val=""/>
      <w:lvlJc w:val="left"/>
    </w:lvl>
    <w:lvl w:ilvl="2" w:tplc="95FEAD34">
      <w:numFmt w:val="decimal"/>
      <w:lvlText w:val=""/>
      <w:lvlJc w:val="left"/>
    </w:lvl>
    <w:lvl w:ilvl="3" w:tplc="0E3EA922">
      <w:numFmt w:val="decimal"/>
      <w:lvlText w:val=""/>
      <w:lvlJc w:val="left"/>
    </w:lvl>
    <w:lvl w:ilvl="4" w:tplc="08FAAC66">
      <w:numFmt w:val="decimal"/>
      <w:lvlText w:val=""/>
      <w:lvlJc w:val="left"/>
    </w:lvl>
    <w:lvl w:ilvl="5" w:tplc="33D8661C">
      <w:numFmt w:val="decimal"/>
      <w:lvlText w:val=""/>
      <w:lvlJc w:val="left"/>
    </w:lvl>
    <w:lvl w:ilvl="6" w:tplc="C2247012">
      <w:numFmt w:val="decimal"/>
      <w:lvlText w:val=""/>
      <w:lvlJc w:val="left"/>
    </w:lvl>
    <w:lvl w:ilvl="7" w:tplc="E9643C72">
      <w:numFmt w:val="decimal"/>
      <w:lvlText w:val=""/>
      <w:lvlJc w:val="left"/>
    </w:lvl>
    <w:lvl w:ilvl="8" w:tplc="5706E2A0">
      <w:numFmt w:val="decimal"/>
      <w:lvlText w:val=""/>
      <w:lvlJc w:val="left"/>
    </w:lvl>
  </w:abstractNum>
  <w:abstractNum w:abstractNumId="7" w15:restartNumberingAfterBreak="0">
    <w:nsid w:val="00002738"/>
    <w:multiLevelType w:val="hybridMultilevel"/>
    <w:tmpl w:val="75E8D4DA"/>
    <w:lvl w:ilvl="0" w:tplc="4030CB94">
      <w:start w:val="1"/>
      <w:numFmt w:val="bullet"/>
      <w:lvlText w:val="ª"/>
      <w:lvlJc w:val="left"/>
    </w:lvl>
    <w:lvl w:ilvl="1" w:tplc="7EBC8A94">
      <w:numFmt w:val="decimal"/>
      <w:lvlText w:val=""/>
      <w:lvlJc w:val="left"/>
    </w:lvl>
    <w:lvl w:ilvl="2" w:tplc="C3424932">
      <w:numFmt w:val="decimal"/>
      <w:lvlText w:val=""/>
      <w:lvlJc w:val="left"/>
    </w:lvl>
    <w:lvl w:ilvl="3" w:tplc="7D1C115E">
      <w:numFmt w:val="decimal"/>
      <w:lvlText w:val=""/>
      <w:lvlJc w:val="left"/>
    </w:lvl>
    <w:lvl w:ilvl="4" w:tplc="9FD058D0">
      <w:numFmt w:val="decimal"/>
      <w:lvlText w:val=""/>
      <w:lvlJc w:val="left"/>
    </w:lvl>
    <w:lvl w:ilvl="5" w:tplc="83FE4826">
      <w:numFmt w:val="decimal"/>
      <w:lvlText w:val=""/>
      <w:lvlJc w:val="left"/>
    </w:lvl>
    <w:lvl w:ilvl="6" w:tplc="679C4B90">
      <w:numFmt w:val="decimal"/>
      <w:lvlText w:val=""/>
      <w:lvlJc w:val="left"/>
    </w:lvl>
    <w:lvl w:ilvl="7" w:tplc="5A4EE67A">
      <w:numFmt w:val="decimal"/>
      <w:lvlText w:val=""/>
      <w:lvlJc w:val="left"/>
    </w:lvl>
    <w:lvl w:ilvl="8" w:tplc="94B8061E">
      <w:numFmt w:val="decimal"/>
      <w:lvlText w:val=""/>
      <w:lvlJc w:val="left"/>
    </w:lvl>
  </w:abstractNum>
  <w:abstractNum w:abstractNumId="8" w15:restartNumberingAfterBreak="0">
    <w:nsid w:val="00003181"/>
    <w:multiLevelType w:val="hybridMultilevel"/>
    <w:tmpl w:val="CE680438"/>
    <w:lvl w:ilvl="0" w:tplc="118A595C">
      <w:start w:val="1"/>
      <w:numFmt w:val="bullet"/>
      <w:lvlText w:val="ª"/>
      <w:lvlJc w:val="left"/>
    </w:lvl>
    <w:lvl w:ilvl="1" w:tplc="842C348C">
      <w:numFmt w:val="decimal"/>
      <w:lvlText w:val=""/>
      <w:lvlJc w:val="left"/>
    </w:lvl>
    <w:lvl w:ilvl="2" w:tplc="2E862A70">
      <w:numFmt w:val="decimal"/>
      <w:lvlText w:val=""/>
      <w:lvlJc w:val="left"/>
    </w:lvl>
    <w:lvl w:ilvl="3" w:tplc="94B8C400">
      <w:numFmt w:val="decimal"/>
      <w:lvlText w:val=""/>
      <w:lvlJc w:val="left"/>
    </w:lvl>
    <w:lvl w:ilvl="4" w:tplc="E744C1AA">
      <w:numFmt w:val="decimal"/>
      <w:lvlText w:val=""/>
      <w:lvlJc w:val="left"/>
    </w:lvl>
    <w:lvl w:ilvl="5" w:tplc="30A0F224">
      <w:numFmt w:val="decimal"/>
      <w:lvlText w:val=""/>
      <w:lvlJc w:val="left"/>
    </w:lvl>
    <w:lvl w:ilvl="6" w:tplc="10063D1A">
      <w:numFmt w:val="decimal"/>
      <w:lvlText w:val=""/>
      <w:lvlJc w:val="left"/>
    </w:lvl>
    <w:lvl w:ilvl="7" w:tplc="9D3EF88C">
      <w:numFmt w:val="decimal"/>
      <w:lvlText w:val=""/>
      <w:lvlJc w:val="left"/>
    </w:lvl>
    <w:lvl w:ilvl="8" w:tplc="D092EAB2">
      <w:numFmt w:val="decimal"/>
      <w:lvlText w:val=""/>
      <w:lvlJc w:val="left"/>
    </w:lvl>
  </w:abstractNum>
  <w:abstractNum w:abstractNumId="9" w15:restartNumberingAfterBreak="0">
    <w:nsid w:val="00003D8F"/>
    <w:multiLevelType w:val="hybridMultilevel"/>
    <w:tmpl w:val="99FCEA44"/>
    <w:lvl w:ilvl="0" w:tplc="BF4EC98A">
      <w:start w:val="9"/>
      <w:numFmt w:val="decimal"/>
      <w:lvlText w:val="%1."/>
      <w:lvlJc w:val="left"/>
    </w:lvl>
    <w:lvl w:ilvl="1" w:tplc="2D347BA4">
      <w:numFmt w:val="decimal"/>
      <w:lvlText w:val=""/>
      <w:lvlJc w:val="left"/>
    </w:lvl>
    <w:lvl w:ilvl="2" w:tplc="B7B423F4">
      <w:numFmt w:val="decimal"/>
      <w:lvlText w:val=""/>
      <w:lvlJc w:val="left"/>
    </w:lvl>
    <w:lvl w:ilvl="3" w:tplc="89588F00">
      <w:numFmt w:val="decimal"/>
      <w:lvlText w:val=""/>
      <w:lvlJc w:val="left"/>
    </w:lvl>
    <w:lvl w:ilvl="4" w:tplc="6D221780">
      <w:numFmt w:val="decimal"/>
      <w:lvlText w:val=""/>
      <w:lvlJc w:val="left"/>
    </w:lvl>
    <w:lvl w:ilvl="5" w:tplc="07B29D50">
      <w:numFmt w:val="decimal"/>
      <w:lvlText w:val=""/>
      <w:lvlJc w:val="left"/>
    </w:lvl>
    <w:lvl w:ilvl="6" w:tplc="96F2646C">
      <w:numFmt w:val="decimal"/>
      <w:lvlText w:val=""/>
      <w:lvlJc w:val="left"/>
    </w:lvl>
    <w:lvl w:ilvl="7" w:tplc="04CA3C8A">
      <w:numFmt w:val="decimal"/>
      <w:lvlText w:val=""/>
      <w:lvlJc w:val="left"/>
    </w:lvl>
    <w:lvl w:ilvl="8" w:tplc="F0CC650A">
      <w:numFmt w:val="decimal"/>
      <w:lvlText w:val=""/>
      <w:lvlJc w:val="left"/>
    </w:lvl>
  </w:abstractNum>
  <w:abstractNum w:abstractNumId="10" w15:restartNumberingAfterBreak="0">
    <w:nsid w:val="0000480B"/>
    <w:multiLevelType w:val="hybridMultilevel"/>
    <w:tmpl w:val="26CE26DC"/>
    <w:lvl w:ilvl="0" w:tplc="33387CF4">
      <w:start w:val="3"/>
      <w:numFmt w:val="decimal"/>
      <w:lvlText w:val="%1."/>
      <w:lvlJc w:val="left"/>
    </w:lvl>
    <w:lvl w:ilvl="1" w:tplc="2AC4F7DE">
      <w:numFmt w:val="decimal"/>
      <w:lvlText w:val=""/>
      <w:lvlJc w:val="left"/>
    </w:lvl>
    <w:lvl w:ilvl="2" w:tplc="AFCEF7FE">
      <w:numFmt w:val="decimal"/>
      <w:lvlText w:val=""/>
      <w:lvlJc w:val="left"/>
    </w:lvl>
    <w:lvl w:ilvl="3" w:tplc="8E54A90A">
      <w:numFmt w:val="decimal"/>
      <w:lvlText w:val=""/>
      <w:lvlJc w:val="left"/>
    </w:lvl>
    <w:lvl w:ilvl="4" w:tplc="6726B47C">
      <w:numFmt w:val="decimal"/>
      <w:lvlText w:val=""/>
      <w:lvlJc w:val="left"/>
    </w:lvl>
    <w:lvl w:ilvl="5" w:tplc="A88CA83A">
      <w:numFmt w:val="decimal"/>
      <w:lvlText w:val=""/>
      <w:lvlJc w:val="left"/>
    </w:lvl>
    <w:lvl w:ilvl="6" w:tplc="28385878">
      <w:numFmt w:val="decimal"/>
      <w:lvlText w:val=""/>
      <w:lvlJc w:val="left"/>
    </w:lvl>
    <w:lvl w:ilvl="7" w:tplc="676E5406">
      <w:numFmt w:val="decimal"/>
      <w:lvlText w:val=""/>
      <w:lvlJc w:val="left"/>
    </w:lvl>
    <w:lvl w:ilvl="8" w:tplc="E81E52E6">
      <w:numFmt w:val="decimal"/>
      <w:lvlText w:val=""/>
      <w:lvlJc w:val="left"/>
    </w:lvl>
  </w:abstractNum>
  <w:abstractNum w:abstractNumId="11" w15:restartNumberingAfterBreak="0">
    <w:nsid w:val="00004EF7"/>
    <w:multiLevelType w:val="hybridMultilevel"/>
    <w:tmpl w:val="C20AA680"/>
    <w:lvl w:ilvl="0" w:tplc="E95E5E92">
      <w:start w:val="1"/>
      <w:numFmt w:val="lowerLetter"/>
      <w:lvlText w:val="%1"/>
      <w:lvlJc w:val="left"/>
      <w:rPr>
        <w:vertAlign w:val="superscript"/>
      </w:rPr>
    </w:lvl>
    <w:lvl w:ilvl="1" w:tplc="70AABDFC">
      <w:numFmt w:val="decimal"/>
      <w:lvlText w:val=""/>
      <w:lvlJc w:val="left"/>
    </w:lvl>
    <w:lvl w:ilvl="2" w:tplc="10E6BE2E">
      <w:numFmt w:val="decimal"/>
      <w:lvlText w:val=""/>
      <w:lvlJc w:val="left"/>
    </w:lvl>
    <w:lvl w:ilvl="3" w:tplc="70A03278">
      <w:numFmt w:val="decimal"/>
      <w:lvlText w:val=""/>
      <w:lvlJc w:val="left"/>
    </w:lvl>
    <w:lvl w:ilvl="4" w:tplc="9E665CCC">
      <w:numFmt w:val="decimal"/>
      <w:lvlText w:val=""/>
      <w:lvlJc w:val="left"/>
    </w:lvl>
    <w:lvl w:ilvl="5" w:tplc="80CECE48">
      <w:numFmt w:val="decimal"/>
      <w:lvlText w:val=""/>
      <w:lvlJc w:val="left"/>
    </w:lvl>
    <w:lvl w:ilvl="6" w:tplc="260611A0">
      <w:numFmt w:val="decimal"/>
      <w:lvlText w:val=""/>
      <w:lvlJc w:val="left"/>
    </w:lvl>
    <w:lvl w:ilvl="7" w:tplc="7F068B3C">
      <w:numFmt w:val="decimal"/>
      <w:lvlText w:val=""/>
      <w:lvlJc w:val="left"/>
    </w:lvl>
    <w:lvl w:ilvl="8" w:tplc="0916F118">
      <w:numFmt w:val="decimal"/>
      <w:lvlText w:val=""/>
      <w:lvlJc w:val="left"/>
    </w:lvl>
  </w:abstractNum>
  <w:abstractNum w:abstractNumId="12" w15:restartNumberingAfterBreak="0">
    <w:nsid w:val="0000569B"/>
    <w:multiLevelType w:val="hybridMultilevel"/>
    <w:tmpl w:val="838C323E"/>
    <w:lvl w:ilvl="0" w:tplc="F8F467B6">
      <w:start w:val="1"/>
      <w:numFmt w:val="bullet"/>
      <w:lvlText w:val="*"/>
      <w:lvlJc w:val="left"/>
    </w:lvl>
    <w:lvl w:ilvl="1" w:tplc="437AFCC8">
      <w:start w:val="1"/>
      <w:numFmt w:val="bullet"/>
      <w:lvlText w:val=""/>
      <w:lvlJc w:val="left"/>
    </w:lvl>
    <w:lvl w:ilvl="2" w:tplc="29E69FF2">
      <w:numFmt w:val="decimal"/>
      <w:lvlText w:val=""/>
      <w:lvlJc w:val="left"/>
    </w:lvl>
    <w:lvl w:ilvl="3" w:tplc="8DEE6FD4">
      <w:numFmt w:val="decimal"/>
      <w:lvlText w:val=""/>
      <w:lvlJc w:val="left"/>
    </w:lvl>
    <w:lvl w:ilvl="4" w:tplc="BA92E15A">
      <w:numFmt w:val="decimal"/>
      <w:lvlText w:val=""/>
      <w:lvlJc w:val="left"/>
    </w:lvl>
    <w:lvl w:ilvl="5" w:tplc="F2B0106C">
      <w:numFmt w:val="decimal"/>
      <w:lvlText w:val=""/>
      <w:lvlJc w:val="left"/>
    </w:lvl>
    <w:lvl w:ilvl="6" w:tplc="551EF818">
      <w:numFmt w:val="decimal"/>
      <w:lvlText w:val=""/>
      <w:lvlJc w:val="left"/>
    </w:lvl>
    <w:lvl w:ilvl="7" w:tplc="37ECCD72">
      <w:numFmt w:val="decimal"/>
      <w:lvlText w:val=""/>
      <w:lvlJc w:val="left"/>
    </w:lvl>
    <w:lvl w:ilvl="8" w:tplc="2FB6A824">
      <w:numFmt w:val="decimal"/>
      <w:lvlText w:val=""/>
      <w:lvlJc w:val="left"/>
    </w:lvl>
  </w:abstractNum>
  <w:abstractNum w:abstractNumId="13" w15:restartNumberingAfterBreak="0">
    <w:nsid w:val="00005B60"/>
    <w:multiLevelType w:val="hybridMultilevel"/>
    <w:tmpl w:val="6394B640"/>
    <w:lvl w:ilvl="0" w:tplc="46825690">
      <w:start w:val="8"/>
      <w:numFmt w:val="decimal"/>
      <w:lvlText w:val="%1."/>
      <w:lvlJc w:val="left"/>
    </w:lvl>
    <w:lvl w:ilvl="1" w:tplc="3EA6C14C">
      <w:numFmt w:val="decimal"/>
      <w:lvlText w:val=""/>
      <w:lvlJc w:val="left"/>
    </w:lvl>
    <w:lvl w:ilvl="2" w:tplc="FD8C8C9A">
      <w:numFmt w:val="decimal"/>
      <w:lvlText w:val=""/>
      <w:lvlJc w:val="left"/>
    </w:lvl>
    <w:lvl w:ilvl="3" w:tplc="80E8AF34">
      <w:numFmt w:val="decimal"/>
      <w:lvlText w:val=""/>
      <w:lvlJc w:val="left"/>
    </w:lvl>
    <w:lvl w:ilvl="4" w:tplc="0EAAEE0C">
      <w:numFmt w:val="decimal"/>
      <w:lvlText w:val=""/>
      <w:lvlJc w:val="left"/>
    </w:lvl>
    <w:lvl w:ilvl="5" w:tplc="E258F9BC">
      <w:numFmt w:val="decimal"/>
      <w:lvlText w:val=""/>
      <w:lvlJc w:val="left"/>
    </w:lvl>
    <w:lvl w:ilvl="6" w:tplc="47889590">
      <w:numFmt w:val="decimal"/>
      <w:lvlText w:val=""/>
      <w:lvlJc w:val="left"/>
    </w:lvl>
    <w:lvl w:ilvl="7" w:tplc="4B9AB4BE">
      <w:numFmt w:val="decimal"/>
      <w:lvlText w:val=""/>
      <w:lvlJc w:val="left"/>
    </w:lvl>
    <w:lvl w:ilvl="8" w:tplc="76E4955C">
      <w:numFmt w:val="decimal"/>
      <w:lvlText w:val=""/>
      <w:lvlJc w:val="left"/>
    </w:lvl>
  </w:abstractNum>
  <w:abstractNum w:abstractNumId="14" w15:restartNumberingAfterBreak="0">
    <w:nsid w:val="00005DB8"/>
    <w:multiLevelType w:val="hybridMultilevel"/>
    <w:tmpl w:val="46000060"/>
    <w:lvl w:ilvl="0" w:tplc="D47AE5A8">
      <w:start w:val="1"/>
      <w:numFmt w:val="lowerLetter"/>
      <w:lvlText w:val="%1"/>
      <w:lvlJc w:val="left"/>
    </w:lvl>
    <w:lvl w:ilvl="1" w:tplc="0CF8FE08">
      <w:numFmt w:val="decimal"/>
      <w:lvlText w:val=""/>
      <w:lvlJc w:val="left"/>
    </w:lvl>
    <w:lvl w:ilvl="2" w:tplc="11CE62C2">
      <w:numFmt w:val="decimal"/>
      <w:lvlText w:val=""/>
      <w:lvlJc w:val="left"/>
    </w:lvl>
    <w:lvl w:ilvl="3" w:tplc="0DCC932E">
      <w:numFmt w:val="decimal"/>
      <w:lvlText w:val=""/>
      <w:lvlJc w:val="left"/>
    </w:lvl>
    <w:lvl w:ilvl="4" w:tplc="D84EB4F6">
      <w:numFmt w:val="decimal"/>
      <w:lvlText w:val=""/>
      <w:lvlJc w:val="left"/>
    </w:lvl>
    <w:lvl w:ilvl="5" w:tplc="C7CECBEE">
      <w:numFmt w:val="decimal"/>
      <w:lvlText w:val=""/>
      <w:lvlJc w:val="left"/>
    </w:lvl>
    <w:lvl w:ilvl="6" w:tplc="014618B4">
      <w:numFmt w:val="decimal"/>
      <w:lvlText w:val=""/>
      <w:lvlJc w:val="left"/>
    </w:lvl>
    <w:lvl w:ilvl="7" w:tplc="19C88DD2">
      <w:numFmt w:val="decimal"/>
      <w:lvlText w:val=""/>
      <w:lvlJc w:val="left"/>
    </w:lvl>
    <w:lvl w:ilvl="8" w:tplc="21AE83F2">
      <w:numFmt w:val="decimal"/>
      <w:lvlText w:val=""/>
      <w:lvlJc w:val="left"/>
    </w:lvl>
  </w:abstractNum>
  <w:abstractNum w:abstractNumId="15" w15:restartNumberingAfterBreak="0">
    <w:nsid w:val="000064E0"/>
    <w:multiLevelType w:val="hybridMultilevel"/>
    <w:tmpl w:val="7B7CEA96"/>
    <w:lvl w:ilvl="0" w:tplc="FCF28F62">
      <w:start w:val="6"/>
      <w:numFmt w:val="decimal"/>
      <w:lvlText w:val="%1."/>
      <w:lvlJc w:val="left"/>
    </w:lvl>
    <w:lvl w:ilvl="1" w:tplc="105E2A76">
      <w:numFmt w:val="decimal"/>
      <w:lvlText w:val=""/>
      <w:lvlJc w:val="left"/>
    </w:lvl>
    <w:lvl w:ilvl="2" w:tplc="798C8948">
      <w:numFmt w:val="decimal"/>
      <w:lvlText w:val=""/>
      <w:lvlJc w:val="left"/>
    </w:lvl>
    <w:lvl w:ilvl="3" w:tplc="07162DF8">
      <w:numFmt w:val="decimal"/>
      <w:lvlText w:val=""/>
      <w:lvlJc w:val="left"/>
    </w:lvl>
    <w:lvl w:ilvl="4" w:tplc="EA0A1004">
      <w:numFmt w:val="decimal"/>
      <w:lvlText w:val=""/>
      <w:lvlJc w:val="left"/>
    </w:lvl>
    <w:lvl w:ilvl="5" w:tplc="C2641C36">
      <w:numFmt w:val="decimal"/>
      <w:lvlText w:val=""/>
      <w:lvlJc w:val="left"/>
    </w:lvl>
    <w:lvl w:ilvl="6" w:tplc="97426AA0">
      <w:numFmt w:val="decimal"/>
      <w:lvlText w:val=""/>
      <w:lvlJc w:val="left"/>
    </w:lvl>
    <w:lvl w:ilvl="7" w:tplc="109A69C6">
      <w:numFmt w:val="decimal"/>
      <w:lvlText w:val=""/>
      <w:lvlJc w:val="left"/>
    </w:lvl>
    <w:lvl w:ilvl="8" w:tplc="4416891C">
      <w:numFmt w:val="decimal"/>
      <w:lvlText w:val=""/>
      <w:lvlJc w:val="left"/>
    </w:lvl>
  </w:abstractNum>
  <w:abstractNum w:abstractNumId="16" w15:restartNumberingAfterBreak="0">
    <w:nsid w:val="00006B61"/>
    <w:multiLevelType w:val="hybridMultilevel"/>
    <w:tmpl w:val="19BCC5B4"/>
    <w:lvl w:ilvl="0" w:tplc="335CDD08">
      <w:start w:val="1"/>
      <w:numFmt w:val="decimal"/>
      <w:lvlText w:val="%1"/>
      <w:lvlJc w:val="left"/>
    </w:lvl>
    <w:lvl w:ilvl="1" w:tplc="36EC8C1A">
      <w:numFmt w:val="decimal"/>
      <w:lvlText w:val=""/>
      <w:lvlJc w:val="left"/>
    </w:lvl>
    <w:lvl w:ilvl="2" w:tplc="5F12C2A4">
      <w:numFmt w:val="decimal"/>
      <w:lvlText w:val=""/>
      <w:lvlJc w:val="left"/>
    </w:lvl>
    <w:lvl w:ilvl="3" w:tplc="995A8176">
      <w:numFmt w:val="decimal"/>
      <w:lvlText w:val=""/>
      <w:lvlJc w:val="left"/>
    </w:lvl>
    <w:lvl w:ilvl="4" w:tplc="2F5C656C">
      <w:numFmt w:val="decimal"/>
      <w:lvlText w:val=""/>
      <w:lvlJc w:val="left"/>
    </w:lvl>
    <w:lvl w:ilvl="5" w:tplc="3BAA4434">
      <w:numFmt w:val="decimal"/>
      <w:lvlText w:val=""/>
      <w:lvlJc w:val="left"/>
    </w:lvl>
    <w:lvl w:ilvl="6" w:tplc="F5964384">
      <w:numFmt w:val="decimal"/>
      <w:lvlText w:val=""/>
      <w:lvlJc w:val="left"/>
    </w:lvl>
    <w:lvl w:ilvl="7" w:tplc="75BC08CC">
      <w:numFmt w:val="decimal"/>
      <w:lvlText w:val=""/>
      <w:lvlJc w:val="left"/>
    </w:lvl>
    <w:lvl w:ilvl="8" w:tplc="BE425FEC">
      <w:numFmt w:val="decimal"/>
      <w:lvlText w:val=""/>
      <w:lvlJc w:val="left"/>
    </w:lvl>
  </w:abstractNum>
  <w:abstractNum w:abstractNumId="17" w15:restartNumberingAfterBreak="0">
    <w:nsid w:val="00006E88"/>
    <w:multiLevelType w:val="hybridMultilevel"/>
    <w:tmpl w:val="D9BC9E10"/>
    <w:lvl w:ilvl="0" w:tplc="4794847E">
      <w:start w:val="4"/>
      <w:numFmt w:val="decimal"/>
      <w:lvlText w:val="%1."/>
      <w:lvlJc w:val="left"/>
    </w:lvl>
    <w:lvl w:ilvl="1" w:tplc="7DE677A2">
      <w:numFmt w:val="decimal"/>
      <w:lvlText w:val=""/>
      <w:lvlJc w:val="left"/>
    </w:lvl>
    <w:lvl w:ilvl="2" w:tplc="F3C2F81A">
      <w:numFmt w:val="decimal"/>
      <w:lvlText w:val=""/>
      <w:lvlJc w:val="left"/>
    </w:lvl>
    <w:lvl w:ilvl="3" w:tplc="BB2044E6">
      <w:numFmt w:val="decimal"/>
      <w:lvlText w:val=""/>
      <w:lvlJc w:val="left"/>
    </w:lvl>
    <w:lvl w:ilvl="4" w:tplc="786EA830">
      <w:numFmt w:val="decimal"/>
      <w:lvlText w:val=""/>
      <w:lvlJc w:val="left"/>
    </w:lvl>
    <w:lvl w:ilvl="5" w:tplc="B04A927E">
      <w:numFmt w:val="decimal"/>
      <w:lvlText w:val=""/>
      <w:lvlJc w:val="left"/>
    </w:lvl>
    <w:lvl w:ilvl="6" w:tplc="6FBE691C">
      <w:numFmt w:val="decimal"/>
      <w:lvlText w:val=""/>
      <w:lvlJc w:val="left"/>
    </w:lvl>
    <w:lvl w:ilvl="7" w:tplc="ADF0576E">
      <w:numFmt w:val="decimal"/>
      <w:lvlText w:val=""/>
      <w:lvlJc w:val="left"/>
    </w:lvl>
    <w:lvl w:ilvl="8" w:tplc="AEF45A98">
      <w:numFmt w:val="decimal"/>
      <w:lvlText w:val=""/>
      <w:lvlJc w:val="left"/>
    </w:lvl>
  </w:abstractNum>
  <w:abstractNum w:abstractNumId="18" w15:restartNumberingAfterBreak="0">
    <w:nsid w:val="00006F57"/>
    <w:multiLevelType w:val="hybridMultilevel"/>
    <w:tmpl w:val="CB96EC84"/>
    <w:lvl w:ilvl="0" w:tplc="2116A5D4">
      <w:start w:val="1"/>
      <w:numFmt w:val="bullet"/>
      <w:lvlText w:val="*"/>
      <w:lvlJc w:val="left"/>
    </w:lvl>
    <w:lvl w:ilvl="1" w:tplc="510A3E2E">
      <w:numFmt w:val="decimal"/>
      <w:lvlText w:val=""/>
      <w:lvlJc w:val="left"/>
    </w:lvl>
    <w:lvl w:ilvl="2" w:tplc="D780DC80">
      <w:numFmt w:val="decimal"/>
      <w:lvlText w:val=""/>
      <w:lvlJc w:val="left"/>
    </w:lvl>
    <w:lvl w:ilvl="3" w:tplc="BE5C6BD6">
      <w:numFmt w:val="decimal"/>
      <w:lvlText w:val=""/>
      <w:lvlJc w:val="left"/>
    </w:lvl>
    <w:lvl w:ilvl="4" w:tplc="8AD4550A">
      <w:numFmt w:val="decimal"/>
      <w:lvlText w:val=""/>
      <w:lvlJc w:val="left"/>
    </w:lvl>
    <w:lvl w:ilvl="5" w:tplc="CBCCF9DE">
      <w:numFmt w:val="decimal"/>
      <w:lvlText w:val=""/>
      <w:lvlJc w:val="left"/>
    </w:lvl>
    <w:lvl w:ilvl="6" w:tplc="5EDC9988">
      <w:numFmt w:val="decimal"/>
      <w:lvlText w:val=""/>
      <w:lvlJc w:val="left"/>
    </w:lvl>
    <w:lvl w:ilvl="7" w:tplc="7E8C23FE">
      <w:numFmt w:val="decimal"/>
      <w:lvlText w:val=""/>
      <w:lvlJc w:val="left"/>
    </w:lvl>
    <w:lvl w:ilvl="8" w:tplc="276A7F74">
      <w:numFmt w:val="decimal"/>
      <w:lvlText w:val=""/>
      <w:lvlJc w:val="left"/>
    </w:lvl>
  </w:abstractNum>
  <w:abstractNum w:abstractNumId="19" w15:restartNumberingAfterBreak="0">
    <w:nsid w:val="000077E7"/>
    <w:multiLevelType w:val="hybridMultilevel"/>
    <w:tmpl w:val="954E552A"/>
    <w:lvl w:ilvl="0" w:tplc="850C7C20">
      <w:start w:val="1"/>
      <w:numFmt w:val="decimal"/>
      <w:lvlText w:val="%1"/>
      <w:lvlJc w:val="left"/>
    </w:lvl>
    <w:lvl w:ilvl="1" w:tplc="5CA8EE52">
      <w:start w:val="1"/>
      <w:numFmt w:val="bullet"/>
      <w:lvlText w:val=""/>
      <w:lvlJc w:val="left"/>
    </w:lvl>
    <w:lvl w:ilvl="2" w:tplc="76D072A0">
      <w:numFmt w:val="decimal"/>
      <w:lvlText w:val=""/>
      <w:lvlJc w:val="left"/>
    </w:lvl>
    <w:lvl w:ilvl="3" w:tplc="012E94EA">
      <w:numFmt w:val="decimal"/>
      <w:lvlText w:val=""/>
      <w:lvlJc w:val="left"/>
    </w:lvl>
    <w:lvl w:ilvl="4" w:tplc="64A0BF08">
      <w:numFmt w:val="decimal"/>
      <w:lvlText w:val=""/>
      <w:lvlJc w:val="left"/>
    </w:lvl>
    <w:lvl w:ilvl="5" w:tplc="1924D19E">
      <w:numFmt w:val="decimal"/>
      <w:lvlText w:val=""/>
      <w:lvlJc w:val="left"/>
    </w:lvl>
    <w:lvl w:ilvl="6" w:tplc="38BE4ADA">
      <w:numFmt w:val="decimal"/>
      <w:lvlText w:val=""/>
      <w:lvlJc w:val="left"/>
    </w:lvl>
    <w:lvl w:ilvl="7" w:tplc="1A4655B2">
      <w:numFmt w:val="decimal"/>
      <w:lvlText w:val=""/>
      <w:lvlJc w:val="left"/>
    </w:lvl>
    <w:lvl w:ilvl="8" w:tplc="FF1802F8">
      <w:numFmt w:val="decimal"/>
      <w:lvlText w:val=""/>
      <w:lvlJc w:val="left"/>
    </w:lvl>
  </w:abstractNum>
  <w:abstractNum w:abstractNumId="20" w15:restartNumberingAfterBreak="0">
    <w:nsid w:val="00007FA6"/>
    <w:multiLevelType w:val="hybridMultilevel"/>
    <w:tmpl w:val="1B8A010C"/>
    <w:lvl w:ilvl="0" w:tplc="6A9EC170">
      <w:start w:val="1"/>
      <w:numFmt w:val="decimal"/>
      <w:lvlText w:val="%1."/>
      <w:lvlJc w:val="left"/>
    </w:lvl>
    <w:lvl w:ilvl="1" w:tplc="77B83034">
      <w:numFmt w:val="decimal"/>
      <w:lvlText w:val=""/>
      <w:lvlJc w:val="left"/>
    </w:lvl>
    <w:lvl w:ilvl="2" w:tplc="8586FCA0">
      <w:numFmt w:val="decimal"/>
      <w:lvlText w:val=""/>
      <w:lvlJc w:val="left"/>
    </w:lvl>
    <w:lvl w:ilvl="3" w:tplc="30B8936A">
      <w:numFmt w:val="decimal"/>
      <w:lvlText w:val=""/>
      <w:lvlJc w:val="left"/>
    </w:lvl>
    <w:lvl w:ilvl="4" w:tplc="CD3AB3DE">
      <w:numFmt w:val="decimal"/>
      <w:lvlText w:val=""/>
      <w:lvlJc w:val="left"/>
    </w:lvl>
    <w:lvl w:ilvl="5" w:tplc="C24ED916">
      <w:numFmt w:val="decimal"/>
      <w:lvlText w:val=""/>
      <w:lvlJc w:val="left"/>
    </w:lvl>
    <w:lvl w:ilvl="6" w:tplc="D3B670FE">
      <w:numFmt w:val="decimal"/>
      <w:lvlText w:val=""/>
      <w:lvlJc w:val="left"/>
    </w:lvl>
    <w:lvl w:ilvl="7" w:tplc="3A6C8E40">
      <w:numFmt w:val="decimal"/>
      <w:lvlText w:val=""/>
      <w:lvlJc w:val="left"/>
    </w:lvl>
    <w:lvl w:ilvl="8" w:tplc="A0F68A5A">
      <w:numFmt w:val="decimal"/>
      <w:lvlText w:val=""/>
      <w:lvlJc w:val="left"/>
    </w:lvl>
  </w:abstractNum>
  <w:abstractNum w:abstractNumId="21" w15:restartNumberingAfterBreak="0">
    <w:nsid w:val="03587D45"/>
    <w:multiLevelType w:val="multilevel"/>
    <w:tmpl w:val="581EF59A"/>
    <w:lvl w:ilvl="0">
      <w:start w:val="4"/>
      <w:numFmt w:val="decimal"/>
      <w:lvlText w:val="%1"/>
      <w:lvlJc w:val="left"/>
      <w:pPr>
        <w:ind w:left="684" w:hanging="567"/>
      </w:pPr>
      <w:rPr>
        <w:rFonts w:hint="default"/>
      </w:rPr>
    </w:lvl>
    <w:lvl w:ilvl="1">
      <w:start w:val="5"/>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38" w:hanging="300"/>
      </w:pPr>
      <w:rPr>
        <w:rFonts w:ascii="Symbol" w:eastAsia="Symbol" w:hAnsi="Symbol" w:hint="default"/>
        <w:sz w:val="22"/>
        <w:szCs w:val="22"/>
      </w:rPr>
    </w:lvl>
    <w:lvl w:ilvl="3">
      <w:start w:val="1"/>
      <w:numFmt w:val="bullet"/>
      <w:lvlText w:val="•"/>
      <w:lvlJc w:val="left"/>
      <w:pPr>
        <w:ind w:left="2844" w:hanging="300"/>
      </w:pPr>
      <w:rPr>
        <w:rFonts w:hint="default"/>
      </w:rPr>
    </w:lvl>
    <w:lvl w:ilvl="4">
      <w:start w:val="1"/>
      <w:numFmt w:val="bullet"/>
      <w:lvlText w:val="•"/>
      <w:lvlJc w:val="left"/>
      <w:pPr>
        <w:ind w:left="3847" w:hanging="300"/>
      </w:pPr>
      <w:rPr>
        <w:rFonts w:hint="default"/>
      </w:rPr>
    </w:lvl>
    <w:lvl w:ilvl="5">
      <w:start w:val="1"/>
      <w:numFmt w:val="bullet"/>
      <w:lvlText w:val="•"/>
      <w:lvlJc w:val="left"/>
      <w:pPr>
        <w:ind w:left="4849" w:hanging="300"/>
      </w:pPr>
      <w:rPr>
        <w:rFonts w:hint="default"/>
      </w:rPr>
    </w:lvl>
    <w:lvl w:ilvl="6">
      <w:start w:val="1"/>
      <w:numFmt w:val="bullet"/>
      <w:lvlText w:val="•"/>
      <w:lvlJc w:val="left"/>
      <w:pPr>
        <w:ind w:left="5852" w:hanging="300"/>
      </w:pPr>
      <w:rPr>
        <w:rFonts w:hint="default"/>
      </w:rPr>
    </w:lvl>
    <w:lvl w:ilvl="7">
      <w:start w:val="1"/>
      <w:numFmt w:val="bullet"/>
      <w:lvlText w:val="•"/>
      <w:lvlJc w:val="left"/>
      <w:pPr>
        <w:ind w:left="6855" w:hanging="300"/>
      </w:pPr>
      <w:rPr>
        <w:rFonts w:hint="default"/>
      </w:rPr>
    </w:lvl>
    <w:lvl w:ilvl="8">
      <w:start w:val="1"/>
      <w:numFmt w:val="bullet"/>
      <w:lvlText w:val="•"/>
      <w:lvlJc w:val="left"/>
      <w:pPr>
        <w:ind w:left="7858" w:hanging="300"/>
      </w:pPr>
      <w:rPr>
        <w:rFonts w:hint="default"/>
      </w:rPr>
    </w:lvl>
  </w:abstractNum>
  <w:abstractNum w:abstractNumId="22" w15:restartNumberingAfterBreak="0">
    <w:nsid w:val="08AB35B0"/>
    <w:multiLevelType w:val="hybridMultilevel"/>
    <w:tmpl w:val="CEE00260"/>
    <w:lvl w:ilvl="0" w:tplc="5A6EA48C">
      <w:start w:val="1"/>
      <w:numFmt w:val="decimal"/>
      <w:lvlText w:val="%1."/>
      <w:lvlJc w:val="left"/>
      <w:pPr>
        <w:ind w:left="478" w:hanging="360"/>
      </w:pPr>
      <w:rPr>
        <w:rFonts w:ascii="Times New Roman" w:eastAsia="Times New Roman" w:hAnsi="Times New Roman" w:hint="default"/>
        <w:sz w:val="22"/>
        <w:szCs w:val="22"/>
      </w:rPr>
    </w:lvl>
    <w:lvl w:ilvl="1" w:tplc="29AAB3B2">
      <w:start w:val="1"/>
      <w:numFmt w:val="bullet"/>
      <w:lvlText w:val=""/>
      <w:lvlJc w:val="left"/>
      <w:pPr>
        <w:ind w:left="838" w:hanging="360"/>
      </w:pPr>
      <w:rPr>
        <w:rFonts w:ascii="Symbol" w:eastAsia="Symbol" w:hAnsi="Symbol" w:hint="default"/>
        <w:sz w:val="22"/>
        <w:szCs w:val="22"/>
      </w:rPr>
    </w:lvl>
    <w:lvl w:ilvl="2" w:tplc="6882BD14">
      <w:start w:val="1"/>
      <w:numFmt w:val="bullet"/>
      <w:lvlText w:val="o"/>
      <w:lvlJc w:val="left"/>
      <w:pPr>
        <w:ind w:left="1618" w:hanging="360"/>
      </w:pPr>
      <w:rPr>
        <w:rFonts w:ascii="Courier New" w:eastAsia="Courier New" w:hAnsi="Courier New" w:hint="default"/>
        <w:sz w:val="22"/>
        <w:szCs w:val="22"/>
      </w:rPr>
    </w:lvl>
    <w:lvl w:ilvl="3" w:tplc="2C5E6712">
      <w:start w:val="1"/>
      <w:numFmt w:val="bullet"/>
      <w:lvlText w:val=""/>
      <w:lvlJc w:val="left"/>
      <w:pPr>
        <w:ind w:left="2278" w:hanging="360"/>
      </w:pPr>
      <w:rPr>
        <w:rFonts w:ascii="Wingdings" w:eastAsia="Wingdings" w:hAnsi="Wingdings" w:hint="default"/>
        <w:sz w:val="22"/>
        <w:szCs w:val="22"/>
      </w:rPr>
    </w:lvl>
    <w:lvl w:ilvl="4" w:tplc="A6AA3CAA">
      <w:start w:val="1"/>
      <w:numFmt w:val="bullet"/>
      <w:lvlText w:val="•"/>
      <w:lvlJc w:val="left"/>
      <w:pPr>
        <w:ind w:left="2278" w:hanging="360"/>
      </w:pPr>
      <w:rPr>
        <w:rFonts w:hint="default"/>
      </w:rPr>
    </w:lvl>
    <w:lvl w:ilvl="5" w:tplc="92B46F02">
      <w:start w:val="1"/>
      <w:numFmt w:val="bullet"/>
      <w:lvlText w:val="•"/>
      <w:lvlJc w:val="left"/>
      <w:pPr>
        <w:ind w:left="3522" w:hanging="360"/>
      </w:pPr>
      <w:rPr>
        <w:rFonts w:hint="default"/>
      </w:rPr>
    </w:lvl>
    <w:lvl w:ilvl="6" w:tplc="03C26A10">
      <w:start w:val="1"/>
      <w:numFmt w:val="bullet"/>
      <w:lvlText w:val="•"/>
      <w:lvlJc w:val="left"/>
      <w:pPr>
        <w:ind w:left="4767" w:hanging="360"/>
      </w:pPr>
      <w:rPr>
        <w:rFonts w:hint="default"/>
      </w:rPr>
    </w:lvl>
    <w:lvl w:ilvl="7" w:tplc="6AAA7CB2">
      <w:start w:val="1"/>
      <w:numFmt w:val="bullet"/>
      <w:lvlText w:val="•"/>
      <w:lvlJc w:val="left"/>
      <w:pPr>
        <w:ind w:left="6011" w:hanging="360"/>
      </w:pPr>
      <w:rPr>
        <w:rFonts w:hint="default"/>
      </w:rPr>
    </w:lvl>
    <w:lvl w:ilvl="8" w:tplc="55A87CD4">
      <w:start w:val="1"/>
      <w:numFmt w:val="bullet"/>
      <w:lvlText w:val="•"/>
      <w:lvlJc w:val="left"/>
      <w:pPr>
        <w:ind w:left="7255" w:hanging="360"/>
      </w:pPr>
      <w:rPr>
        <w:rFonts w:hint="default"/>
      </w:rPr>
    </w:lvl>
  </w:abstractNum>
  <w:abstractNum w:abstractNumId="23" w15:restartNumberingAfterBreak="0">
    <w:nsid w:val="09775D00"/>
    <w:multiLevelType w:val="hybridMultilevel"/>
    <w:tmpl w:val="5EB6C9FE"/>
    <w:lvl w:ilvl="0" w:tplc="6944C6A0">
      <w:start w:val="1"/>
      <w:numFmt w:val="bullet"/>
      <w:lvlRestart w:val="0"/>
      <w:pStyle w:val="ListBullet2"/>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A644C91"/>
    <w:multiLevelType w:val="hybridMultilevel"/>
    <w:tmpl w:val="794C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C70D4F"/>
    <w:multiLevelType w:val="hybridMultilevel"/>
    <w:tmpl w:val="9974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3555F6"/>
    <w:multiLevelType w:val="hybridMultilevel"/>
    <w:tmpl w:val="2A7415EC"/>
    <w:lvl w:ilvl="0" w:tplc="69149874">
      <w:start w:val="1"/>
      <w:numFmt w:val="bullet"/>
      <w:lvlText w:val="*"/>
      <w:lvlJc w:val="left"/>
      <w:pPr>
        <w:ind w:left="362" w:hanging="120"/>
      </w:pPr>
      <w:rPr>
        <w:rFonts w:ascii="Times New Roman" w:eastAsia="Times New Roman" w:hAnsi="Times New Roman" w:hint="default"/>
        <w:sz w:val="16"/>
        <w:szCs w:val="16"/>
      </w:rPr>
    </w:lvl>
    <w:lvl w:ilvl="1" w:tplc="389C2AA2">
      <w:start w:val="1"/>
      <w:numFmt w:val="bullet"/>
      <w:lvlText w:val=""/>
      <w:lvlJc w:val="left"/>
      <w:pPr>
        <w:ind w:left="938" w:hanging="360"/>
      </w:pPr>
      <w:rPr>
        <w:rFonts w:ascii="Symbol" w:eastAsia="Symbol" w:hAnsi="Symbol" w:hint="default"/>
        <w:sz w:val="22"/>
        <w:szCs w:val="22"/>
      </w:rPr>
    </w:lvl>
    <w:lvl w:ilvl="2" w:tplc="D77C44E0">
      <w:start w:val="1"/>
      <w:numFmt w:val="bullet"/>
      <w:lvlText w:val="•"/>
      <w:lvlJc w:val="left"/>
      <w:pPr>
        <w:ind w:left="1954" w:hanging="360"/>
      </w:pPr>
      <w:rPr>
        <w:rFonts w:hint="default"/>
      </w:rPr>
    </w:lvl>
    <w:lvl w:ilvl="3" w:tplc="D9F4FF0C">
      <w:start w:val="1"/>
      <w:numFmt w:val="bullet"/>
      <w:lvlText w:val="•"/>
      <w:lvlJc w:val="left"/>
      <w:pPr>
        <w:ind w:left="2970" w:hanging="360"/>
      </w:pPr>
      <w:rPr>
        <w:rFonts w:hint="default"/>
      </w:rPr>
    </w:lvl>
    <w:lvl w:ilvl="4" w:tplc="38906000">
      <w:start w:val="1"/>
      <w:numFmt w:val="bullet"/>
      <w:lvlText w:val="•"/>
      <w:lvlJc w:val="left"/>
      <w:pPr>
        <w:ind w:left="3987" w:hanging="360"/>
      </w:pPr>
      <w:rPr>
        <w:rFonts w:hint="default"/>
      </w:rPr>
    </w:lvl>
    <w:lvl w:ilvl="5" w:tplc="5FE42B6A">
      <w:start w:val="1"/>
      <w:numFmt w:val="bullet"/>
      <w:lvlText w:val="•"/>
      <w:lvlJc w:val="left"/>
      <w:pPr>
        <w:ind w:left="5003" w:hanging="360"/>
      </w:pPr>
      <w:rPr>
        <w:rFonts w:hint="default"/>
      </w:rPr>
    </w:lvl>
    <w:lvl w:ilvl="6" w:tplc="E5F0CE8E">
      <w:start w:val="1"/>
      <w:numFmt w:val="bullet"/>
      <w:lvlText w:val="•"/>
      <w:lvlJc w:val="left"/>
      <w:pPr>
        <w:ind w:left="6019" w:hanging="360"/>
      </w:pPr>
      <w:rPr>
        <w:rFonts w:hint="default"/>
      </w:rPr>
    </w:lvl>
    <w:lvl w:ilvl="7" w:tplc="B830A33C">
      <w:start w:val="1"/>
      <w:numFmt w:val="bullet"/>
      <w:lvlText w:val="•"/>
      <w:lvlJc w:val="left"/>
      <w:pPr>
        <w:ind w:left="7035" w:hanging="360"/>
      </w:pPr>
      <w:rPr>
        <w:rFonts w:hint="default"/>
      </w:rPr>
    </w:lvl>
    <w:lvl w:ilvl="8" w:tplc="C4600A42">
      <w:start w:val="1"/>
      <w:numFmt w:val="bullet"/>
      <w:lvlText w:val="•"/>
      <w:lvlJc w:val="left"/>
      <w:pPr>
        <w:ind w:left="8051" w:hanging="360"/>
      </w:pPr>
      <w:rPr>
        <w:rFonts w:hint="default"/>
      </w:rPr>
    </w:lvl>
  </w:abstractNum>
  <w:abstractNum w:abstractNumId="27" w15:restartNumberingAfterBreak="0">
    <w:nsid w:val="0DDD0FFB"/>
    <w:multiLevelType w:val="hybridMultilevel"/>
    <w:tmpl w:val="0562D6AA"/>
    <w:lvl w:ilvl="0" w:tplc="9BB8577E">
      <w:numFmt w:val="bullet"/>
      <w:lvlText w:val="*"/>
      <w:lvlJc w:val="left"/>
      <w:pPr>
        <w:ind w:left="382" w:hanging="120"/>
      </w:pPr>
      <w:rPr>
        <w:rFonts w:hint="default"/>
        <w:w w:val="100"/>
        <w:lang w:val="en-US" w:eastAsia="en-US" w:bidi="en-US"/>
      </w:rPr>
    </w:lvl>
    <w:lvl w:ilvl="1" w:tplc="04090001">
      <w:start w:val="1"/>
      <w:numFmt w:val="bullet"/>
      <w:lvlText w:val=""/>
      <w:lvlJc w:val="left"/>
      <w:pPr>
        <w:ind w:left="958" w:hanging="360"/>
      </w:pPr>
      <w:rPr>
        <w:rFonts w:ascii="Symbol" w:hAnsi="Symbol" w:hint="default"/>
        <w:w w:val="100"/>
        <w:lang w:val="en-US" w:eastAsia="en-US" w:bidi="en-US"/>
      </w:rPr>
    </w:lvl>
    <w:lvl w:ilvl="2" w:tplc="E7A0655E">
      <w:numFmt w:val="bullet"/>
      <w:lvlText w:val="o"/>
      <w:lvlJc w:val="left"/>
      <w:pPr>
        <w:ind w:left="1678" w:hanging="360"/>
      </w:pPr>
      <w:rPr>
        <w:rFonts w:ascii="Courier New" w:eastAsia="Courier New" w:hAnsi="Courier New" w:cs="Courier New" w:hint="default"/>
        <w:w w:val="100"/>
        <w:sz w:val="16"/>
        <w:szCs w:val="16"/>
        <w:lang w:val="en-US" w:eastAsia="en-US" w:bidi="en-US"/>
      </w:rPr>
    </w:lvl>
    <w:lvl w:ilvl="3" w:tplc="1F8C9256">
      <w:numFmt w:val="bullet"/>
      <w:lvlText w:val="•"/>
      <w:lvlJc w:val="left"/>
      <w:pPr>
        <w:ind w:left="2735" w:hanging="360"/>
      </w:pPr>
      <w:rPr>
        <w:rFonts w:hint="default"/>
        <w:lang w:val="en-US" w:eastAsia="en-US" w:bidi="en-US"/>
      </w:rPr>
    </w:lvl>
    <w:lvl w:ilvl="4" w:tplc="9B069B48">
      <w:numFmt w:val="bullet"/>
      <w:lvlText w:val="•"/>
      <w:lvlJc w:val="left"/>
      <w:pPr>
        <w:ind w:left="3791" w:hanging="360"/>
      </w:pPr>
      <w:rPr>
        <w:rFonts w:hint="default"/>
        <w:lang w:val="en-US" w:eastAsia="en-US" w:bidi="en-US"/>
      </w:rPr>
    </w:lvl>
    <w:lvl w:ilvl="5" w:tplc="C3263AD8">
      <w:numFmt w:val="bullet"/>
      <w:lvlText w:val="•"/>
      <w:lvlJc w:val="left"/>
      <w:pPr>
        <w:ind w:left="4846" w:hanging="360"/>
      </w:pPr>
      <w:rPr>
        <w:rFonts w:hint="default"/>
        <w:lang w:val="en-US" w:eastAsia="en-US" w:bidi="en-US"/>
      </w:rPr>
    </w:lvl>
    <w:lvl w:ilvl="6" w:tplc="D938C856">
      <w:numFmt w:val="bullet"/>
      <w:lvlText w:val="•"/>
      <w:lvlJc w:val="left"/>
      <w:pPr>
        <w:ind w:left="5902" w:hanging="360"/>
      </w:pPr>
      <w:rPr>
        <w:rFonts w:hint="default"/>
        <w:lang w:val="en-US" w:eastAsia="en-US" w:bidi="en-US"/>
      </w:rPr>
    </w:lvl>
    <w:lvl w:ilvl="7" w:tplc="0CF42F3C">
      <w:numFmt w:val="bullet"/>
      <w:lvlText w:val="•"/>
      <w:lvlJc w:val="left"/>
      <w:pPr>
        <w:ind w:left="6957" w:hanging="360"/>
      </w:pPr>
      <w:rPr>
        <w:rFonts w:hint="default"/>
        <w:lang w:val="en-US" w:eastAsia="en-US" w:bidi="en-US"/>
      </w:rPr>
    </w:lvl>
    <w:lvl w:ilvl="8" w:tplc="78B2B462">
      <w:numFmt w:val="bullet"/>
      <w:lvlText w:val="•"/>
      <w:lvlJc w:val="left"/>
      <w:pPr>
        <w:ind w:left="8013" w:hanging="360"/>
      </w:pPr>
      <w:rPr>
        <w:rFonts w:hint="default"/>
        <w:lang w:val="en-US" w:eastAsia="en-US" w:bidi="en-US"/>
      </w:rPr>
    </w:lvl>
  </w:abstractNum>
  <w:abstractNum w:abstractNumId="28" w15:restartNumberingAfterBreak="0">
    <w:nsid w:val="0E54580A"/>
    <w:multiLevelType w:val="multilevel"/>
    <w:tmpl w:val="486A86FC"/>
    <w:lvl w:ilvl="0">
      <w:start w:val="69"/>
      <w:numFmt w:val="decimal"/>
      <w:lvlText w:val="%1"/>
      <w:lvlJc w:val="left"/>
      <w:pPr>
        <w:ind w:left="158" w:hanging="443"/>
      </w:pPr>
      <w:rPr>
        <w:rFonts w:hint="default"/>
      </w:rPr>
    </w:lvl>
    <w:lvl w:ilvl="1">
      <w:start w:val="9"/>
      <w:numFmt w:val="decimal"/>
      <w:lvlText w:val="%1.%2"/>
      <w:lvlJc w:val="left"/>
      <w:pPr>
        <w:ind w:left="158" w:hanging="443"/>
      </w:pPr>
      <w:rPr>
        <w:rFonts w:ascii="Times New Roman" w:eastAsia="Times New Roman" w:hAnsi="Times New Roman" w:hint="default"/>
        <w:sz w:val="22"/>
        <w:szCs w:val="22"/>
      </w:rPr>
    </w:lvl>
    <w:lvl w:ilvl="2">
      <w:start w:val="1"/>
      <w:numFmt w:val="bullet"/>
      <w:lvlText w:val=""/>
      <w:lvlJc w:val="left"/>
      <w:pPr>
        <w:ind w:left="878" w:hanging="360"/>
      </w:pPr>
      <w:rPr>
        <w:rFonts w:ascii="Symbol" w:eastAsia="Symbol" w:hAnsi="Symbol" w:hint="default"/>
        <w:sz w:val="22"/>
        <w:szCs w:val="22"/>
      </w:rPr>
    </w:lvl>
    <w:lvl w:ilvl="3">
      <w:start w:val="1"/>
      <w:numFmt w:val="bullet"/>
      <w:lvlText w:val="•"/>
      <w:lvlJc w:val="left"/>
      <w:pPr>
        <w:ind w:left="2897" w:hanging="360"/>
      </w:pPr>
      <w:rPr>
        <w:rFonts w:hint="default"/>
      </w:rPr>
    </w:lvl>
    <w:lvl w:ilvl="4">
      <w:start w:val="1"/>
      <w:numFmt w:val="bullet"/>
      <w:lvlText w:val="•"/>
      <w:lvlJc w:val="left"/>
      <w:pPr>
        <w:ind w:left="3907" w:hanging="360"/>
      </w:pPr>
      <w:rPr>
        <w:rFonts w:hint="default"/>
      </w:rPr>
    </w:lvl>
    <w:lvl w:ilvl="5">
      <w:start w:val="1"/>
      <w:numFmt w:val="bullet"/>
      <w:lvlText w:val="•"/>
      <w:lvlJc w:val="left"/>
      <w:pPr>
        <w:ind w:left="4916" w:hanging="360"/>
      </w:pPr>
      <w:rPr>
        <w:rFonts w:hint="default"/>
      </w:rPr>
    </w:lvl>
    <w:lvl w:ilvl="6">
      <w:start w:val="1"/>
      <w:numFmt w:val="bullet"/>
      <w:lvlText w:val="•"/>
      <w:lvlJc w:val="left"/>
      <w:pPr>
        <w:ind w:left="5926" w:hanging="360"/>
      </w:pPr>
      <w:rPr>
        <w:rFonts w:hint="default"/>
      </w:rPr>
    </w:lvl>
    <w:lvl w:ilvl="7">
      <w:start w:val="1"/>
      <w:numFmt w:val="bullet"/>
      <w:lvlText w:val="•"/>
      <w:lvlJc w:val="left"/>
      <w:pPr>
        <w:ind w:left="6935" w:hanging="360"/>
      </w:pPr>
      <w:rPr>
        <w:rFonts w:hint="default"/>
      </w:rPr>
    </w:lvl>
    <w:lvl w:ilvl="8">
      <w:start w:val="1"/>
      <w:numFmt w:val="bullet"/>
      <w:lvlText w:val="•"/>
      <w:lvlJc w:val="left"/>
      <w:pPr>
        <w:ind w:left="7945" w:hanging="360"/>
      </w:pPr>
      <w:rPr>
        <w:rFonts w:hint="default"/>
      </w:rPr>
    </w:lvl>
  </w:abstractNum>
  <w:abstractNum w:abstractNumId="29" w15:restartNumberingAfterBreak="0">
    <w:nsid w:val="0E8E0164"/>
    <w:multiLevelType w:val="hybridMultilevel"/>
    <w:tmpl w:val="7E38C1BE"/>
    <w:lvl w:ilvl="0" w:tplc="04090001">
      <w:start w:val="1"/>
      <w:numFmt w:val="bullet"/>
      <w:lvlText w:val=""/>
      <w:lvlJc w:val="left"/>
      <w:rPr>
        <w:rFonts w:ascii="Symbol" w:hAnsi="Symbol" w:hint="default"/>
      </w:rPr>
    </w:lvl>
    <w:lvl w:ilvl="1" w:tplc="55E83E50">
      <w:numFmt w:val="decimal"/>
      <w:lvlText w:val=""/>
      <w:lvlJc w:val="left"/>
    </w:lvl>
    <w:lvl w:ilvl="2" w:tplc="D30E72FA">
      <w:numFmt w:val="decimal"/>
      <w:lvlText w:val=""/>
      <w:lvlJc w:val="left"/>
    </w:lvl>
    <w:lvl w:ilvl="3" w:tplc="58AE62B6">
      <w:numFmt w:val="decimal"/>
      <w:lvlText w:val=""/>
      <w:lvlJc w:val="left"/>
    </w:lvl>
    <w:lvl w:ilvl="4" w:tplc="5BF2C590">
      <w:numFmt w:val="decimal"/>
      <w:lvlText w:val=""/>
      <w:lvlJc w:val="left"/>
    </w:lvl>
    <w:lvl w:ilvl="5" w:tplc="BABC4B12">
      <w:numFmt w:val="decimal"/>
      <w:lvlText w:val=""/>
      <w:lvlJc w:val="left"/>
    </w:lvl>
    <w:lvl w:ilvl="6" w:tplc="77C05CBA">
      <w:numFmt w:val="decimal"/>
      <w:lvlText w:val=""/>
      <w:lvlJc w:val="left"/>
    </w:lvl>
    <w:lvl w:ilvl="7" w:tplc="A0BA7BC8">
      <w:numFmt w:val="decimal"/>
      <w:lvlText w:val=""/>
      <w:lvlJc w:val="left"/>
    </w:lvl>
    <w:lvl w:ilvl="8" w:tplc="26F84210">
      <w:numFmt w:val="decimal"/>
      <w:lvlText w:val=""/>
      <w:lvlJc w:val="left"/>
    </w:lvl>
  </w:abstractNum>
  <w:abstractNum w:abstractNumId="30" w15:restartNumberingAfterBreak="0">
    <w:nsid w:val="11AC2C89"/>
    <w:multiLevelType w:val="hybridMultilevel"/>
    <w:tmpl w:val="7A50C6AC"/>
    <w:lvl w:ilvl="0" w:tplc="324852DC">
      <w:numFmt w:val="bullet"/>
      <w:lvlText w:val=""/>
      <w:lvlJc w:val="left"/>
      <w:pPr>
        <w:ind w:left="958" w:hanging="360"/>
      </w:pPr>
      <w:rPr>
        <w:rFonts w:ascii="Symbol" w:eastAsia="Symbol" w:hAnsi="Symbol" w:cs="Symbol" w:hint="default"/>
        <w:w w:val="100"/>
        <w:sz w:val="22"/>
        <w:szCs w:val="22"/>
        <w:lang w:val="en-US" w:eastAsia="en-US" w:bidi="en-US"/>
      </w:rPr>
    </w:lvl>
    <w:lvl w:ilvl="1" w:tplc="3A6A6D7A">
      <w:numFmt w:val="bullet"/>
      <w:lvlText w:val="•"/>
      <w:lvlJc w:val="left"/>
      <w:pPr>
        <w:ind w:left="1876" w:hanging="360"/>
      </w:pPr>
      <w:rPr>
        <w:rFonts w:hint="default"/>
        <w:lang w:val="en-US" w:eastAsia="en-US" w:bidi="en-US"/>
      </w:rPr>
    </w:lvl>
    <w:lvl w:ilvl="2" w:tplc="6240981C">
      <w:numFmt w:val="bullet"/>
      <w:lvlText w:val="•"/>
      <w:lvlJc w:val="left"/>
      <w:pPr>
        <w:ind w:left="2792" w:hanging="360"/>
      </w:pPr>
      <w:rPr>
        <w:rFonts w:hint="default"/>
        <w:lang w:val="en-US" w:eastAsia="en-US" w:bidi="en-US"/>
      </w:rPr>
    </w:lvl>
    <w:lvl w:ilvl="3" w:tplc="F16C46C4">
      <w:numFmt w:val="bullet"/>
      <w:lvlText w:val="•"/>
      <w:lvlJc w:val="left"/>
      <w:pPr>
        <w:ind w:left="3709" w:hanging="360"/>
      </w:pPr>
      <w:rPr>
        <w:rFonts w:hint="default"/>
        <w:lang w:val="en-US" w:eastAsia="en-US" w:bidi="en-US"/>
      </w:rPr>
    </w:lvl>
    <w:lvl w:ilvl="4" w:tplc="371A45D8">
      <w:numFmt w:val="bullet"/>
      <w:lvlText w:val="•"/>
      <w:lvlJc w:val="left"/>
      <w:pPr>
        <w:ind w:left="4625" w:hanging="360"/>
      </w:pPr>
      <w:rPr>
        <w:rFonts w:hint="default"/>
        <w:lang w:val="en-US" w:eastAsia="en-US" w:bidi="en-US"/>
      </w:rPr>
    </w:lvl>
    <w:lvl w:ilvl="5" w:tplc="DB4210FC">
      <w:numFmt w:val="bullet"/>
      <w:lvlText w:val="•"/>
      <w:lvlJc w:val="left"/>
      <w:pPr>
        <w:ind w:left="5542" w:hanging="360"/>
      </w:pPr>
      <w:rPr>
        <w:rFonts w:hint="default"/>
        <w:lang w:val="en-US" w:eastAsia="en-US" w:bidi="en-US"/>
      </w:rPr>
    </w:lvl>
    <w:lvl w:ilvl="6" w:tplc="EEE469A2">
      <w:numFmt w:val="bullet"/>
      <w:lvlText w:val="•"/>
      <w:lvlJc w:val="left"/>
      <w:pPr>
        <w:ind w:left="6458" w:hanging="360"/>
      </w:pPr>
      <w:rPr>
        <w:rFonts w:hint="default"/>
        <w:lang w:val="en-US" w:eastAsia="en-US" w:bidi="en-US"/>
      </w:rPr>
    </w:lvl>
    <w:lvl w:ilvl="7" w:tplc="C7C45EB6">
      <w:numFmt w:val="bullet"/>
      <w:lvlText w:val="•"/>
      <w:lvlJc w:val="left"/>
      <w:pPr>
        <w:ind w:left="7375" w:hanging="360"/>
      </w:pPr>
      <w:rPr>
        <w:rFonts w:hint="default"/>
        <w:lang w:val="en-US" w:eastAsia="en-US" w:bidi="en-US"/>
      </w:rPr>
    </w:lvl>
    <w:lvl w:ilvl="8" w:tplc="C4E2B00E">
      <w:numFmt w:val="bullet"/>
      <w:lvlText w:val="•"/>
      <w:lvlJc w:val="left"/>
      <w:pPr>
        <w:ind w:left="8291" w:hanging="360"/>
      </w:pPr>
      <w:rPr>
        <w:rFonts w:hint="default"/>
        <w:lang w:val="en-US" w:eastAsia="en-US" w:bidi="en-US"/>
      </w:rPr>
    </w:lvl>
  </w:abstractNum>
  <w:abstractNum w:abstractNumId="31" w15:restartNumberingAfterBreak="0">
    <w:nsid w:val="12BC7C18"/>
    <w:multiLevelType w:val="hybridMultilevel"/>
    <w:tmpl w:val="13AAB0DC"/>
    <w:lvl w:ilvl="0" w:tplc="639A9BF8">
      <w:start w:val="1"/>
      <w:numFmt w:val="bullet"/>
      <w:lvlText w:val="*"/>
      <w:lvlJc w:val="left"/>
      <w:pPr>
        <w:ind w:left="295" w:hanging="77"/>
      </w:pPr>
      <w:rPr>
        <w:rFonts w:ascii="Times New Roman" w:eastAsia="Times New Roman" w:hAnsi="Times New Roman" w:hint="default"/>
        <w:position w:val="6"/>
        <w:sz w:val="10"/>
        <w:szCs w:val="10"/>
      </w:rPr>
    </w:lvl>
    <w:lvl w:ilvl="1" w:tplc="E70E97FC">
      <w:start w:val="1"/>
      <w:numFmt w:val="bullet"/>
      <w:lvlText w:val=""/>
      <w:lvlJc w:val="left"/>
      <w:pPr>
        <w:ind w:left="826" w:hanging="360"/>
      </w:pPr>
      <w:rPr>
        <w:rFonts w:ascii="Symbol" w:eastAsia="Symbol" w:hAnsi="Symbol" w:hint="default"/>
        <w:sz w:val="22"/>
        <w:szCs w:val="22"/>
      </w:rPr>
    </w:lvl>
    <w:lvl w:ilvl="2" w:tplc="356850E8">
      <w:start w:val="1"/>
      <w:numFmt w:val="bullet"/>
      <w:lvlText w:val="•"/>
      <w:lvlJc w:val="left"/>
      <w:pPr>
        <w:ind w:left="1830" w:hanging="360"/>
      </w:pPr>
      <w:rPr>
        <w:rFonts w:hint="default"/>
      </w:rPr>
    </w:lvl>
    <w:lvl w:ilvl="3" w:tplc="4DF05E0E">
      <w:start w:val="1"/>
      <w:numFmt w:val="bullet"/>
      <w:lvlText w:val="•"/>
      <w:lvlJc w:val="left"/>
      <w:pPr>
        <w:ind w:left="2834" w:hanging="360"/>
      </w:pPr>
      <w:rPr>
        <w:rFonts w:hint="default"/>
      </w:rPr>
    </w:lvl>
    <w:lvl w:ilvl="4" w:tplc="A91C137C">
      <w:start w:val="1"/>
      <w:numFmt w:val="bullet"/>
      <w:lvlText w:val="•"/>
      <w:lvlJc w:val="left"/>
      <w:pPr>
        <w:ind w:left="3839" w:hanging="360"/>
      </w:pPr>
      <w:rPr>
        <w:rFonts w:hint="default"/>
      </w:rPr>
    </w:lvl>
    <w:lvl w:ilvl="5" w:tplc="F0F0AE40">
      <w:start w:val="1"/>
      <w:numFmt w:val="bullet"/>
      <w:lvlText w:val="•"/>
      <w:lvlJc w:val="left"/>
      <w:pPr>
        <w:ind w:left="4843" w:hanging="360"/>
      </w:pPr>
      <w:rPr>
        <w:rFonts w:hint="default"/>
      </w:rPr>
    </w:lvl>
    <w:lvl w:ilvl="6" w:tplc="73E8F860">
      <w:start w:val="1"/>
      <w:numFmt w:val="bullet"/>
      <w:lvlText w:val="•"/>
      <w:lvlJc w:val="left"/>
      <w:pPr>
        <w:ind w:left="5847" w:hanging="360"/>
      </w:pPr>
      <w:rPr>
        <w:rFonts w:hint="default"/>
      </w:rPr>
    </w:lvl>
    <w:lvl w:ilvl="7" w:tplc="476EA8F6">
      <w:start w:val="1"/>
      <w:numFmt w:val="bullet"/>
      <w:lvlText w:val="•"/>
      <w:lvlJc w:val="left"/>
      <w:pPr>
        <w:ind w:left="6851" w:hanging="360"/>
      </w:pPr>
      <w:rPr>
        <w:rFonts w:hint="default"/>
      </w:rPr>
    </w:lvl>
    <w:lvl w:ilvl="8" w:tplc="744A971E">
      <w:start w:val="1"/>
      <w:numFmt w:val="bullet"/>
      <w:lvlText w:val="•"/>
      <w:lvlJc w:val="left"/>
      <w:pPr>
        <w:ind w:left="7855" w:hanging="360"/>
      </w:pPr>
      <w:rPr>
        <w:rFonts w:hint="default"/>
      </w:rPr>
    </w:lvl>
  </w:abstractNum>
  <w:abstractNum w:abstractNumId="32" w15:restartNumberingAfterBreak="0">
    <w:nsid w:val="13C10BF8"/>
    <w:multiLevelType w:val="hybridMultilevel"/>
    <w:tmpl w:val="1EDAE706"/>
    <w:lvl w:ilvl="0" w:tplc="9ADC6564">
      <w:start w:val="1"/>
      <w:numFmt w:val="decimal"/>
      <w:lvlRestart w:val="0"/>
      <w:pStyle w:val="ListNumber2"/>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161D1D29"/>
    <w:multiLevelType w:val="hybridMultilevel"/>
    <w:tmpl w:val="ED6494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7A3998"/>
    <w:multiLevelType w:val="hybridMultilevel"/>
    <w:tmpl w:val="95CE8D50"/>
    <w:lvl w:ilvl="0" w:tplc="61345E0A">
      <w:start w:val="1"/>
      <w:numFmt w:val="bullet"/>
      <w:lvlRestart w:val="0"/>
      <w:pStyle w:val="ListBullet4"/>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9045706"/>
    <w:multiLevelType w:val="hybridMultilevel"/>
    <w:tmpl w:val="79149308"/>
    <w:lvl w:ilvl="0" w:tplc="46B28BC2">
      <w:start w:val="1"/>
      <w:numFmt w:val="decimal"/>
      <w:lvlRestart w:val="0"/>
      <w:pStyle w:val="ListNumber"/>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19BF766E"/>
    <w:multiLevelType w:val="multilevel"/>
    <w:tmpl w:val="9AB69FCC"/>
    <w:lvl w:ilvl="0">
      <w:start w:val="4"/>
      <w:numFmt w:val="decimal"/>
      <w:lvlText w:val="%1"/>
      <w:lvlJc w:val="left"/>
      <w:pPr>
        <w:ind w:left="449" w:hanging="332"/>
      </w:pPr>
      <w:rPr>
        <w:rFonts w:hint="default"/>
      </w:rPr>
    </w:lvl>
    <w:lvl w:ilvl="1">
      <w:start w:val="8"/>
      <w:numFmt w:val="decimal"/>
      <w:lvlText w:val="%1.%2"/>
      <w:lvlJc w:val="left"/>
      <w:pPr>
        <w:ind w:left="449" w:hanging="332"/>
      </w:pPr>
      <w:rPr>
        <w:rFonts w:ascii="Times New Roman" w:eastAsia="Times New Roman" w:hAnsi="Times New Roman" w:hint="default"/>
        <w:sz w:val="22"/>
        <w:szCs w:val="22"/>
      </w:rPr>
    </w:lvl>
    <w:lvl w:ilvl="2">
      <w:start w:val="1"/>
      <w:numFmt w:val="bullet"/>
      <w:lvlText w:val=""/>
      <w:lvlJc w:val="left"/>
      <w:pPr>
        <w:ind w:left="665" w:hanging="428"/>
      </w:pPr>
      <w:rPr>
        <w:rFonts w:ascii="Symbol" w:eastAsia="Symbol" w:hAnsi="Symbol" w:hint="default"/>
        <w:sz w:val="22"/>
        <w:szCs w:val="22"/>
      </w:rPr>
    </w:lvl>
    <w:lvl w:ilvl="3">
      <w:start w:val="1"/>
      <w:numFmt w:val="bullet"/>
      <w:lvlText w:val=""/>
      <w:lvlJc w:val="left"/>
      <w:pPr>
        <w:ind w:left="958" w:hanging="360"/>
      </w:pPr>
      <w:rPr>
        <w:rFonts w:ascii="Symbol" w:eastAsia="Symbol" w:hAnsi="Symbol" w:hint="default"/>
        <w:sz w:val="22"/>
        <w:szCs w:val="22"/>
      </w:rPr>
    </w:lvl>
    <w:lvl w:ilvl="4">
      <w:start w:val="1"/>
      <w:numFmt w:val="bullet"/>
      <w:lvlText w:val="•"/>
      <w:lvlJc w:val="left"/>
      <w:pPr>
        <w:ind w:left="3164" w:hanging="360"/>
      </w:pPr>
      <w:rPr>
        <w:rFonts w:hint="default"/>
      </w:rPr>
    </w:lvl>
    <w:lvl w:ilvl="5">
      <w:start w:val="1"/>
      <w:numFmt w:val="bullet"/>
      <w:lvlText w:val="•"/>
      <w:lvlJc w:val="left"/>
      <w:pPr>
        <w:ind w:left="4268" w:hanging="360"/>
      </w:pPr>
      <w:rPr>
        <w:rFonts w:hint="default"/>
      </w:rPr>
    </w:lvl>
    <w:lvl w:ilvl="6">
      <w:start w:val="1"/>
      <w:numFmt w:val="bullet"/>
      <w:lvlText w:val="•"/>
      <w:lvlJc w:val="left"/>
      <w:pPr>
        <w:ind w:left="5371" w:hanging="360"/>
      </w:pPr>
      <w:rPr>
        <w:rFonts w:hint="default"/>
      </w:rPr>
    </w:lvl>
    <w:lvl w:ilvl="7">
      <w:start w:val="1"/>
      <w:numFmt w:val="bullet"/>
      <w:lvlText w:val="•"/>
      <w:lvlJc w:val="left"/>
      <w:pPr>
        <w:ind w:left="6474" w:hanging="360"/>
      </w:pPr>
      <w:rPr>
        <w:rFonts w:hint="default"/>
      </w:rPr>
    </w:lvl>
    <w:lvl w:ilvl="8">
      <w:start w:val="1"/>
      <w:numFmt w:val="bullet"/>
      <w:lvlText w:val="•"/>
      <w:lvlJc w:val="left"/>
      <w:pPr>
        <w:ind w:left="7577" w:hanging="360"/>
      </w:pPr>
      <w:rPr>
        <w:rFonts w:hint="default"/>
      </w:rPr>
    </w:lvl>
  </w:abstractNum>
  <w:abstractNum w:abstractNumId="37" w15:restartNumberingAfterBreak="0">
    <w:nsid w:val="19D94ABA"/>
    <w:multiLevelType w:val="hybridMultilevel"/>
    <w:tmpl w:val="F0CE8F82"/>
    <w:lvl w:ilvl="0" w:tplc="FD0E8DE4">
      <w:start w:val="1"/>
      <w:numFmt w:val="upperLetter"/>
      <w:lvlText w:val="%1."/>
      <w:lvlJc w:val="left"/>
      <w:pPr>
        <w:ind w:left="4036" w:hanging="269"/>
        <w:jc w:val="right"/>
      </w:pPr>
      <w:rPr>
        <w:rFonts w:ascii="Times New Roman" w:eastAsia="Times New Roman" w:hAnsi="Times New Roman" w:hint="default"/>
        <w:b/>
        <w:bCs/>
        <w:spacing w:val="-1"/>
        <w:sz w:val="22"/>
        <w:szCs w:val="22"/>
      </w:rPr>
    </w:lvl>
    <w:lvl w:ilvl="1" w:tplc="C49639C4">
      <w:start w:val="1"/>
      <w:numFmt w:val="bullet"/>
      <w:lvlText w:val="•"/>
      <w:lvlJc w:val="left"/>
      <w:pPr>
        <w:ind w:left="4487" w:hanging="269"/>
      </w:pPr>
      <w:rPr>
        <w:rFonts w:hint="default"/>
      </w:rPr>
    </w:lvl>
    <w:lvl w:ilvl="2" w:tplc="5E7049EA">
      <w:start w:val="1"/>
      <w:numFmt w:val="bullet"/>
      <w:lvlText w:val="•"/>
      <w:lvlJc w:val="left"/>
      <w:pPr>
        <w:ind w:left="4938" w:hanging="269"/>
      </w:pPr>
      <w:rPr>
        <w:rFonts w:hint="default"/>
      </w:rPr>
    </w:lvl>
    <w:lvl w:ilvl="3" w:tplc="2364170C">
      <w:start w:val="1"/>
      <w:numFmt w:val="bullet"/>
      <w:lvlText w:val="•"/>
      <w:lvlJc w:val="left"/>
      <w:pPr>
        <w:ind w:left="5388" w:hanging="269"/>
      </w:pPr>
      <w:rPr>
        <w:rFonts w:hint="default"/>
      </w:rPr>
    </w:lvl>
    <w:lvl w:ilvl="4" w:tplc="984C1134">
      <w:start w:val="1"/>
      <w:numFmt w:val="bullet"/>
      <w:lvlText w:val="•"/>
      <w:lvlJc w:val="left"/>
      <w:pPr>
        <w:ind w:left="5839" w:hanging="269"/>
      </w:pPr>
      <w:rPr>
        <w:rFonts w:hint="default"/>
      </w:rPr>
    </w:lvl>
    <w:lvl w:ilvl="5" w:tplc="5192D2A8">
      <w:start w:val="1"/>
      <w:numFmt w:val="bullet"/>
      <w:lvlText w:val="•"/>
      <w:lvlJc w:val="left"/>
      <w:pPr>
        <w:ind w:left="6290" w:hanging="269"/>
      </w:pPr>
      <w:rPr>
        <w:rFonts w:hint="default"/>
      </w:rPr>
    </w:lvl>
    <w:lvl w:ilvl="6" w:tplc="066CB7DE">
      <w:start w:val="1"/>
      <w:numFmt w:val="bullet"/>
      <w:lvlText w:val="•"/>
      <w:lvlJc w:val="left"/>
      <w:pPr>
        <w:ind w:left="6741" w:hanging="269"/>
      </w:pPr>
      <w:rPr>
        <w:rFonts w:hint="default"/>
      </w:rPr>
    </w:lvl>
    <w:lvl w:ilvl="7" w:tplc="739A564A">
      <w:start w:val="1"/>
      <w:numFmt w:val="bullet"/>
      <w:lvlText w:val="•"/>
      <w:lvlJc w:val="left"/>
      <w:pPr>
        <w:ind w:left="7192" w:hanging="269"/>
      </w:pPr>
      <w:rPr>
        <w:rFonts w:hint="default"/>
      </w:rPr>
    </w:lvl>
    <w:lvl w:ilvl="8" w:tplc="DE54E508">
      <w:start w:val="1"/>
      <w:numFmt w:val="bullet"/>
      <w:lvlText w:val="•"/>
      <w:lvlJc w:val="left"/>
      <w:pPr>
        <w:ind w:left="7642" w:hanging="269"/>
      </w:pPr>
      <w:rPr>
        <w:rFonts w:hint="default"/>
      </w:rPr>
    </w:lvl>
  </w:abstractNum>
  <w:abstractNum w:abstractNumId="38" w15:restartNumberingAfterBreak="0">
    <w:nsid w:val="19F741DB"/>
    <w:multiLevelType w:val="hybridMultilevel"/>
    <w:tmpl w:val="44284896"/>
    <w:lvl w:ilvl="0" w:tplc="1A9C413E">
      <w:start w:val="1"/>
      <w:numFmt w:val="decimal"/>
      <w:lvlRestart w:val="0"/>
      <w:pStyle w:val="ListNumber5"/>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1A026684"/>
    <w:multiLevelType w:val="hybridMultilevel"/>
    <w:tmpl w:val="47E8235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0" w15:restartNumberingAfterBreak="0">
    <w:nsid w:val="1BC9262C"/>
    <w:multiLevelType w:val="hybridMultilevel"/>
    <w:tmpl w:val="1FB6E7F2"/>
    <w:lvl w:ilvl="0" w:tplc="957C4422">
      <w:start w:val="1"/>
      <w:numFmt w:val="decimal"/>
      <w:lvlRestart w:val="0"/>
      <w:pStyle w:val="ListNumber3"/>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1BD86404"/>
    <w:multiLevelType w:val="hybridMultilevel"/>
    <w:tmpl w:val="57CE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C6B703A"/>
    <w:multiLevelType w:val="hybridMultilevel"/>
    <w:tmpl w:val="4D52B988"/>
    <w:lvl w:ilvl="0" w:tplc="31C6BE56">
      <w:start w:val="1"/>
      <w:numFmt w:val="bullet"/>
      <w:lvlText w:val=""/>
      <w:lvlJc w:val="left"/>
      <w:pPr>
        <w:ind w:left="569" w:hanging="452"/>
      </w:pPr>
      <w:rPr>
        <w:rFonts w:ascii="Symbol" w:eastAsia="Symbol" w:hAnsi="Symbol" w:hint="default"/>
        <w:sz w:val="22"/>
        <w:szCs w:val="22"/>
      </w:rPr>
    </w:lvl>
    <w:lvl w:ilvl="1" w:tplc="827AEAE4">
      <w:start w:val="1"/>
      <w:numFmt w:val="bullet"/>
      <w:lvlText w:val="-"/>
      <w:lvlJc w:val="left"/>
      <w:pPr>
        <w:ind w:left="1112" w:hanging="428"/>
      </w:pPr>
      <w:rPr>
        <w:rFonts w:ascii="Times New Roman" w:eastAsia="Times New Roman" w:hAnsi="Times New Roman" w:hint="default"/>
        <w:sz w:val="22"/>
        <w:szCs w:val="22"/>
      </w:rPr>
    </w:lvl>
    <w:lvl w:ilvl="2" w:tplc="D200EE24">
      <w:start w:val="1"/>
      <w:numFmt w:val="bullet"/>
      <w:lvlText w:val="•"/>
      <w:lvlJc w:val="left"/>
      <w:pPr>
        <w:ind w:left="2075" w:hanging="428"/>
      </w:pPr>
      <w:rPr>
        <w:rFonts w:hint="default"/>
      </w:rPr>
    </w:lvl>
    <w:lvl w:ilvl="3" w:tplc="8716F214">
      <w:start w:val="1"/>
      <w:numFmt w:val="bullet"/>
      <w:lvlText w:val="•"/>
      <w:lvlJc w:val="left"/>
      <w:pPr>
        <w:ind w:left="3039" w:hanging="428"/>
      </w:pPr>
      <w:rPr>
        <w:rFonts w:hint="default"/>
      </w:rPr>
    </w:lvl>
    <w:lvl w:ilvl="4" w:tplc="7EE8F9C6">
      <w:start w:val="1"/>
      <w:numFmt w:val="bullet"/>
      <w:lvlText w:val="•"/>
      <w:lvlJc w:val="left"/>
      <w:pPr>
        <w:ind w:left="4002" w:hanging="428"/>
      </w:pPr>
      <w:rPr>
        <w:rFonts w:hint="default"/>
      </w:rPr>
    </w:lvl>
    <w:lvl w:ilvl="5" w:tplc="B6F8E162">
      <w:start w:val="1"/>
      <w:numFmt w:val="bullet"/>
      <w:lvlText w:val="•"/>
      <w:lvlJc w:val="left"/>
      <w:pPr>
        <w:ind w:left="4966" w:hanging="428"/>
      </w:pPr>
      <w:rPr>
        <w:rFonts w:hint="default"/>
      </w:rPr>
    </w:lvl>
    <w:lvl w:ilvl="6" w:tplc="2B9C72E0">
      <w:start w:val="1"/>
      <w:numFmt w:val="bullet"/>
      <w:lvlText w:val="•"/>
      <w:lvlJc w:val="left"/>
      <w:pPr>
        <w:ind w:left="5930" w:hanging="428"/>
      </w:pPr>
      <w:rPr>
        <w:rFonts w:hint="default"/>
      </w:rPr>
    </w:lvl>
    <w:lvl w:ilvl="7" w:tplc="7FE02AE8">
      <w:start w:val="1"/>
      <w:numFmt w:val="bullet"/>
      <w:lvlText w:val="•"/>
      <w:lvlJc w:val="left"/>
      <w:pPr>
        <w:ind w:left="6893" w:hanging="428"/>
      </w:pPr>
      <w:rPr>
        <w:rFonts w:hint="default"/>
      </w:rPr>
    </w:lvl>
    <w:lvl w:ilvl="8" w:tplc="5D04FFC2">
      <w:start w:val="1"/>
      <w:numFmt w:val="bullet"/>
      <w:lvlText w:val="•"/>
      <w:lvlJc w:val="left"/>
      <w:pPr>
        <w:ind w:left="7857" w:hanging="428"/>
      </w:pPr>
      <w:rPr>
        <w:rFonts w:hint="default"/>
      </w:rPr>
    </w:lvl>
  </w:abstractNum>
  <w:abstractNum w:abstractNumId="43" w15:restartNumberingAfterBreak="0">
    <w:nsid w:val="1D086372"/>
    <w:multiLevelType w:val="hybridMultilevel"/>
    <w:tmpl w:val="AA146E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A97556"/>
    <w:multiLevelType w:val="hybridMultilevel"/>
    <w:tmpl w:val="85FC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C02FCD"/>
    <w:multiLevelType w:val="hybridMultilevel"/>
    <w:tmpl w:val="1E1A0D94"/>
    <w:lvl w:ilvl="0" w:tplc="8CCAB564">
      <w:start w:val="1"/>
      <w:numFmt w:val="bullet"/>
      <w:lvlRestart w:val="0"/>
      <w:pStyle w:val="ListBullet3"/>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1F32451"/>
    <w:multiLevelType w:val="multilevel"/>
    <w:tmpl w:val="BCFCAB6E"/>
    <w:lvl w:ilvl="0">
      <w:start w:val="5"/>
      <w:numFmt w:val="decimal"/>
      <w:lvlText w:val="%1"/>
      <w:lvlJc w:val="left"/>
      <w:pPr>
        <w:ind w:left="684" w:hanging="567"/>
      </w:pPr>
      <w:rPr>
        <w:rFonts w:hint="default"/>
      </w:rPr>
    </w:lvl>
    <w:lvl w:ilvl="1">
      <w:start w:val="2"/>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2520" w:hanging="567"/>
      </w:pPr>
      <w:rPr>
        <w:rFonts w:hint="default"/>
      </w:rPr>
    </w:lvl>
    <w:lvl w:ilvl="3">
      <w:start w:val="1"/>
      <w:numFmt w:val="bullet"/>
      <w:lvlText w:val="•"/>
      <w:lvlJc w:val="left"/>
      <w:pPr>
        <w:ind w:left="3438" w:hanging="567"/>
      </w:pPr>
      <w:rPr>
        <w:rFonts w:hint="default"/>
      </w:rPr>
    </w:lvl>
    <w:lvl w:ilvl="4">
      <w:start w:val="1"/>
      <w:numFmt w:val="bullet"/>
      <w:lvlText w:val="•"/>
      <w:lvlJc w:val="left"/>
      <w:pPr>
        <w:ind w:left="4356" w:hanging="567"/>
      </w:pPr>
      <w:rPr>
        <w:rFonts w:hint="default"/>
      </w:rPr>
    </w:lvl>
    <w:lvl w:ilvl="5">
      <w:start w:val="1"/>
      <w:numFmt w:val="bullet"/>
      <w:lvlText w:val="•"/>
      <w:lvlJc w:val="left"/>
      <w:pPr>
        <w:ind w:left="5274" w:hanging="567"/>
      </w:pPr>
      <w:rPr>
        <w:rFonts w:hint="default"/>
      </w:rPr>
    </w:lvl>
    <w:lvl w:ilvl="6">
      <w:start w:val="1"/>
      <w:numFmt w:val="bullet"/>
      <w:lvlText w:val="•"/>
      <w:lvlJc w:val="left"/>
      <w:pPr>
        <w:ind w:left="6192" w:hanging="567"/>
      </w:pPr>
      <w:rPr>
        <w:rFonts w:hint="default"/>
      </w:rPr>
    </w:lvl>
    <w:lvl w:ilvl="7">
      <w:start w:val="1"/>
      <w:numFmt w:val="bullet"/>
      <w:lvlText w:val="•"/>
      <w:lvlJc w:val="left"/>
      <w:pPr>
        <w:ind w:left="7110" w:hanging="567"/>
      </w:pPr>
      <w:rPr>
        <w:rFonts w:hint="default"/>
      </w:rPr>
    </w:lvl>
    <w:lvl w:ilvl="8">
      <w:start w:val="1"/>
      <w:numFmt w:val="bullet"/>
      <w:lvlText w:val="•"/>
      <w:lvlJc w:val="left"/>
      <w:pPr>
        <w:ind w:left="8028" w:hanging="567"/>
      </w:pPr>
      <w:rPr>
        <w:rFonts w:hint="default"/>
      </w:rPr>
    </w:lvl>
  </w:abstractNum>
  <w:abstractNum w:abstractNumId="47" w15:restartNumberingAfterBreak="0">
    <w:nsid w:val="233269FB"/>
    <w:multiLevelType w:val="hybridMultilevel"/>
    <w:tmpl w:val="35F214C6"/>
    <w:lvl w:ilvl="0" w:tplc="68365BD4">
      <w:start w:val="1"/>
      <w:numFmt w:val="bullet"/>
      <w:lvlText w:val=""/>
      <w:lvlJc w:val="left"/>
      <w:pPr>
        <w:ind w:left="569" w:hanging="452"/>
      </w:pPr>
      <w:rPr>
        <w:rFonts w:ascii="Symbol" w:eastAsia="Symbol" w:hAnsi="Symbol" w:hint="default"/>
        <w:sz w:val="18"/>
        <w:szCs w:val="18"/>
      </w:rPr>
    </w:lvl>
    <w:lvl w:ilvl="1" w:tplc="30CEDDF6">
      <w:start w:val="1"/>
      <w:numFmt w:val="bullet"/>
      <w:lvlText w:val="•"/>
      <w:lvlJc w:val="left"/>
      <w:pPr>
        <w:ind w:left="1499" w:hanging="452"/>
      </w:pPr>
      <w:rPr>
        <w:rFonts w:hint="default"/>
      </w:rPr>
    </w:lvl>
    <w:lvl w:ilvl="2" w:tplc="D7B2672E">
      <w:start w:val="1"/>
      <w:numFmt w:val="bullet"/>
      <w:lvlText w:val="•"/>
      <w:lvlJc w:val="left"/>
      <w:pPr>
        <w:ind w:left="2428" w:hanging="452"/>
      </w:pPr>
      <w:rPr>
        <w:rFonts w:hint="default"/>
      </w:rPr>
    </w:lvl>
    <w:lvl w:ilvl="3" w:tplc="D1F06A84">
      <w:start w:val="1"/>
      <w:numFmt w:val="bullet"/>
      <w:lvlText w:val="•"/>
      <w:lvlJc w:val="left"/>
      <w:pPr>
        <w:ind w:left="3358" w:hanging="452"/>
      </w:pPr>
      <w:rPr>
        <w:rFonts w:hint="default"/>
      </w:rPr>
    </w:lvl>
    <w:lvl w:ilvl="4" w:tplc="DCDA3908">
      <w:start w:val="1"/>
      <w:numFmt w:val="bullet"/>
      <w:lvlText w:val="•"/>
      <w:lvlJc w:val="left"/>
      <w:pPr>
        <w:ind w:left="4287" w:hanging="452"/>
      </w:pPr>
      <w:rPr>
        <w:rFonts w:hint="default"/>
      </w:rPr>
    </w:lvl>
    <w:lvl w:ilvl="5" w:tplc="6FDA8E26">
      <w:start w:val="1"/>
      <w:numFmt w:val="bullet"/>
      <w:lvlText w:val="•"/>
      <w:lvlJc w:val="left"/>
      <w:pPr>
        <w:ind w:left="5217" w:hanging="452"/>
      </w:pPr>
      <w:rPr>
        <w:rFonts w:hint="default"/>
      </w:rPr>
    </w:lvl>
    <w:lvl w:ilvl="6" w:tplc="CF92CEBE">
      <w:start w:val="1"/>
      <w:numFmt w:val="bullet"/>
      <w:lvlText w:val="•"/>
      <w:lvlJc w:val="left"/>
      <w:pPr>
        <w:ind w:left="6146" w:hanging="452"/>
      </w:pPr>
      <w:rPr>
        <w:rFonts w:hint="default"/>
      </w:rPr>
    </w:lvl>
    <w:lvl w:ilvl="7" w:tplc="FC18A700">
      <w:start w:val="1"/>
      <w:numFmt w:val="bullet"/>
      <w:lvlText w:val="•"/>
      <w:lvlJc w:val="left"/>
      <w:pPr>
        <w:ind w:left="7075" w:hanging="452"/>
      </w:pPr>
      <w:rPr>
        <w:rFonts w:hint="default"/>
      </w:rPr>
    </w:lvl>
    <w:lvl w:ilvl="8" w:tplc="2966ABA0">
      <w:start w:val="1"/>
      <w:numFmt w:val="bullet"/>
      <w:lvlText w:val="•"/>
      <w:lvlJc w:val="left"/>
      <w:pPr>
        <w:ind w:left="8005" w:hanging="452"/>
      </w:pPr>
      <w:rPr>
        <w:rFonts w:hint="default"/>
      </w:rPr>
    </w:lvl>
  </w:abstractNum>
  <w:abstractNum w:abstractNumId="48" w15:restartNumberingAfterBreak="0">
    <w:nsid w:val="23692710"/>
    <w:multiLevelType w:val="hybridMultilevel"/>
    <w:tmpl w:val="B510AB2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9" w15:restartNumberingAfterBreak="0">
    <w:nsid w:val="253B70EB"/>
    <w:multiLevelType w:val="hybridMultilevel"/>
    <w:tmpl w:val="BD20096E"/>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50" w15:restartNumberingAfterBreak="0">
    <w:nsid w:val="2587682A"/>
    <w:multiLevelType w:val="hybridMultilevel"/>
    <w:tmpl w:val="B4D27A20"/>
    <w:lvl w:ilvl="0" w:tplc="C0701720">
      <w:start w:val="1"/>
      <w:numFmt w:val="bullet"/>
      <w:lvlText w:val=""/>
      <w:lvlJc w:val="left"/>
      <w:pPr>
        <w:ind w:left="838" w:hanging="360"/>
      </w:pPr>
      <w:rPr>
        <w:rFonts w:ascii="Symbol" w:eastAsia="Symbol" w:hAnsi="Symbol" w:hint="default"/>
        <w:sz w:val="22"/>
        <w:szCs w:val="22"/>
      </w:rPr>
    </w:lvl>
    <w:lvl w:ilvl="1" w:tplc="983E011E">
      <w:start w:val="1"/>
      <w:numFmt w:val="bullet"/>
      <w:lvlText w:val="•"/>
      <w:lvlJc w:val="left"/>
      <w:pPr>
        <w:ind w:left="1741" w:hanging="360"/>
      </w:pPr>
      <w:rPr>
        <w:rFonts w:hint="default"/>
      </w:rPr>
    </w:lvl>
    <w:lvl w:ilvl="2" w:tplc="366C2C38">
      <w:start w:val="1"/>
      <w:numFmt w:val="bullet"/>
      <w:lvlText w:val="•"/>
      <w:lvlJc w:val="left"/>
      <w:pPr>
        <w:ind w:left="2643" w:hanging="360"/>
      </w:pPr>
      <w:rPr>
        <w:rFonts w:hint="default"/>
      </w:rPr>
    </w:lvl>
    <w:lvl w:ilvl="3" w:tplc="E1762EE0">
      <w:start w:val="1"/>
      <w:numFmt w:val="bullet"/>
      <w:lvlText w:val="•"/>
      <w:lvlJc w:val="left"/>
      <w:pPr>
        <w:ind w:left="3546" w:hanging="360"/>
      </w:pPr>
      <w:rPr>
        <w:rFonts w:hint="default"/>
      </w:rPr>
    </w:lvl>
    <w:lvl w:ilvl="4" w:tplc="9A22786C">
      <w:start w:val="1"/>
      <w:numFmt w:val="bullet"/>
      <w:lvlText w:val="•"/>
      <w:lvlJc w:val="left"/>
      <w:pPr>
        <w:ind w:left="4448" w:hanging="360"/>
      </w:pPr>
      <w:rPr>
        <w:rFonts w:hint="default"/>
      </w:rPr>
    </w:lvl>
    <w:lvl w:ilvl="5" w:tplc="429A9C34">
      <w:start w:val="1"/>
      <w:numFmt w:val="bullet"/>
      <w:lvlText w:val="•"/>
      <w:lvlJc w:val="left"/>
      <w:pPr>
        <w:ind w:left="5351" w:hanging="360"/>
      </w:pPr>
      <w:rPr>
        <w:rFonts w:hint="default"/>
      </w:rPr>
    </w:lvl>
    <w:lvl w:ilvl="6" w:tplc="0974F278">
      <w:start w:val="1"/>
      <w:numFmt w:val="bullet"/>
      <w:lvlText w:val="•"/>
      <w:lvlJc w:val="left"/>
      <w:pPr>
        <w:ind w:left="6254" w:hanging="360"/>
      </w:pPr>
      <w:rPr>
        <w:rFonts w:hint="default"/>
      </w:rPr>
    </w:lvl>
    <w:lvl w:ilvl="7" w:tplc="66EE3C84">
      <w:start w:val="1"/>
      <w:numFmt w:val="bullet"/>
      <w:lvlText w:val="•"/>
      <w:lvlJc w:val="left"/>
      <w:pPr>
        <w:ind w:left="7156" w:hanging="360"/>
      </w:pPr>
      <w:rPr>
        <w:rFonts w:hint="default"/>
      </w:rPr>
    </w:lvl>
    <w:lvl w:ilvl="8" w:tplc="DF1E23FE">
      <w:start w:val="1"/>
      <w:numFmt w:val="bullet"/>
      <w:lvlText w:val="•"/>
      <w:lvlJc w:val="left"/>
      <w:pPr>
        <w:ind w:left="8059" w:hanging="360"/>
      </w:pPr>
      <w:rPr>
        <w:rFonts w:hint="default"/>
      </w:rPr>
    </w:lvl>
  </w:abstractNum>
  <w:abstractNum w:abstractNumId="51" w15:restartNumberingAfterBreak="0">
    <w:nsid w:val="26803906"/>
    <w:multiLevelType w:val="hybridMultilevel"/>
    <w:tmpl w:val="991A14A4"/>
    <w:lvl w:ilvl="0" w:tplc="2C4846DC">
      <w:start w:val="1"/>
      <w:numFmt w:val="bullet"/>
      <w:lvlText w:val="◇"/>
      <w:lvlJc w:val="left"/>
      <w:pPr>
        <w:ind w:left="218" w:hanging="92"/>
      </w:pPr>
      <w:rPr>
        <w:rFonts w:ascii="Times New Roman" w:eastAsia="Times New Roman" w:hAnsi="Times New Roman" w:hint="default"/>
        <w:w w:val="49"/>
        <w:position w:val="6"/>
        <w:sz w:val="10"/>
        <w:szCs w:val="10"/>
      </w:rPr>
    </w:lvl>
    <w:lvl w:ilvl="1" w:tplc="B5CCC308">
      <w:start w:val="1"/>
      <w:numFmt w:val="bullet"/>
      <w:lvlText w:val="•"/>
      <w:lvlJc w:val="left"/>
      <w:pPr>
        <w:ind w:left="1205" w:hanging="92"/>
      </w:pPr>
      <w:rPr>
        <w:rFonts w:hint="default"/>
      </w:rPr>
    </w:lvl>
    <w:lvl w:ilvl="2" w:tplc="96945A9E">
      <w:start w:val="1"/>
      <w:numFmt w:val="bullet"/>
      <w:lvlText w:val="•"/>
      <w:lvlJc w:val="left"/>
      <w:pPr>
        <w:ind w:left="2191" w:hanging="92"/>
      </w:pPr>
      <w:rPr>
        <w:rFonts w:hint="default"/>
      </w:rPr>
    </w:lvl>
    <w:lvl w:ilvl="3" w:tplc="D05E2D2E">
      <w:start w:val="1"/>
      <w:numFmt w:val="bullet"/>
      <w:lvlText w:val="•"/>
      <w:lvlJc w:val="left"/>
      <w:pPr>
        <w:ind w:left="3178" w:hanging="92"/>
      </w:pPr>
      <w:rPr>
        <w:rFonts w:hint="default"/>
      </w:rPr>
    </w:lvl>
    <w:lvl w:ilvl="4" w:tplc="B09CDFBC">
      <w:start w:val="1"/>
      <w:numFmt w:val="bullet"/>
      <w:lvlText w:val="•"/>
      <w:lvlJc w:val="left"/>
      <w:pPr>
        <w:ind w:left="4164" w:hanging="92"/>
      </w:pPr>
      <w:rPr>
        <w:rFonts w:hint="default"/>
      </w:rPr>
    </w:lvl>
    <w:lvl w:ilvl="5" w:tplc="B54233E4">
      <w:start w:val="1"/>
      <w:numFmt w:val="bullet"/>
      <w:lvlText w:val="•"/>
      <w:lvlJc w:val="left"/>
      <w:pPr>
        <w:ind w:left="5151" w:hanging="92"/>
      </w:pPr>
      <w:rPr>
        <w:rFonts w:hint="default"/>
      </w:rPr>
    </w:lvl>
    <w:lvl w:ilvl="6" w:tplc="03FE9FDE">
      <w:start w:val="1"/>
      <w:numFmt w:val="bullet"/>
      <w:lvlText w:val="•"/>
      <w:lvlJc w:val="left"/>
      <w:pPr>
        <w:ind w:left="6138" w:hanging="92"/>
      </w:pPr>
      <w:rPr>
        <w:rFonts w:hint="default"/>
      </w:rPr>
    </w:lvl>
    <w:lvl w:ilvl="7" w:tplc="87ECD83A">
      <w:start w:val="1"/>
      <w:numFmt w:val="bullet"/>
      <w:lvlText w:val="•"/>
      <w:lvlJc w:val="left"/>
      <w:pPr>
        <w:ind w:left="7124" w:hanging="92"/>
      </w:pPr>
      <w:rPr>
        <w:rFonts w:hint="default"/>
      </w:rPr>
    </w:lvl>
    <w:lvl w:ilvl="8" w:tplc="BA3C3B18">
      <w:start w:val="1"/>
      <w:numFmt w:val="bullet"/>
      <w:lvlText w:val="•"/>
      <w:lvlJc w:val="left"/>
      <w:pPr>
        <w:ind w:left="8111" w:hanging="92"/>
      </w:pPr>
      <w:rPr>
        <w:rFonts w:hint="default"/>
      </w:rPr>
    </w:lvl>
  </w:abstractNum>
  <w:abstractNum w:abstractNumId="52" w15:restartNumberingAfterBreak="0">
    <w:nsid w:val="293055B5"/>
    <w:multiLevelType w:val="hybridMultilevel"/>
    <w:tmpl w:val="9C26D116"/>
    <w:lvl w:ilvl="0" w:tplc="263AC0B4">
      <w:start w:val="1"/>
      <w:numFmt w:val="bullet"/>
      <w:lvlRestart w:val="0"/>
      <w:pStyle w:val="ListBullet"/>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B5D57AD"/>
    <w:multiLevelType w:val="hybridMultilevel"/>
    <w:tmpl w:val="B8F63F40"/>
    <w:lvl w:ilvl="0" w:tplc="DCEE38D2">
      <w:start w:val="1"/>
      <w:numFmt w:val="bullet"/>
      <w:lvlText w:val=""/>
      <w:lvlJc w:val="left"/>
      <w:pPr>
        <w:ind w:left="826" w:hanging="425"/>
      </w:pPr>
      <w:rPr>
        <w:rFonts w:ascii="Symbol" w:eastAsia="Symbol" w:hAnsi="Symbol" w:hint="default"/>
        <w:sz w:val="22"/>
        <w:szCs w:val="22"/>
      </w:rPr>
    </w:lvl>
    <w:lvl w:ilvl="1" w:tplc="5E7AD580">
      <w:start w:val="1"/>
      <w:numFmt w:val="bullet"/>
      <w:lvlText w:val=""/>
      <w:lvlJc w:val="left"/>
      <w:pPr>
        <w:ind w:left="838" w:hanging="360"/>
      </w:pPr>
      <w:rPr>
        <w:rFonts w:ascii="Symbol" w:eastAsia="Symbol" w:hAnsi="Symbol" w:hint="default"/>
        <w:sz w:val="22"/>
        <w:szCs w:val="22"/>
      </w:rPr>
    </w:lvl>
    <w:lvl w:ilvl="2" w:tplc="0B88E050">
      <w:start w:val="1"/>
      <w:numFmt w:val="bullet"/>
      <w:lvlText w:val="•"/>
      <w:lvlJc w:val="left"/>
      <w:pPr>
        <w:ind w:left="1841" w:hanging="360"/>
      </w:pPr>
      <w:rPr>
        <w:rFonts w:hint="default"/>
      </w:rPr>
    </w:lvl>
    <w:lvl w:ilvl="3" w:tplc="F84E5D2A">
      <w:start w:val="1"/>
      <w:numFmt w:val="bullet"/>
      <w:lvlText w:val="•"/>
      <w:lvlJc w:val="left"/>
      <w:pPr>
        <w:ind w:left="2844" w:hanging="360"/>
      </w:pPr>
      <w:rPr>
        <w:rFonts w:hint="default"/>
      </w:rPr>
    </w:lvl>
    <w:lvl w:ilvl="4" w:tplc="AA027FC2">
      <w:start w:val="1"/>
      <w:numFmt w:val="bullet"/>
      <w:lvlText w:val="•"/>
      <w:lvlJc w:val="left"/>
      <w:pPr>
        <w:ind w:left="3847" w:hanging="360"/>
      </w:pPr>
      <w:rPr>
        <w:rFonts w:hint="default"/>
      </w:rPr>
    </w:lvl>
    <w:lvl w:ilvl="5" w:tplc="D902ABB6">
      <w:start w:val="1"/>
      <w:numFmt w:val="bullet"/>
      <w:lvlText w:val="•"/>
      <w:lvlJc w:val="left"/>
      <w:pPr>
        <w:ind w:left="4849" w:hanging="360"/>
      </w:pPr>
      <w:rPr>
        <w:rFonts w:hint="default"/>
      </w:rPr>
    </w:lvl>
    <w:lvl w:ilvl="6" w:tplc="E4D0C152">
      <w:start w:val="1"/>
      <w:numFmt w:val="bullet"/>
      <w:lvlText w:val="•"/>
      <w:lvlJc w:val="left"/>
      <w:pPr>
        <w:ind w:left="5852" w:hanging="360"/>
      </w:pPr>
      <w:rPr>
        <w:rFonts w:hint="default"/>
      </w:rPr>
    </w:lvl>
    <w:lvl w:ilvl="7" w:tplc="17463C08">
      <w:start w:val="1"/>
      <w:numFmt w:val="bullet"/>
      <w:lvlText w:val="•"/>
      <w:lvlJc w:val="left"/>
      <w:pPr>
        <w:ind w:left="6855" w:hanging="360"/>
      </w:pPr>
      <w:rPr>
        <w:rFonts w:hint="default"/>
      </w:rPr>
    </w:lvl>
    <w:lvl w:ilvl="8" w:tplc="5198AF36">
      <w:start w:val="1"/>
      <w:numFmt w:val="bullet"/>
      <w:lvlText w:val="•"/>
      <w:lvlJc w:val="left"/>
      <w:pPr>
        <w:ind w:left="7858" w:hanging="360"/>
      </w:pPr>
      <w:rPr>
        <w:rFonts w:hint="default"/>
      </w:rPr>
    </w:lvl>
  </w:abstractNum>
  <w:abstractNum w:abstractNumId="54" w15:restartNumberingAfterBreak="0">
    <w:nsid w:val="31D2794C"/>
    <w:multiLevelType w:val="hybridMultilevel"/>
    <w:tmpl w:val="45367AD8"/>
    <w:lvl w:ilvl="0" w:tplc="27460A94">
      <w:start w:val="1"/>
      <w:numFmt w:val="bullet"/>
      <w:lvlText w:val="◇"/>
      <w:lvlJc w:val="left"/>
      <w:pPr>
        <w:ind w:left="309" w:hanging="92"/>
      </w:pPr>
      <w:rPr>
        <w:rFonts w:ascii="Times New Roman" w:eastAsia="Times New Roman" w:hAnsi="Times New Roman" w:hint="default"/>
        <w:w w:val="49"/>
        <w:position w:val="6"/>
        <w:sz w:val="10"/>
        <w:szCs w:val="10"/>
      </w:rPr>
    </w:lvl>
    <w:lvl w:ilvl="1" w:tplc="305A35A2">
      <w:start w:val="1"/>
      <w:numFmt w:val="bullet"/>
      <w:lvlText w:val="•"/>
      <w:lvlJc w:val="left"/>
      <w:pPr>
        <w:ind w:left="1287" w:hanging="92"/>
      </w:pPr>
      <w:rPr>
        <w:rFonts w:hint="default"/>
      </w:rPr>
    </w:lvl>
    <w:lvl w:ilvl="2" w:tplc="EC180D40">
      <w:start w:val="1"/>
      <w:numFmt w:val="bullet"/>
      <w:lvlText w:val="•"/>
      <w:lvlJc w:val="left"/>
      <w:pPr>
        <w:ind w:left="2264" w:hanging="92"/>
      </w:pPr>
      <w:rPr>
        <w:rFonts w:hint="default"/>
      </w:rPr>
    </w:lvl>
    <w:lvl w:ilvl="3" w:tplc="8C2289AC">
      <w:start w:val="1"/>
      <w:numFmt w:val="bullet"/>
      <w:lvlText w:val="•"/>
      <w:lvlJc w:val="left"/>
      <w:pPr>
        <w:ind w:left="3242" w:hanging="92"/>
      </w:pPr>
      <w:rPr>
        <w:rFonts w:hint="default"/>
      </w:rPr>
    </w:lvl>
    <w:lvl w:ilvl="4" w:tplc="0D18C9AA">
      <w:start w:val="1"/>
      <w:numFmt w:val="bullet"/>
      <w:lvlText w:val="•"/>
      <w:lvlJc w:val="left"/>
      <w:pPr>
        <w:ind w:left="4219" w:hanging="92"/>
      </w:pPr>
      <w:rPr>
        <w:rFonts w:hint="default"/>
      </w:rPr>
    </w:lvl>
    <w:lvl w:ilvl="5" w:tplc="F8E4ED72">
      <w:start w:val="1"/>
      <w:numFmt w:val="bullet"/>
      <w:lvlText w:val="•"/>
      <w:lvlJc w:val="left"/>
      <w:pPr>
        <w:ind w:left="5197" w:hanging="92"/>
      </w:pPr>
      <w:rPr>
        <w:rFonts w:hint="default"/>
      </w:rPr>
    </w:lvl>
    <w:lvl w:ilvl="6" w:tplc="C64A77E8">
      <w:start w:val="1"/>
      <w:numFmt w:val="bullet"/>
      <w:lvlText w:val="•"/>
      <w:lvlJc w:val="left"/>
      <w:pPr>
        <w:ind w:left="6174" w:hanging="92"/>
      </w:pPr>
      <w:rPr>
        <w:rFonts w:hint="default"/>
      </w:rPr>
    </w:lvl>
    <w:lvl w:ilvl="7" w:tplc="A1A4AF78">
      <w:start w:val="1"/>
      <w:numFmt w:val="bullet"/>
      <w:lvlText w:val="•"/>
      <w:lvlJc w:val="left"/>
      <w:pPr>
        <w:ind w:left="7151" w:hanging="92"/>
      </w:pPr>
      <w:rPr>
        <w:rFonts w:hint="default"/>
      </w:rPr>
    </w:lvl>
    <w:lvl w:ilvl="8" w:tplc="259E9A1A">
      <w:start w:val="1"/>
      <w:numFmt w:val="bullet"/>
      <w:lvlText w:val="•"/>
      <w:lvlJc w:val="left"/>
      <w:pPr>
        <w:ind w:left="8129" w:hanging="92"/>
      </w:pPr>
      <w:rPr>
        <w:rFonts w:hint="default"/>
      </w:rPr>
    </w:lvl>
  </w:abstractNum>
  <w:abstractNum w:abstractNumId="55" w15:restartNumberingAfterBreak="0">
    <w:nsid w:val="353B4BA5"/>
    <w:multiLevelType w:val="hybridMultilevel"/>
    <w:tmpl w:val="7566409E"/>
    <w:lvl w:ilvl="0" w:tplc="7BBA3332">
      <w:start w:val="1"/>
      <w:numFmt w:val="bullet"/>
      <w:lvlText w:val=""/>
      <w:lvlJc w:val="left"/>
      <w:pPr>
        <w:ind w:left="658" w:hanging="567"/>
      </w:pPr>
      <w:rPr>
        <w:rFonts w:ascii="Symbol" w:eastAsia="Symbol" w:hAnsi="Symbol" w:hint="default"/>
        <w:sz w:val="22"/>
        <w:szCs w:val="22"/>
      </w:rPr>
    </w:lvl>
    <w:lvl w:ilvl="1" w:tplc="8E9C6C9E">
      <w:start w:val="1"/>
      <w:numFmt w:val="bullet"/>
      <w:lvlText w:val=""/>
      <w:lvlJc w:val="left"/>
      <w:pPr>
        <w:ind w:left="838" w:hanging="360"/>
      </w:pPr>
      <w:rPr>
        <w:rFonts w:ascii="Symbol" w:eastAsia="Symbol" w:hAnsi="Symbol" w:hint="default"/>
        <w:sz w:val="22"/>
        <w:szCs w:val="22"/>
      </w:rPr>
    </w:lvl>
    <w:lvl w:ilvl="2" w:tplc="501A8682">
      <w:start w:val="1"/>
      <w:numFmt w:val="bullet"/>
      <w:lvlText w:val="•"/>
      <w:lvlJc w:val="left"/>
      <w:pPr>
        <w:ind w:left="1841" w:hanging="360"/>
      </w:pPr>
      <w:rPr>
        <w:rFonts w:hint="default"/>
      </w:rPr>
    </w:lvl>
    <w:lvl w:ilvl="3" w:tplc="C11E1702">
      <w:start w:val="1"/>
      <w:numFmt w:val="bullet"/>
      <w:lvlText w:val="•"/>
      <w:lvlJc w:val="left"/>
      <w:pPr>
        <w:ind w:left="2844" w:hanging="360"/>
      </w:pPr>
      <w:rPr>
        <w:rFonts w:hint="default"/>
      </w:rPr>
    </w:lvl>
    <w:lvl w:ilvl="4" w:tplc="0FDA8F6E">
      <w:start w:val="1"/>
      <w:numFmt w:val="bullet"/>
      <w:lvlText w:val="•"/>
      <w:lvlJc w:val="left"/>
      <w:pPr>
        <w:ind w:left="3847" w:hanging="360"/>
      </w:pPr>
      <w:rPr>
        <w:rFonts w:hint="default"/>
      </w:rPr>
    </w:lvl>
    <w:lvl w:ilvl="5" w:tplc="0D5C0206">
      <w:start w:val="1"/>
      <w:numFmt w:val="bullet"/>
      <w:lvlText w:val="•"/>
      <w:lvlJc w:val="left"/>
      <w:pPr>
        <w:ind w:left="4849" w:hanging="360"/>
      </w:pPr>
      <w:rPr>
        <w:rFonts w:hint="default"/>
      </w:rPr>
    </w:lvl>
    <w:lvl w:ilvl="6" w:tplc="ED0ED664">
      <w:start w:val="1"/>
      <w:numFmt w:val="bullet"/>
      <w:lvlText w:val="•"/>
      <w:lvlJc w:val="left"/>
      <w:pPr>
        <w:ind w:left="5852" w:hanging="360"/>
      </w:pPr>
      <w:rPr>
        <w:rFonts w:hint="default"/>
      </w:rPr>
    </w:lvl>
    <w:lvl w:ilvl="7" w:tplc="3BCC4FFA">
      <w:start w:val="1"/>
      <w:numFmt w:val="bullet"/>
      <w:lvlText w:val="•"/>
      <w:lvlJc w:val="left"/>
      <w:pPr>
        <w:ind w:left="6855" w:hanging="360"/>
      </w:pPr>
      <w:rPr>
        <w:rFonts w:hint="default"/>
      </w:rPr>
    </w:lvl>
    <w:lvl w:ilvl="8" w:tplc="A35EB836">
      <w:start w:val="1"/>
      <w:numFmt w:val="bullet"/>
      <w:lvlText w:val="•"/>
      <w:lvlJc w:val="left"/>
      <w:pPr>
        <w:ind w:left="7858" w:hanging="360"/>
      </w:pPr>
      <w:rPr>
        <w:rFonts w:hint="default"/>
      </w:rPr>
    </w:lvl>
  </w:abstractNum>
  <w:abstractNum w:abstractNumId="56" w15:restartNumberingAfterBreak="0">
    <w:nsid w:val="377F4D4B"/>
    <w:multiLevelType w:val="hybridMultilevel"/>
    <w:tmpl w:val="DECAA64A"/>
    <w:lvl w:ilvl="0" w:tplc="D12C1720">
      <w:start w:val="1"/>
      <w:numFmt w:val="upperLetter"/>
      <w:lvlText w:val="%1."/>
      <w:lvlJc w:val="left"/>
      <w:pPr>
        <w:ind w:left="684" w:hanging="567"/>
      </w:pPr>
      <w:rPr>
        <w:rFonts w:ascii="Times New Roman" w:eastAsia="Times New Roman" w:hAnsi="Times New Roman" w:hint="default"/>
        <w:b/>
        <w:bCs/>
        <w:spacing w:val="-2"/>
        <w:sz w:val="22"/>
        <w:szCs w:val="22"/>
      </w:rPr>
    </w:lvl>
    <w:lvl w:ilvl="1" w:tplc="86108BAA">
      <w:start w:val="1"/>
      <w:numFmt w:val="bullet"/>
      <w:lvlText w:val="•"/>
      <w:lvlJc w:val="left"/>
      <w:pPr>
        <w:ind w:left="1602" w:hanging="567"/>
      </w:pPr>
      <w:rPr>
        <w:rFonts w:hint="default"/>
      </w:rPr>
    </w:lvl>
    <w:lvl w:ilvl="2" w:tplc="868288B8">
      <w:start w:val="1"/>
      <w:numFmt w:val="bullet"/>
      <w:lvlText w:val="•"/>
      <w:lvlJc w:val="left"/>
      <w:pPr>
        <w:ind w:left="2520" w:hanging="567"/>
      </w:pPr>
      <w:rPr>
        <w:rFonts w:hint="default"/>
      </w:rPr>
    </w:lvl>
    <w:lvl w:ilvl="3" w:tplc="69BCB846">
      <w:start w:val="1"/>
      <w:numFmt w:val="bullet"/>
      <w:lvlText w:val="•"/>
      <w:lvlJc w:val="left"/>
      <w:pPr>
        <w:ind w:left="3438" w:hanging="567"/>
      </w:pPr>
      <w:rPr>
        <w:rFonts w:hint="default"/>
      </w:rPr>
    </w:lvl>
    <w:lvl w:ilvl="4" w:tplc="D8804A46">
      <w:start w:val="1"/>
      <w:numFmt w:val="bullet"/>
      <w:lvlText w:val="•"/>
      <w:lvlJc w:val="left"/>
      <w:pPr>
        <w:ind w:left="4356" w:hanging="567"/>
      </w:pPr>
      <w:rPr>
        <w:rFonts w:hint="default"/>
      </w:rPr>
    </w:lvl>
    <w:lvl w:ilvl="5" w:tplc="ECF87C06">
      <w:start w:val="1"/>
      <w:numFmt w:val="bullet"/>
      <w:lvlText w:val="•"/>
      <w:lvlJc w:val="left"/>
      <w:pPr>
        <w:ind w:left="5274" w:hanging="567"/>
      </w:pPr>
      <w:rPr>
        <w:rFonts w:hint="default"/>
      </w:rPr>
    </w:lvl>
    <w:lvl w:ilvl="6" w:tplc="7E02A8D2">
      <w:start w:val="1"/>
      <w:numFmt w:val="bullet"/>
      <w:lvlText w:val="•"/>
      <w:lvlJc w:val="left"/>
      <w:pPr>
        <w:ind w:left="6192" w:hanging="567"/>
      </w:pPr>
      <w:rPr>
        <w:rFonts w:hint="default"/>
      </w:rPr>
    </w:lvl>
    <w:lvl w:ilvl="7" w:tplc="31A862CC">
      <w:start w:val="1"/>
      <w:numFmt w:val="bullet"/>
      <w:lvlText w:val="•"/>
      <w:lvlJc w:val="left"/>
      <w:pPr>
        <w:ind w:left="7110" w:hanging="567"/>
      </w:pPr>
      <w:rPr>
        <w:rFonts w:hint="default"/>
      </w:rPr>
    </w:lvl>
    <w:lvl w:ilvl="8" w:tplc="AC8CE56A">
      <w:start w:val="1"/>
      <w:numFmt w:val="bullet"/>
      <w:lvlText w:val="•"/>
      <w:lvlJc w:val="left"/>
      <w:pPr>
        <w:ind w:left="8028" w:hanging="567"/>
      </w:pPr>
      <w:rPr>
        <w:rFonts w:hint="default"/>
      </w:rPr>
    </w:lvl>
  </w:abstractNum>
  <w:abstractNum w:abstractNumId="57" w15:restartNumberingAfterBreak="0">
    <w:nsid w:val="39D142EC"/>
    <w:multiLevelType w:val="hybridMultilevel"/>
    <w:tmpl w:val="4382519A"/>
    <w:lvl w:ilvl="0" w:tplc="EE6A023C">
      <w:start w:val="1"/>
      <w:numFmt w:val="bullet"/>
      <w:lvlText w:val=""/>
      <w:lvlJc w:val="left"/>
      <w:pPr>
        <w:ind w:left="758" w:hanging="540"/>
      </w:pPr>
      <w:rPr>
        <w:rFonts w:ascii="Symbol" w:eastAsia="Symbol" w:hAnsi="Symbol" w:hint="default"/>
        <w:sz w:val="22"/>
        <w:szCs w:val="22"/>
      </w:rPr>
    </w:lvl>
    <w:lvl w:ilvl="1" w:tplc="280CB684">
      <w:start w:val="1"/>
      <w:numFmt w:val="bullet"/>
      <w:lvlText w:val="•"/>
      <w:lvlJc w:val="left"/>
      <w:pPr>
        <w:ind w:left="1691" w:hanging="540"/>
      </w:pPr>
      <w:rPr>
        <w:rFonts w:hint="default"/>
      </w:rPr>
    </w:lvl>
    <w:lvl w:ilvl="2" w:tplc="9216EB36">
      <w:start w:val="1"/>
      <w:numFmt w:val="bullet"/>
      <w:lvlText w:val="•"/>
      <w:lvlJc w:val="left"/>
      <w:pPr>
        <w:ind w:left="2623" w:hanging="540"/>
      </w:pPr>
      <w:rPr>
        <w:rFonts w:hint="default"/>
      </w:rPr>
    </w:lvl>
    <w:lvl w:ilvl="3" w:tplc="2F043428">
      <w:start w:val="1"/>
      <w:numFmt w:val="bullet"/>
      <w:lvlText w:val="•"/>
      <w:lvlJc w:val="left"/>
      <w:pPr>
        <w:ind w:left="3556" w:hanging="540"/>
      </w:pPr>
      <w:rPr>
        <w:rFonts w:hint="default"/>
      </w:rPr>
    </w:lvl>
    <w:lvl w:ilvl="4" w:tplc="6F22D300">
      <w:start w:val="1"/>
      <w:numFmt w:val="bullet"/>
      <w:lvlText w:val="•"/>
      <w:lvlJc w:val="left"/>
      <w:pPr>
        <w:ind w:left="4488" w:hanging="540"/>
      </w:pPr>
      <w:rPr>
        <w:rFonts w:hint="default"/>
      </w:rPr>
    </w:lvl>
    <w:lvl w:ilvl="5" w:tplc="22626948">
      <w:start w:val="1"/>
      <w:numFmt w:val="bullet"/>
      <w:lvlText w:val="•"/>
      <w:lvlJc w:val="left"/>
      <w:pPr>
        <w:ind w:left="5421" w:hanging="540"/>
      </w:pPr>
      <w:rPr>
        <w:rFonts w:hint="default"/>
      </w:rPr>
    </w:lvl>
    <w:lvl w:ilvl="6" w:tplc="6C4C109A">
      <w:start w:val="1"/>
      <w:numFmt w:val="bullet"/>
      <w:lvlText w:val="•"/>
      <w:lvlJc w:val="left"/>
      <w:pPr>
        <w:ind w:left="6354" w:hanging="540"/>
      </w:pPr>
      <w:rPr>
        <w:rFonts w:hint="default"/>
      </w:rPr>
    </w:lvl>
    <w:lvl w:ilvl="7" w:tplc="61FA1F02">
      <w:start w:val="1"/>
      <w:numFmt w:val="bullet"/>
      <w:lvlText w:val="•"/>
      <w:lvlJc w:val="left"/>
      <w:pPr>
        <w:ind w:left="7286" w:hanging="540"/>
      </w:pPr>
      <w:rPr>
        <w:rFonts w:hint="default"/>
      </w:rPr>
    </w:lvl>
    <w:lvl w:ilvl="8" w:tplc="16BEDF54">
      <w:start w:val="1"/>
      <w:numFmt w:val="bullet"/>
      <w:lvlText w:val="•"/>
      <w:lvlJc w:val="left"/>
      <w:pPr>
        <w:ind w:left="8219" w:hanging="540"/>
      </w:pPr>
      <w:rPr>
        <w:rFonts w:hint="default"/>
      </w:rPr>
    </w:lvl>
  </w:abstractNum>
  <w:abstractNum w:abstractNumId="58" w15:restartNumberingAfterBreak="0">
    <w:nsid w:val="3A5C13F3"/>
    <w:multiLevelType w:val="multilevel"/>
    <w:tmpl w:val="4E42D23A"/>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jc w:val="right"/>
      </w:pPr>
      <w:rPr>
        <w:rFonts w:ascii="Times New Roman" w:eastAsia="Times New Roman" w:hAnsi="Times New Roman" w:hint="default"/>
        <w:b/>
        <w:bCs/>
        <w:sz w:val="22"/>
        <w:szCs w:val="22"/>
      </w:rPr>
    </w:lvl>
    <w:lvl w:ilvl="2">
      <w:start w:val="1"/>
      <w:numFmt w:val="bullet"/>
      <w:lvlText w:val=""/>
      <w:lvlJc w:val="left"/>
      <w:pPr>
        <w:ind w:left="958" w:hanging="360"/>
      </w:pPr>
      <w:rPr>
        <w:rFonts w:ascii="Symbol" w:eastAsia="Symbol" w:hAnsi="Symbol" w:hint="default"/>
        <w:sz w:val="22"/>
        <w:szCs w:val="22"/>
      </w:rPr>
    </w:lvl>
    <w:lvl w:ilvl="3">
      <w:start w:val="1"/>
      <w:numFmt w:val="bullet"/>
      <w:lvlText w:val="•"/>
      <w:lvlJc w:val="left"/>
      <w:pPr>
        <w:ind w:left="2061" w:hanging="360"/>
      </w:pPr>
      <w:rPr>
        <w:rFonts w:hint="default"/>
      </w:rPr>
    </w:lvl>
    <w:lvl w:ilvl="4">
      <w:start w:val="1"/>
      <w:numFmt w:val="bullet"/>
      <w:lvlText w:val="•"/>
      <w:lvlJc w:val="left"/>
      <w:pPr>
        <w:ind w:left="3164" w:hanging="360"/>
      </w:pPr>
      <w:rPr>
        <w:rFonts w:hint="default"/>
      </w:rPr>
    </w:lvl>
    <w:lvl w:ilvl="5">
      <w:start w:val="1"/>
      <w:numFmt w:val="bullet"/>
      <w:lvlText w:val="•"/>
      <w:lvlJc w:val="left"/>
      <w:pPr>
        <w:ind w:left="4268" w:hanging="360"/>
      </w:pPr>
      <w:rPr>
        <w:rFonts w:hint="default"/>
      </w:rPr>
    </w:lvl>
    <w:lvl w:ilvl="6">
      <w:start w:val="1"/>
      <w:numFmt w:val="bullet"/>
      <w:lvlText w:val="•"/>
      <w:lvlJc w:val="left"/>
      <w:pPr>
        <w:ind w:left="5371" w:hanging="360"/>
      </w:pPr>
      <w:rPr>
        <w:rFonts w:hint="default"/>
      </w:rPr>
    </w:lvl>
    <w:lvl w:ilvl="7">
      <w:start w:val="1"/>
      <w:numFmt w:val="bullet"/>
      <w:lvlText w:val="•"/>
      <w:lvlJc w:val="left"/>
      <w:pPr>
        <w:ind w:left="6474" w:hanging="360"/>
      </w:pPr>
      <w:rPr>
        <w:rFonts w:hint="default"/>
      </w:rPr>
    </w:lvl>
    <w:lvl w:ilvl="8">
      <w:start w:val="1"/>
      <w:numFmt w:val="bullet"/>
      <w:lvlText w:val="•"/>
      <w:lvlJc w:val="left"/>
      <w:pPr>
        <w:ind w:left="7577" w:hanging="360"/>
      </w:pPr>
      <w:rPr>
        <w:rFonts w:hint="default"/>
      </w:rPr>
    </w:lvl>
  </w:abstractNum>
  <w:abstractNum w:abstractNumId="59" w15:restartNumberingAfterBreak="0">
    <w:nsid w:val="3A675441"/>
    <w:multiLevelType w:val="hybridMultilevel"/>
    <w:tmpl w:val="F5EE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5B4EF0"/>
    <w:multiLevelType w:val="hybridMultilevel"/>
    <w:tmpl w:val="0E0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0D44CB"/>
    <w:multiLevelType w:val="hybridMultilevel"/>
    <w:tmpl w:val="E6E0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72760C"/>
    <w:multiLevelType w:val="hybridMultilevel"/>
    <w:tmpl w:val="193A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1F634E7"/>
    <w:multiLevelType w:val="hybridMultilevel"/>
    <w:tmpl w:val="5F9C65F6"/>
    <w:lvl w:ilvl="0" w:tplc="ECB44F54">
      <w:start w:val="1"/>
      <w:numFmt w:val="bullet"/>
      <w:lvlText w:val=""/>
      <w:lvlJc w:val="left"/>
      <w:pPr>
        <w:ind w:left="958" w:hanging="360"/>
      </w:pPr>
      <w:rPr>
        <w:rFonts w:ascii="Symbol" w:eastAsia="Symbol" w:hAnsi="Symbol" w:hint="default"/>
        <w:sz w:val="24"/>
        <w:szCs w:val="24"/>
      </w:rPr>
    </w:lvl>
    <w:lvl w:ilvl="1" w:tplc="AEE061A8">
      <w:start w:val="1"/>
      <w:numFmt w:val="bullet"/>
      <w:lvlText w:val="•"/>
      <w:lvlJc w:val="left"/>
      <w:pPr>
        <w:ind w:left="1873" w:hanging="360"/>
      </w:pPr>
      <w:rPr>
        <w:rFonts w:hint="default"/>
      </w:rPr>
    </w:lvl>
    <w:lvl w:ilvl="2" w:tplc="CB5C378A">
      <w:start w:val="1"/>
      <w:numFmt w:val="bullet"/>
      <w:lvlText w:val="•"/>
      <w:lvlJc w:val="left"/>
      <w:pPr>
        <w:ind w:left="2787" w:hanging="360"/>
      </w:pPr>
      <w:rPr>
        <w:rFonts w:hint="default"/>
      </w:rPr>
    </w:lvl>
    <w:lvl w:ilvl="3" w:tplc="02689B4C">
      <w:start w:val="1"/>
      <w:numFmt w:val="bullet"/>
      <w:lvlText w:val="•"/>
      <w:lvlJc w:val="left"/>
      <w:pPr>
        <w:ind w:left="3702" w:hanging="360"/>
      </w:pPr>
      <w:rPr>
        <w:rFonts w:hint="default"/>
      </w:rPr>
    </w:lvl>
    <w:lvl w:ilvl="4" w:tplc="319A5BB4">
      <w:start w:val="1"/>
      <w:numFmt w:val="bullet"/>
      <w:lvlText w:val="•"/>
      <w:lvlJc w:val="left"/>
      <w:pPr>
        <w:ind w:left="4616" w:hanging="360"/>
      </w:pPr>
      <w:rPr>
        <w:rFonts w:hint="default"/>
      </w:rPr>
    </w:lvl>
    <w:lvl w:ilvl="5" w:tplc="6ABE8340">
      <w:start w:val="1"/>
      <w:numFmt w:val="bullet"/>
      <w:lvlText w:val="•"/>
      <w:lvlJc w:val="left"/>
      <w:pPr>
        <w:ind w:left="5531" w:hanging="360"/>
      </w:pPr>
      <w:rPr>
        <w:rFonts w:hint="default"/>
      </w:rPr>
    </w:lvl>
    <w:lvl w:ilvl="6" w:tplc="A5C8579E">
      <w:start w:val="1"/>
      <w:numFmt w:val="bullet"/>
      <w:lvlText w:val="•"/>
      <w:lvlJc w:val="left"/>
      <w:pPr>
        <w:ind w:left="6446" w:hanging="360"/>
      </w:pPr>
      <w:rPr>
        <w:rFonts w:hint="default"/>
      </w:rPr>
    </w:lvl>
    <w:lvl w:ilvl="7" w:tplc="CCC89658">
      <w:start w:val="1"/>
      <w:numFmt w:val="bullet"/>
      <w:lvlText w:val="•"/>
      <w:lvlJc w:val="left"/>
      <w:pPr>
        <w:ind w:left="7360" w:hanging="360"/>
      </w:pPr>
      <w:rPr>
        <w:rFonts w:hint="default"/>
      </w:rPr>
    </w:lvl>
    <w:lvl w:ilvl="8" w:tplc="35BA7EA8">
      <w:start w:val="1"/>
      <w:numFmt w:val="bullet"/>
      <w:lvlText w:val="•"/>
      <w:lvlJc w:val="left"/>
      <w:pPr>
        <w:ind w:left="8275" w:hanging="360"/>
      </w:pPr>
      <w:rPr>
        <w:rFonts w:hint="default"/>
      </w:rPr>
    </w:lvl>
  </w:abstractNum>
  <w:abstractNum w:abstractNumId="64" w15:restartNumberingAfterBreak="0">
    <w:nsid w:val="44FD6B86"/>
    <w:multiLevelType w:val="hybridMultilevel"/>
    <w:tmpl w:val="979CE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5BD1CE7"/>
    <w:multiLevelType w:val="hybridMultilevel"/>
    <w:tmpl w:val="24CE6A36"/>
    <w:lvl w:ilvl="0" w:tplc="2D269300">
      <w:start w:val="1"/>
      <w:numFmt w:val="bullet"/>
      <w:lvlText w:val="◇"/>
      <w:lvlJc w:val="left"/>
      <w:pPr>
        <w:ind w:left="92" w:hanging="92"/>
      </w:pPr>
      <w:rPr>
        <w:rFonts w:ascii="Times New Roman" w:eastAsia="Times New Roman" w:hAnsi="Times New Roman" w:hint="default"/>
        <w:w w:val="49"/>
        <w:position w:val="6"/>
        <w:sz w:val="10"/>
        <w:szCs w:val="10"/>
      </w:rPr>
    </w:lvl>
    <w:lvl w:ilvl="1" w:tplc="0D583852">
      <w:start w:val="1"/>
      <w:numFmt w:val="bullet"/>
      <w:lvlText w:val="•"/>
      <w:lvlJc w:val="left"/>
      <w:pPr>
        <w:ind w:left="1079" w:hanging="92"/>
      </w:pPr>
      <w:rPr>
        <w:rFonts w:hint="default"/>
      </w:rPr>
    </w:lvl>
    <w:lvl w:ilvl="2" w:tplc="EE862F02">
      <w:start w:val="1"/>
      <w:numFmt w:val="bullet"/>
      <w:lvlText w:val="•"/>
      <w:lvlJc w:val="left"/>
      <w:pPr>
        <w:ind w:left="2065" w:hanging="92"/>
      </w:pPr>
      <w:rPr>
        <w:rFonts w:hint="default"/>
      </w:rPr>
    </w:lvl>
    <w:lvl w:ilvl="3" w:tplc="ACD29F9A">
      <w:start w:val="1"/>
      <w:numFmt w:val="bullet"/>
      <w:lvlText w:val="•"/>
      <w:lvlJc w:val="left"/>
      <w:pPr>
        <w:ind w:left="3052" w:hanging="92"/>
      </w:pPr>
      <w:rPr>
        <w:rFonts w:hint="default"/>
      </w:rPr>
    </w:lvl>
    <w:lvl w:ilvl="4" w:tplc="764A657C">
      <w:start w:val="1"/>
      <w:numFmt w:val="bullet"/>
      <w:lvlText w:val="•"/>
      <w:lvlJc w:val="left"/>
      <w:pPr>
        <w:ind w:left="4038" w:hanging="92"/>
      </w:pPr>
      <w:rPr>
        <w:rFonts w:hint="default"/>
      </w:rPr>
    </w:lvl>
    <w:lvl w:ilvl="5" w:tplc="D56E9780">
      <w:start w:val="1"/>
      <w:numFmt w:val="bullet"/>
      <w:lvlText w:val="•"/>
      <w:lvlJc w:val="left"/>
      <w:pPr>
        <w:ind w:left="5025" w:hanging="92"/>
      </w:pPr>
      <w:rPr>
        <w:rFonts w:hint="default"/>
      </w:rPr>
    </w:lvl>
    <w:lvl w:ilvl="6" w:tplc="AF888286">
      <w:start w:val="1"/>
      <w:numFmt w:val="bullet"/>
      <w:lvlText w:val="•"/>
      <w:lvlJc w:val="left"/>
      <w:pPr>
        <w:ind w:left="6012" w:hanging="92"/>
      </w:pPr>
      <w:rPr>
        <w:rFonts w:hint="default"/>
      </w:rPr>
    </w:lvl>
    <w:lvl w:ilvl="7" w:tplc="AED00922">
      <w:start w:val="1"/>
      <w:numFmt w:val="bullet"/>
      <w:lvlText w:val="•"/>
      <w:lvlJc w:val="left"/>
      <w:pPr>
        <w:ind w:left="6998" w:hanging="92"/>
      </w:pPr>
      <w:rPr>
        <w:rFonts w:hint="default"/>
      </w:rPr>
    </w:lvl>
    <w:lvl w:ilvl="8" w:tplc="A336F9E2">
      <w:start w:val="1"/>
      <w:numFmt w:val="bullet"/>
      <w:lvlText w:val="•"/>
      <w:lvlJc w:val="left"/>
      <w:pPr>
        <w:ind w:left="7985" w:hanging="92"/>
      </w:pPr>
      <w:rPr>
        <w:rFonts w:hint="default"/>
      </w:rPr>
    </w:lvl>
  </w:abstractNum>
  <w:abstractNum w:abstractNumId="66" w15:restartNumberingAfterBreak="0">
    <w:nsid w:val="463D512D"/>
    <w:multiLevelType w:val="hybridMultilevel"/>
    <w:tmpl w:val="DD42B4B2"/>
    <w:lvl w:ilvl="0" w:tplc="89F86892">
      <w:start w:val="7"/>
      <w:numFmt w:val="decimal"/>
      <w:lvlText w:val="%1."/>
      <w:lvlJc w:val="left"/>
      <w:pPr>
        <w:ind w:left="560" w:hanging="442"/>
      </w:pPr>
      <w:rPr>
        <w:rFonts w:ascii="Times New Roman" w:eastAsia="Times New Roman" w:hAnsi="Times New Roman" w:hint="default"/>
        <w:sz w:val="22"/>
        <w:szCs w:val="22"/>
      </w:rPr>
    </w:lvl>
    <w:lvl w:ilvl="1" w:tplc="1F3CA20A">
      <w:start w:val="1"/>
      <w:numFmt w:val="bullet"/>
      <w:lvlText w:val=""/>
      <w:lvlJc w:val="left"/>
      <w:pPr>
        <w:ind w:left="838" w:hanging="360"/>
      </w:pPr>
      <w:rPr>
        <w:rFonts w:ascii="Symbol" w:eastAsia="Symbol" w:hAnsi="Symbol" w:hint="default"/>
        <w:sz w:val="22"/>
        <w:szCs w:val="22"/>
      </w:rPr>
    </w:lvl>
    <w:lvl w:ilvl="2" w:tplc="E2567AF4">
      <w:start w:val="1"/>
      <w:numFmt w:val="bullet"/>
      <w:lvlText w:val="•"/>
      <w:lvlJc w:val="left"/>
      <w:pPr>
        <w:ind w:left="1841" w:hanging="360"/>
      </w:pPr>
      <w:rPr>
        <w:rFonts w:hint="default"/>
      </w:rPr>
    </w:lvl>
    <w:lvl w:ilvl="3" w:tplc="7CBCA91C">
      <w:start w:val="1"/>
      <w:numFmt w:val="bullet"/>
      <w:lvlText w:val="•"/>
      <w:lvlJc w:val="left"/>
      <w:pPr>
        <w:ind w:left="2844" w:hanging="360"/>
      </w:pPr>
      <w:rPr>
        <w:rFonts w:hint="default"/>
      </w:rPr>
    </w:lvl>
    <w:lvl w:ilvl="4" w:tplc="2F50A080">
      <w:start w:val="1"/>
      <w:numFmt w:val="bullet"/>
      <w:lvlText w:val="•"/>
      <w:lvlJc w:val="left"/>
      <w:pPr>
        <w:ind w:left="3847" w:hanging="360"/>
      </w:pPr>
      <w:rPr>
        <w:rFonts w:hint="default"/>
      </w:rPr>
    </w:lvl>
    <w:lvl w:ilvl="5" w:tplc="C328506E">
      <w:start w:val="1"/>
      <w:numFmt w:val="bullet"/>
      <w:lvlText w:val="•"/>
      <w:lvlJc w:val="left"/>
      <w:pPr>
        <w:ind w:left="4849" w:hanging="360"/>
      </w:pPr>
      <w:rPr>
        <w:rFonts w:hint="default"/>
      </w:rPr>
    </w:lvl>
    <w:lvl w:ilvl="6" w:tplc="EA00BC66">
      <w:start w:val="1"/>
      <w:numFmt w:val="bullet"/>
      <w:lvlText w:val="•"/>
      <w:lvlJc w:val="left"/>
      <w:pPr>
        <w:ind w:left="5852" w:hanging="360"/>
      </w:pPr>
      <w:rPr>
        <w:rFonts w:hint="default"/>
      </w:rPr>
    </w:lvl>
    <w:lvl w:ilvl="7" w:tplc="45CC10C6">
      <w:start w:val="1"/>
      <w:numFmt w:val="bullet"/>
      <w:lvlText w:val="•"/>
      <w:lvlJc w:val="left"/>
      <w:pPr>
        <w:ind w:left="6855" w:hanging="360"/>
      </w:pPr>
      <w:rPr>
        <w:rFonts w:hint="default"/>
      </w:rPr>
    </w:lvl>
    <w:lvl w:ilvl="8" w:tplc="E6D65DB8">
      <w:start w:val="1"/>
      <w:numFmt w:val="bullet"/>
      <w:lvlText w:val="•"/>
      <w:lvlJc w:val="left"/>
      <w:pPr>
        <w:ind w:left="7858" w:hanging="360"/>
      </w:pPr>
      <w:rPr>
        <w:rFonts w:hint="default"/>
      </w:rPr>
    </w:lvl>
  </w:abstractNum>
  <w:abstractNum w:abstractNumId="67" w15:restartNumberingAfterBreak="0">
    <w:nsid w:val="46BD73ED"/>
    <w:multiLevelType w:val="hybridMultilevel"/>
    <w:tmpl w:val="376A44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2A5968"/>
    <w:multiLevelType w:val="hybridMultilevel"/>
    <w:tmpl w:val="59C424EA"/>
    <w:lvl w:ilvl="0" w:tplc="795ACF5A">
      <w:start w:val="1"/>
      <w:numFmt w:val="bullet"/>
      <w:lvlText w:val=""/>
      <w:lvlJc w:val="left"/>
      <w:pPr>
        <w:ind w:left="958" w:hanging="360"/>
      </w:pPr>
      <w:rPr>
        <w:rFonts w:ascii="Symbol" w:eastAsia="Symbol" w:hAnsi="Symbol" w:hint="default"/>
        <w:sz w:val="22"/>
        <w:szCs w:val="22"/>
      </w:rPr>
    </w:lvl>
    <w:lvl w:ilvl="1" w:tplc="340E7750">
      <w:start w:val="1"/>
      <w:numFmt w:val="bullet"/>
      <w:lvlText w:val="•"/>
      <w:lvlJc w:val="left"/>
      <w:pPr>
        <w:ind w:left="1873" w:hanging="360"/>
      </w:pPr>
      <w:rPr>
        <w:rFonts w:hint="default"/>
      </w:rPr>
    </w:lvl>
    <w:lvl w:ilvl="2" w:tplc="C72A3A2E">
      <w:start w:val="1"/>
      <w:numFmt w:val="bullet"/>
      <w:lvlText w:val="•"/>
      <w:lvlJc w:val="left"/>
      <w:pPr>
        <w:ind w:left="2787" w:hanging="360"/>
      </w:pPr>
      <w:rPr>
        <w:rFonts w:hint="default"/>
      </w:rPr>
    </w:lvl>
    <w:lvl w:ilvl="3" w:tplc="64B6331E">
      <w:start w:val="1"/>
      <w:numFmt w:val="bullet"/>
      <w:lvlText w:val="•"/>
      <w:lvlJc w:val="left"/>
      <w:pPr>
        <w:ind w:left="3702" w:hanging="360"/>
      </w:pPr>
      <w:rPr>
        <w:rFonts w:hint="default"/>
      </w:rPr>
    </w:lvl>
    <w:lvl w:ilvl="4" w:tplc="76CE3926">
      <w:start w:val="1"/>
      <w:numFmt w:val="bullet"/>
      <w:lvlText w:val="•"/>
      <w:lvlJc w:val="left"/>
      <w:pPr>
        <w:ind w:left="4616" w:hanging="360"/>
      </w:pPr>
      <w:rPr>
        <w:rFonts w:hint="default"/>
      </w:rPr>
    </w:lvl>
    <w:lvl w:ilvl="5" w:tplc="F0A68FFA">
      <w:start w:val="1"/>
      <w:numFmt w:val="bullet"/>
      <w:lvlText w:val="•"/>
      <w:lvlJc w:val="left"/>
      <w:pPr>
        <w:ind w:left="5531" w:hanging="360"/>
      </w:pPr>
      <w:rPr>
        <w:rFonts w:hint="default"/>
      </w:rPr>
    </w:lvl>
    <w:lvl w:ilvl="6" w:tplc="0A7A6E88">
      <w:start w:val="1"/>
      <w:numFmt w:val="bullet"/>
      <w:lvlText w:val="•"/>
      <w:lvlJc w:val="left"/>
      <w:pPr>
        <w:ind w:left="6446" w:hanging="360"/>
      </w:pPr>
      <w:rPr>
        <w:rFonts w:hint="default"/>
      </w:rPr>
    </w:lvl>
    <w:lvl w:ilvl="7" w:tplc="DAA69538">
      <w:start w:val="1"/>
      <w:numFmt w:val="bullet"/>
      <w:lvlText w:val="•"/>
      <w:lvlJc w:val="left"/>
      <w:pPr>
        <w:ind w:left="7360" w:hanging="360"/>
      </w:pPr>
      <w:rPr>
        <w:rFonts w:hint="default"/>
      </w:rPr>
    </w:lvl>
    <w:lvl w:ilvl="8" w:tplc="1436DED0">
      <w:start w:val="1"/>
      <w:numFmt w:val="bullet"/>
      <w:lvlText w:val="•"/>
      <w:lvlJc w:val="left"/>
      <w:pPr>
        <w:ind w:left="8275" w:hanging="360"/>
      </w:pPr>
      <w:rPr>
        <w:rFonts w:hint="default"/>
      </w:rPr>
    </w:lvl>
  </w:abstractNum>
  <w:abstractNum w:abstractNumId="69" w15:restartNumberingAfterBreak="0">
    <w:nsid w:val="47A13DB2"/>
    <w:multiLevelType w:val="hybridMultilevel"/>
    <w:tmpl w:val="4A3A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9A6F38"/>
    <w:multiLevelType w:val="hybridMultilevel"/>
    <w:tmpl w:val="E5B26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CE1509"/>
    <w:multiLevelType w:val="multilevel"/>
    <w:tmpl w:val="64BCFCBC"/>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38" w:hanging="360"/>
      </w:pPr>
      <w:rPr>
        <w:rFonts w:ascii="Symbol" w:eastAsia="Symbol" w:hAnsi="Symbol" w:hint="default"/>
        <w:sz w:val="22"/>
        <w:szCs w:val="22"/>
      </w:rPr>
    </w:lvl>
    <w:lvl w:ilvl="3">
      <w:start w:val="1"/>
      <w:numFmt w:val="bullet"/>
      <w:lvlText w:val=""/>
      <w:lvlJc w:val="left"/>
      <w:pPr>
        <w:ind w:left="958" w:hanging="360"/>
      </w:pPr>
      <w:rPr>
        <w:rFonts w:ascii="Symbol" w:eastAsia="Symbol" w:hAnsi="Symbol" w:hint="default"/>
        <w:sz w:val="24"/>
        <w:szCs w:val="24"/>
      </w:rPr>
    </w:lvl>
    <w:lvl w:ilvl="4">
      <w:start w:val="1"/>
      <w:numFmt w:val="bullet"/>
      <w:lvlText w:val="•"/>
      <w:lvlJc w:val="left"/>
      <w:pPr>
        <w:ind w:left="878" w:hanging="360"/>
      </w:pPr>
      <w:rPr>
        <w:rFonts w:hint="default"/>
      </w:rPr>
    </w:lvl>
    <w:lvl w:ilvl="5">
      <w:start w:val="1"/>
      <w:numFmt w:val="bullet"/>
      <w:lvlText w:val="•"/>
      <w:lvlJc w:val="left"/>
      <w:pPr>
        <w:ind w:left="958" w:hanging="360"/>
      </w:pPr>
      <w:rPr>
        <w:rFonts w:hint="default"/>
      </w:rPr>
    </w:lvl>
    <w:lvl w:ilvl="6">
      <w:start w:val="1"/>
      <w:numFmt w:val="bullet"/>
      <w:lvlText w:val="•"/>
      <w:lvlJc w:val="left"/>
      <w:pPr>
        <w:ind w:left="2723" w:hanging="360"/>
      </w:pPr>
      <w:rPr>
        <w:rFonts w:hint="default"/>
      </w:rPr>
    </w:lvl>
    <w:lvl w:ilvl="7">
      <w:start w:val="1"/>
      <w:numFmt w:val="bullet"/>
      <w:lvlText w:val="•"/>
      <w:lvlJc w:val="left"/>
      <w:pPr>
        <w:ind w:left="4488" w:hanging="360"/>
      </w:pPr>
      <w:rPr>
        <w:rFonts w:hint="default"/>
      </w:rPr>
    </w:lvl>
    <w:lvl w:ilvl="8">
      <w:start w:val="1"/>
      <w:numFmt w:val="bullet"/>
      <w:lvlText w:val="•"/>
      <w:lvlJc w:val="left"/>
      <w:pPr>
        <w:ind w:left="6254" w:hanging="360"/>
      </w:pPr>
      <w:rPr>
        <w:rFonts w:hint="default"/>
      </w:rPr>
    </w:lvl>
  </w:abstractNum>
  <w:abstractNum w:abstractNumId="72" w15:restartNumberingAfterBreak="0">
    <w:nsid w:val="4D8070AA"/>
    <w:multiLevelType w:val="hybridMultilevel"/>
    <w:tmpl w:val="EB26BD5C"/>
    <w:lvl w:ilvl="0" w:tplc="E1EA8CBE">
      <w:start w:val="1"/>
      <w:numFmt w:val="bullet"/>
      <w:lvlText w:val=""/>
      <w:lvlJc w:val="left"/>
      <w:pPr>
        <w:ind w:left="784" w:hanging="567"/>
      </w:pPr>
      <w:rPr>
        <w:rFonts w:ascii="Symbol" w:eastAsia="Symbol" w:hAnsi="Symbol" w:hint="default"/>
        <w:sz w:val="22"/>
        <w:szCs w:val="22"/>
      </w:rPr>
    </w:lvl>
    <w:lvl w:ilvl="1" w:tplc="CE72849E">
      <w:start w:val="1"/>
      <w:numFmt w:val="bullet"/>
      <w:lvlText w:val="•"/>
      <w:lvlJc w:val="left"/>
      <w:pPr>
        <w:ind w:left="1714" w:hanging="567"/>
      </w:pPr>
      <w:rPr>
        <w:rFonts w:hint="default"/>
      </w:rPr>
    </w:lvl>
    <w:lvl w:ilvl="2" w:tplc="492EC0CA">
      <w:start w:val="1"/>
      <w:numFmt w:val="bullet"/>
      <w:lvlText w:val="•"/>
      <w:lvlJc w:val="left"/>
      <w:pPr>
        <w:ind w:left="2644" w:hanging="567"/>
      </w:pPr>
      <w:rPr>
        <w:rFonts w:hint="default"/>
      </w:rPr>
    </w:lvl>
    <w:lvl w:ilvl="3" w:tplc="BB100CB0">
      <w:start w:val="1"/>
      <w:numFmt w:val="bullet"/>
      <w:lvlText w:val="•"/>
      <w:lvlJc w:val="left"/>
      <w:pPr>
        <w:ind w:left="3574" w:hanging="567"/>
      </w:pPr>
      <w:rPr>
        <w:rFonts w:hint="default"/>
      </w:rPr>
    </w:lvl>
    <w:lvl w:ilvl="4" w:tplc="26F87DE4">
      <w:start w:val="1"/>
      <w:numFmt w:val="bullet"/>
      <w:lvlText w:val="•"/>
      <w:lvlJc w:val="left"/>
      <w:pPr>
        <w:ind w:left="4504" w:hanging="567"/>
      </w:pPr>
      <w:rPr>
        <w:rFonts w:hint="default"/>
      </w:rPr>
    </w:lvl>
    <w:lvl w:ilvl="5" w:tplc="394CA36E">
      <w:start w:val="1"/>
      <w:numFmt w:val="bullet"/>
      <w:lvlText w:val="•"/>
      <w:lvlJc w:val="left"/>
      <w:pPr>
        <w:ind w:left="5434" w:hanging="567"/>
      </w:pPr>
      <w:rPr>
        <w:rFonts w:hint="default"/>
      </w:rPr>
    </w:lvl>
    <w:lvl w:ilvl="6" w:tplc="1A742B80">
      <w:start w:val="1"/>
      <w:numFmt w:val="bullet"/>
      <w:lvlText w:val="•"/>
      <w:lvlJc w:val="left"/>
      <w:pPr>
        <w:ind w:left="6364" w:hanging="567"/>
      </w:pPr>
      <w:rPr>
        <w:rFonts w:hint="default"/>
      </w:rPr>
    </w:lvl>
    <w:lvl w:ilvl="7" w:tplc="4684B2AA">
      <w:start w:val="1"/>
      <w:numFmt w:val="bullet"/>
      <w:lvlText w:val="•"/>
      <w:lvlJc w:val="left"/>
      <w:pPr>
        <w:ind w:left="7294" w:hanging="567"/>
      </w:pPr>
      <w:rPr>
        <w:rFonts w:hint="default"/>
      </w:rPr>
    </w:lvl>
    <w:lvl w:ilvl="8" w:tplc="C34EFC58">
      <w:start w:val="1"/>
      <w:numFmt w:val="bullet"/>
      <w:lvlText w:val="•"/>
      <w:lvlJc w:val="left"/>
      <w:pPr>
        <w:ind w:left="8224" w:hanging="567"/>
      </w:pPr>
      <w:rPr>
        <w:rFonts w:hint="default"/>
      </w:rPr>
    </w:lvl>
  </w:abstractNum>
  <w:abstractNum w:abstractNumId="73" w15:restartNumberingAfterBreak="0">
    <w:nsid w:val="4DFD347D"/>
    <w:multiLevelType w:val="hybridMultilevel"/>
    <w:tmpl w:val="AAD89840"/>
    <w:lvl w:ilvl="0" w:tplc="571AECB8">
      <w:numFmt w:val="bullet"/>
      <w:lvlText w:val=""/>
      <w:lvlJc w:val="left"/>
      <w:pPr>
        <w:ind w:left="778" w:hanging="428"/>
      </w:pPr>
      <w:rPr>
        <w:rFonts w:hint="default"/>
        <w:w w:val="100"/>
        <w:lang w:val="en-US" w:eastAsia="en-US" w:bidi="en-US"/>
      </w:rPr>
    </w:lvl>
    <w:lvl w:ilvl="1" w:tplc="D7BABC9A">
      <w:numFmt w:val="bullet"/>
      <w:lvlText w:val=""/>
      <w:lvlJc w:val="left"/>
      <w:pPr>
        <w:ind w:left="951" w:hanging="355"/>
      </w:pPr>
      <w:rPr>
        <w:rFonts w:ascii="Symbol" w:eastAsia="Symbol" w:hAnsi="Symbol" w:cs="Symbol" w:hint="default"/>
        <w:w w:val="101"/>
        <w:sz w:val="22"/>
        <w:szCs w:val="22"/>
        <w:lang w:val="en-US" w:eastAsia="en-US" w:bidi="en-US"/>
      </w:rPr>
    </w:lvl>
    <w:lvl w:ilvl="2" w:tplc="E80CA7C6">
      <w:numFmt w:val="bullet"/>
      <w:lvlText w:val="•"/>
      <w:lvlJc w:val="left"/>
      <w:pPr>
        <w:ind w:left="1978" w:hanging="355"/>
      </w:pPr>
      <w:rPr>
        <w:rFonts w:hint="default"/>
        <w:lang w:val="en-US" w:eastAsia="en-US" w:bidi="en-US"/>
      </w:rPr>
    </w:lvl>
    <w:lvl w:ilvl="3" w:tplc="C4069A22">
      <w:numFmt w:val="bullet"/>
      <w:lvlText w:val="•"/>
      <w:lvlJc w:val="left"/>
      <w:pPr>
        <w:ind w:left="2996" w:hanging="355"/>
      </w:pPr>
      <w:rPr>
        <w:rFonts w:hint="default"/>
        <w:lang w:val="en-US" w:eastAsia="en-US" w:bidi="en-US"/>
      </w:rPr>
    </w:lvl>
    <w:lvl w:ilvl="4" w:tplc="73E23AE0">
      <w:numFmt w:val="bullet"/>
      <w:lvlText w:val="•"/>
      <w:lvlJc w:val="left"/>
      <w:pPr>
        <w:ind w:left="4014" w:hanging="355"/>
      </w:pPr>
      <w:rPr>
        <w:rFonts w:hint="default"/>
        <w:lang w:val="en-US" w:eastAsia="en-US" w:bidi="en-US"/>
      </w:rPr>
    </w:lvl>
    <w:lvl w:ilvl="5" w:tplc="24ECE184">
      <w:numFmt w:val="bullet"/>
      <w:lvlText w:val="•"/>
      <w:lvlJc w:val="left"/>
      <w:pPr>
        <w:ind w:left="5033" w:hanging="355"/>
      </w:pPr>
      <w:rPr>
        <w:rFonts w:hint="default"/>
        <w:lang w:val="en-US" w:eastAsia="en-US" w:bidi="en-US"/>
      </w:rPr>
    </w:lvl>
    <w:lvl w:ilvl="6" w:tplc="4B2AE49C">
      <w:numFmt w:val="bullet"/>
      <w:lvlText w:val="•"/>
      <w:lvlJc w:val="left"/>
      <w:pPr>
        <w:ind w:left="6051" w:hanging="355"/>
      </w:pPr>
      <w:rPr>
        <w:rFonts w:hint="default"/>
        <w:lang w:val="en-US" w:eastAsia="en-US" w:bidi="en-US"/>
      </w:rPr>
    </w:lvl>
    <w:lvl w:ilvl="7" w:tplc="D16A73BC">
      <w:numFmt w:val="bullet"/>
      <w:lvlText w:val="•"/>
      <w:lvlJc w:val="left"/>
      <w:pPr>
        <w:ind w:left="7069" w:hanging="355"/>
      </w:pPr>
      <w:rPr>
        <w:rFonts w:hint="default"/>
        <w:lang w:val="en-US" w:eastAsia="en-US" w:bidi="en-US"/>
      </w:rPr>
    </w:lvl>
    <w:lvl w:ilvl="8" w:tplc="9392D218">
      <w:numFmt w:val="bullet"/>
      <w:lvlText w:val="•"/>
      <w:lvlJc w:val="left"/>
      <w:pPr>
        <w:ind w:left="8087" w:hanging="355"/>
      </w:pPr>
      <w:rPr>
        <w:rFonts w:hint="default"/>
        <w:lang w:val="en-US" w:eastAsia="en-US" w:bidi="en-US"/>
      </w:rPr>
    </w:lvl>
  </w:abstractNum>
  <w:abstractNum w:abstractNumId="74" w15:restartNumberingAfterBreak="0">
    <w:nsid w:val="4E7E0F2C"/>
    <w:multiLevelType w:val="multilevel"/>
    <w:tmpl w:val="B3F68CE2"/>
    <w:lvl w:ilvl="0">
      <w:start w:val="1"/>
      <w:numFmt w:val="decimal"/>
      <w:lvlText w:val="%1"/>
      <w:lvlJc w:val="left"/>
      <w:pPr>
        <w:ind w:left="560" w:hanging="442"/>
      </w:pPr>
      <w:rPr>
        <w:rFonts w:hint="default"/>
      </w:rPr>
    </w:lvl>
    <w:lvl w:ilvl="1">
      <w:start w:val="60"/>
      <w:numFmt w:val="decimal"/>
      <w:lvlText w:val="%1.%2"/>
      <w:lvlJc w:val="left"/>
      <w:pPr>
        <w:ind w:left="560" w:hanging="442"/>
      </w:pPr>
      <w:rPr>
        <w:rFonts w:ascii="Times New Roman" w:eastAsia="Times New Roman" w:hAnsi="Times New Roman" w:hint="default"/>
        <w:sz w:val="22"/>
        <w:szCs w:val="22"/>
      </w:rPr>
    </w:lvl>
    <w:lvl w:ilvl="2">
      <w:start w:val="1"/>
      <w:numFmt w:val="bullet"/>
      <w:lvlText w:val=""/>
      <w:lvlJc w:val="left"/>
      <w:pPr>
        <w:ind w:left="838" w:hanging="360"/>
      </w:pPr>
      <w:rPr>
        <w:rFonts w:ascii="Symbol" w:eastAsia="Symbol" w:hAnsi="Symbol" w:hint="default"/>
        <w:sz w:val="22"/>
        <w:szCs w:val="22"/>
      </w:rPr>
    </w:lvl>
    <w:lvl w:ilvl="3">
      <w:start w:val="1"/>
      <w:numFmt w:val="bullet"/>
      <w:lvlText w:val="•"/>
      <w:lvlJc w:val="left"/>
      <w:pPr>
        <w:ind w:left="2844" w:hanging="360"/>
      </w:pPr>
      <w:rPr>
        <w:rFonts w:hint="default"/>
      </w:rPr>
    </w:lvl>
    <w:lvl w:ilvl="4">
      <w:start w:val="1"/>
      <w:numFmt w:val="bullet"/>
      <w:lvlText w:val="•"/>
      <w:lvlJc w:val="left"/>
      <w:pPr>
        <w:ind w:left="3847" w:hanging="360"/>
      </w:pPr>
      <w:rPr>
        <w:rFonts w:hint="default"/>
      </w:rPr>
    </w:lvl>
    <w:lvl w:ilvl="5">
      <w:start w:val="1"/>
      <w:numFmt w:val="bullet"/>
      <w:lvlText w:val="•"/>
      <w:lvlJc w:val="left"/>
      <w:pPr>
        <w:ind w:left="4849" w:hanging="360"/>
      </w:pPr>
      <w:rPr>
        <w:rFonts w:hint="default"/>
      </w:rPr>
    </w:lvl>
    <w:lvl w:ilvl="6">
      <w:start w:val="1"/>
      <w:numFmt w:val="bullet"/>
      <w:lvlText w:val="•"/>
      <w:lvlJc w:val="left"/>
      <w:pPr>
        <w:ind w:left="5852" w:hanging="360"/>
      </w:pPr>
      <w:rPr>
        <w:rFonts w:hint="default"/>
      </w:rPr>
    </w:lvl>
    <w:lvl w:ilvl="7">
      <w:start w:val="1"/>
      <w:numFmt w:val="bullet"/>
      <w:lvlText w:val="•"/>
      <w:lvlJc w:val="left"/>
      <w:pPr>
        <w:ind w:left="6855" w:hanging="360"/>
      </w:pPr>
      <w:rPr>
        <w:rFonts w:hint="default"/>
      </w:rPr>
    </w:lvl>
    <w:lvl w:ilvl="8">
      <w:start w:val="1"/>
      <w:numFmt w:val="bullet"/>
      <w:lvlText w:val="•"/>
      <w:lvlJc w:val="left"/>
      <w:pPr>
        <w:ind w:left="7858" w:hanging="360"/>
      </w:pPr>
      <w:rPr>
        <w:rFonts w:hint="default"/>
      </w:rPr>
    </w:lvl>
  </w:abstractNum>
  <w:abstractNum w:abstractNumId="75" w15:restartNumberingAfterBreak="0">
    <w:nsid w:val="4F361C9E"/>
    <w:multiLevelType w:val="hybridMultilevel"/>
    <w:tmpl w:val="2390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404A7A"/>
    <w:multiLevelType w:val="hybridMultilevel"/>
    <w:tmpl w:val="D3BEA63E"/>
    <w:lvl w:ilvl="0" w:tplc="2D64BD38">
      <w:start w:val="3"/>
      <w:numFmt w:val="decimal"/>
      <w:lvlText w:val="%1-"/>
      <w:lvlJc w:val="left"/>
      <w:pPr>
        <w:ind w:left="118" w:hanging="181"/>
      </w:pPr>
      <w:rPr>
        <w:rFonts w:ascii="Times New Roman" w:eastAsia="Times New Roman" w:hAnsi="Times New Roman" w:hint="default"/>
        <w:sz w:val="22"/>
        <w:szCs w:val="22"/>
      </w:rPr>
    </w:lvl>
    <w:lvl w:ilvl="1" w:tplc="93941ACE">
      <w:start w:val="1"/>
      <w:numFmt w:val="bullet"/>
      <w:lvlText w:val=""/>
      <w:lvlJc w:val="left"/>
      <w:pPr>
        <w:ind w:left="938" w:hanging="360"/>
      </w:pPr>
      <w:rPr>
        <w:rFonts w:ascii="Symbol" w:eastAsia="Symbol" w:hAnsi="Symbol" w:hint="default"/>
        <w:sz w:val="22"/>
        <w:szCs w:val="22"/>
      </w:rPr>
    </w:lvl>
    <w:lvl w:ilvl="2" w:tplc="CC685482">
      <w:start w:val="1"/>
      <w:numFmt w:val="bullet"/>
      <w:lvlText w:val="•"/>
      <w:lvlJc w:val="left"/>
      <w:pPr>
        <w:ind w:left="1932" w:hanging="360"/>
      </w:pPr>
      <w:rPr>
        <w:rFonts w:hint="default"/>
      </w:rPr>
    </w:lvl>
    <w:lvl w:ilvl="3" w:tplc="81924D0A">
      <w:start w:val="1"/>
      <w:numFmt w:val="bullet"/>
      <w:lvlText w:val="•"/>
      <w:lvlJc w:val="left"/>
      <w:pPr>
        <w:ind w:left="2926" w:hanging="360"/>
      </w:pPr>
      <w:rPr>
        <w:rFonts w:hint="default"/>
      </w:rPr>
    </w:lvl>
    <w:lvl w:ilvl="4" w:tplc="E83E3946">
      <w:start w:val="1"/>
      <w:numFmt w:val="bullet"/>
      <w:lvlText w:val="•"/>
      <w:lvlJc w:val="left"/>
      <w:pPr>
        <w:ind w:left="3920" w:hanging="360"/>
      </w:pPr>
      <w:rPr>
        <w:rFonts w:hint="default"/>
      </w:rPr>
    </w:lvl>
    <w:lvl w:ilvl="5" w:tplc="ADBECF72">
      <w:start w:val="1"/>
      <w:numFmt w:val="bullet"/>
      <w:lvlText w:val="•"/>
      <w:lvlJc w:val="left"/>
      <w:pPr>
        <w:ind w:left="4914" w:hanging="360"/>
      </w:pPr>
      <w:rPr>
        <w:rFonts w:hint="default"/>
      </w:rPr>
    </w:lvl>
    <w:lvl w:ilvl="6" w:tplc="C4C68CA2">
      <w:start w:val="1"/>
      <w:numFmt w:val="bullet"/>
      <w:lvlText w:val="•"/>
      <w:lvlJc w:val="left"/>
      <w:pPr>
        <w:ind w:left="5908" w:hanging="360"/>
      </w:pPr>
      <w:rPr>
        <w:rFonts w:hint="default"/>
      </w:rPr>
    </w:lvl>
    <w:lvl w:ilvl="7" w:tplc="BE2297B8">
      <w:start w:val="1"/>
      <w:numFmt w:val="bullet"/>
      <w:lvlText w:val="•"/>
      <w:lvlJc w:val="left"/>
      <w:pPr>
        <w:ind w:left="6902" w:hanging="360"/>
      </w:pPr>
      <w:rPr>
        <w:rFonts w:hint="default"/>
      </w:rPr>
    </w:lvl>
    <w:lvl w:ilvl="8" w:tplc="DC46F7D2">
      <w:start w:val="1"/>
      <w:numFmt w:val="bullet"/>
      <w:lvlText w:val="•"/>
      <w:lvlJc w:val="left"/>
      <w:pPr>
        <w:ind w:left="7896" w:hanging="360"/>
      </w:pPr>
      <w:rPr>
        <w:rFonts w:hint="default"/>
      </w:rPr>
    </w:lvl>
  </w:abstractNum>
  <w:abstractNum w:abstractNumId="77" w15:restartNumberingAfterBreak="0">
    <w:nsid w:val="51EF09F1"/>
    <w:multiLevelType w:val="hybridMultilevel"/>
    <w:tmpl w:val="08483266"/>
    <w:lvl w:ilvl="0" w:tplc="D9647738">
      <w:start w:val="1"/>
      <w:numFmt w:val="decimal"/>
      <w:lvlText w:val="%1."/>
      <w:lvlJc w:val="left"/>
      <w:pPr>
        <w:ind w:left="684" w:hanging="567"/>
      </w:pPr>
      <w:rPr>
        <w:rFonts w:ascii="Times New Roman" w:eastAsia="Times New Roman" w:hAnsi="Times New Roman" w:hint="default"/>
        <w:sz w:val="22"/>
        <w:szCs w:val="22"/>
      </w:rPr>
    </w:lvl>
    <w:lvl w:ilvl="1" w:tplc="FFDC588E">
      <w:start w:val="1"/>
      <w:numFmt w:val="bullet"/>
      <w:lvlText w:val="•"/>
      <w:lvlJc w:val="left"/>
      <w:pPr>
        <w:ind w:left="1600" w:hanging="567"/>
      </w:pPr>
      <w:rPr>
        <w:rFonts w:hint="default"/>
      </w:rPr>
    </w:lvl>
    <w:lvl w:ilvl="2" w:tplc="A66E528A">
      <w:start w:val="1"/>
      <w:numFmt w:val="bullet"/>
      <w:lvlText w:val="•"/>
      <w:lvlJc w:val="left"/>
      <w:pPr>
        <w:ind w:left="2516" w:hanging="567"/>
      </w:pPr>
      <w:rPr>
        <w:rFonts w:hint="default"/>
      </w:rPr>
    </w:lvl>
    <w:lvl w:ilvl="3" w:tplc="0FDE2424">
      <w:start w:val="1"/>
      <w:numFmt w:val="bullet"/>
      <w:lvlText w:val="•"/>
      <w:lvlJc w:val="left"/>
      <w:pPr>
        <w:ind w:left="3432" w:hanging="567"/>
      </w:pPr>
      <w:rPr>
        <w:rFonts w:hint="default"/>
      </w:rPr>
    </w:lvl>
    <w:lvl w:ilvl="4" w:tplc="CC02E876">
      <w:start w:val="1"/>
      <w:numFmt w:val="bullet"/>
      <w:lvlText w:val="•"/>
      <w:lvlJc w:val="left"/>
      <w:pPr>
        <w:ind w:left="4348" w:hanging="567"/>
      </w:pPr>
      <w:rPr>
        <w:rFonts w:hint="default"/>
      </w:rPr>
    </w:lvl>
    <w:lvl w:ilvl="5" w:tplc="A29E3720">
      <w:start w:val="1"/>
      <w:numFmt w:val="bullet"/>
      <w:lvlText w:val="•"/>
      <w:lvlJc w:val="left"/>
      <w:pPr>
        <w:ind w:left="5264" w:hanging="567"/>
      </w:pPr>
      <w:rPr>
        <w:rFonts w:hint="default"/>
      </w:rPr>
    </w:lvl>
    <w:lvl w:ilvl="6" w:tplc="18A009FE">
      <w:start w:val="1"/>
      <w:numFmt w:val="bullet"/>
      <w:lvlText w:val="•"/>
      <w:lvlJc w:val="left"/>
      <w:pPr>
        <w:ind w:left="6180" w:hanging="567"/>
      </w:pPr>
      <w:rPr>
        <w:rFonts w:hint="default"/>
      </w:rPr>
    </w:lvl>
    <w:lvl w:ilvl="7" w:tplc="C0FE5EF8">
      <w:start w:val="1"/>
      <w:numFmt w:val="bullet"/>
      <w:lvlText w:val="•"/>
      <w:lvlJc w:val="left"/>
      <w:pPr>
        <w:ind w:left="7096" w:hanging="567"/>
      </w:pPr>
      <w:rPr>
        <w:rFonts w:hint="default"/>
      </w:rPr>
    </w:lvl>
    <w:lvl w:ilvl="8" w:tplc="E53EF990">
      <w:start w:val="1"/>
      <w:numFmt w:val="bullet"/>
      <w:lvlText w:val="•"/>
      <w:lvlJc w:val="left"/>
      <w:pPr>
        <w:ind w:left="8012" w:hanging="567"/>
      </w:pPr>
      <w:rPr>
        <w:rFonts w:hint="default"/>
      </w:rPr>
    </w:lvl>
  </w:abstractNum>
  <w:abstractNum w:abstractNumId="78" w15:restartNumberingAfterBreak="0">
    <w:nsid w:val="54661A90"/>
    <w:multiLevelType w:val="hybridMultilevel"/>
    <w:tmpl w:val="83B64A6A"/>
    <w:lvl w:ilvl="0" w:tplc="BCE2AEA6">
      <w:start w:val="1"/>
      <w:numFmt w:val="decimal"/>
      <w:lvlRestart w:val="0"/>
      <w:pStyle w:val="ListNumber4"/>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9" w15:restartNumberingAfterBreak="0">
    <w:nsid w:val="55CF2FD2"/>
    <w:multiLevelType w:val="hybridMultilevel"/>
    <w:tmpl w:val="98124EBA"/>
    <w:lvl w:ilvl="0" w:tplc="863C37BC">
      <w:start w:val="1"/>
      <w:numFmt w:val="bullet"/>
      <w:lvlText w:val="-"/>
      <w:lvlJc w:val="left"/>
      <w:pPr>
        <w:ind w:left="684" w:hanging="567"/>
      </w:pPr>
      <w:rPr>
        <w:rFonts w:ascii="Times New Roman" w:eastAsia="Times New Roman" w:hAnsi="Times New Roman" w:hint="default"/>
        <w:sz w:val="22"/>
        <w:szCs w:val="22"/>
      </w:rPr>
    </w:lvl>
    <w:lvl w:ilvl="1" w:tplc="91029E64">
      <w:start w:val="1"/>
      <w:numFmt w:val="bullet"/>
      <w:lvlText w:val="•"/>
      <w:lvlJc w:val="left"/>
      <w:pPr>
        <w:ind w:left="1600" w:hanging="567"/>
      </w:pPr>
      <w:rPr>
        <w:rFonts w:hint="default"/>
      </w:rPr>
    </w:lvl>
    <w:lvl w:ilvl="2" w:tplc="FE1E5DEE">
      <w:start w:val="1"/>
      <w:numFmt w:val="bullet"/>
      <w:lvlText w:val="•"/>
      <w:lvlJc w:val="left"/>
      <w:pPr>
        <w:ind w:left="2516" w:hanging="567"/>
      </w:pPr>
      <w:rPr>
        <w:rFonts w:hint="default"/>
      </w:rPr>
    </w:lvl>
    <w:lvl w:ilvl="3" w:tplc="DFD206D8">
      <w:start w:val="1"/>
      <w:numFmt w:val="bullet"/>
      <w:lvlText w:val="•"/>
      <w:lvlJc w:val="left"/>
      <w:pPr>
        <w:ind w:left="3432" w:hanging="567"/>
      </w:pPr>
      <w:rPr>
        <w:rFonts w:hint="default"/>
      </w:rPr>
    </w:lvl>
    <w:lvl w:ilvl="4" w:tplc="CE4E3266">
      <w:start w:val="1"/>
      <w:numFmt w:val="bullet"/>
      <w:lvlText w:val="•"/>
      <w:lvlJc w:val="left"/>
      <w:pPr>
        <w:ind w:left="4348" w:hanging="567"/>
      </w:pPr>
      <w:rPr>
        <w:rFonts w:hint="default"/>
      </w:rPr>
    </w:lvl>
    <w:lvl w:ilvl="5" w:tplc="D09A50BC">
      <w:start w:val="1"/>
      <w:numFmt w:val="bullet"/>
      <w:lvlText w:val="•"/>
      <w:lvlJc w:val="left"/>
      <w:pPr>
        <w:ind w:left="5264" w:hanging="567"/>
      </w:pPr>
      <w:rPr>
        <w:rFonts w:hint="default"/>
      </w:rPr>
    </w:lvl>
    <w:lvl w:ilvl="6" w:tplc="CA0A99CC">
      <w:start w:val="1"/>
      <w:numFmt w:val="bullet"/>
      <w:lvlText w:val="•"/>
      <w:lvlJc w:val="left"/>
      <w:pPr>
        <w:ind w:left="6180" w:hanging="567"/>
      </w:pPr>
      <w:rPr>
        <w:rFonts w:hint="default"/>
      </w:rPr>
    </w:lvl>
    <w:lvl w:ilvl="7" w:tplc="A7BE8F26">
      <w:start w:val="1"/>
      <w:numFmt w:val="bullet"/>
      <w:lvlText w:val="•"/>
      <w:lvlJc w:val="left"/>
      <w:pPr>
        <w:ind w:left="7096" w:hanging="567"/>
      </w:pPr>
      <w:rPr>
        <w:rFonts w:hint="default"/>
      </w:rPr>
    </w:lvl>
    <w:lvl w:ilvl="8" w:tplc="0EAA1210">
      <w:start w:val="1"/>
      <w:numFmt w:val="bullet"/>
      <w:lvlText w:val="•"/>
      <w:lvlJc w:val="left"/>
      <w:pPr>
        <w:ind w:left="8012" w:hanging="567"/>
      </w:pPr>
      <w:rPr>
        <w:rFonts w:hint="default"/>
      </w:rPr>
    </w:lvl>
  </w:abstractNum>
  <w:abstractNum w:abstractNumId="80" w15:restartNumberingAfterBreak="0">
    <w:nsid w:val="56066BF0"/>
    <w:multiLevelType w:val="hybridMultilevel"/>
    <w:tmpl w:val="2530E978"/>
    <w:lvl w:ilvl="0" w:tplc="DAB8587A">
      <w:start w:val="1"/>
      <w:numFmt w:val="bullet"/>
      <w:lvlRestart w:val="0"/>
      <w:pStyle w:val="ListBullet5"/>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9DB7C5D"/>
    <w:multiLevelType w:val="hybridMultilevel"/>
    <w:tmpl w:val="8360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7B5BF0"/>
    <w:multiLevelType w:val="hybridMultilevel"/>
    <w:tmpl w:val="A0C0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3D2307"/>
    <w:multiLevelType w:val="hybridMultilevel"/>
    <w:tmpl w:val="1ED41DC2"/>
    <w:lvl w:ilvl="0" w:tplc="023C0830">
      <w:start w:val="1"/>
      <w:numFmt w:val="upperLetter"/>
      <w:lvlText w:val="%1."/>
      <w:lvlJc w:val="left"/>
      <w:pPr>
        <w:ind w:left="1440" w:hanging="569"/>
      </w:pPr>
      <w:rPr>
        <w:rFonts w:ascii="Times New Roman" w:eastAsia="Times New Roman" w:hAnsi="Times New Roman" w:hint="default"/>
        <w:b/>
        <w:bCs/>
        <w:spacing w:val="-1"/>
        <w:sz w:val="22"/>
        <w:szCs w:val="22"/>
      </w:rPr>
    </w:lvl>
    <w:lvl w:ilvl="1" w:tplc="5ADC3702">
      <w:start w:val="1"/>
      <w:numFmt w:val="bullet"/>
      <w:lvlText w:val="•"/>
      <w:lvlJc w:val="left"/>
      <w:pPr>
        <w:ind w:left="2176" w:hanging="569"/>
      </w:pPr>
      <w:rPr>
        <w:rFonts w:hint="default"/>
      </w:rPr>
    </w:lvl>
    <w:lvl w:ilvl="2" w:tplc="D2E2B29E">
      <w:start w:val="1"/>
      <w:numFmt w:val="bullet"/>
      <w:lvlText w:val="•"/>
      <w:lvlJc w:val="left"/>
      <w:pPr>
        <w:ind w:left="2912" w:hanging="569"/>
      </w:pPr>
      <w:rPr>
        <w:rFonts w:hint="default"/>
      </w:rPr>
    </w:lvl>
    <w:lvl w:ilvl="3" w:tplc="C64AC2A8">
      <w:start w:val="1"/>
      <w:numFmt w:val="bullet"/>
      <w:lvlText w:val="•"/>
      <w:lvlJc w:val="left"/>
      <w:pPr>
        <w:ind w:left="3649" w:hanging="569"/>
      </w:pPr>
      <w:rPr>
        <w:rFonts w:hint="default"/>
      </w:rPr>
    </w:lvl>
    <w:lvl w:ilvl="4" w:tplc="24289F5A">
      <w:start w:val="1"/>
      <w:numFmt w:val="bullet"/>
      <w:lvlText w:val="•"/>
      <w:lvlJc w:val="left"/>
      <w:pPr>
        <w:ind w:left="4385" w:hanging="569"/>
      </w:pPr>
      <w:rPr>
        <w:rFonts w:hint="default"/>
      </w:rPr>
    </w:lvl>
    <w:lvl w:ilvl="5" w:tplc="C38E9340">
      <w:start w:val="1"/>
      <w:numFmt w:val="bullet"/>
      <w:lvlText w:val="•"/>
      <w:lvlJc w:val="left"/>
      <w:pPr>
        <w:ind w:left="5122" w:hanging="569"/>
      </w:pPr>
      <w:rPr>
        <w:rFonts w:hint="default"/>
      </w:rPr>
    </w:lvl>
    <w:lvl w:ilvl="6" w:tplc="A7588490">
      <w:start w:val="1"/>
      <w:numFmt w:val="bullet"/>
      <w:lvlText w:val="•"/>
      <w:lvlJc w:val="left"/>
      <w:pPr>
        <w:ind w:left="5858" w:hanging="569"/>
      </w:pPr>
      <w:rPr>
        <w:rFonts w:hint="default"/>
      </w:rPr>
    </w:lvl>
    <w:lvl w:ilvl="7" w:tplc="086C783C">
      <w:start w:val="1"/>
      <w:numFmt w:val="bullet"/>
      <w:lvlText w:val="•"/>
      <w:lvlJc w:val="left"/>
      <w:pPr>
        <w:ind w:left="6595" w:hanging="569"/>
      </w:pPr>
      <w:rPr>
        <w:rFonts w:hint="default"/>
      </w:rPr>
    </w:lvl>
    <w:lvl w:ilvl="8" w:tplc="126ABC66">
      <w:start w:val="1"/>
      <w:numFmt w:val="bullet"/>
      <w:lvlText w:val="•"/>
      <w:lvlJc w:val="left"/>
      <w:pPr>
        <w:ind w:left="7331" w:hanging="569"/>
      </w:pPr>
      <w:rPr>
        <w:rFonts w:hint="default"/>
      </w:rPr>
    </w:lvl>
  </w:abstractNum>
  <w:abstractNum w:abstractNumId="84" w15:restartNumberingAfterBreak="0">
    <w:nsid w:val="62007777"/>
    <w:multiLevelType w:val="hybridMultilevel"/>
    <w:tmpl w:val="AE94D434"/>
    <w:lvl w:ilvl="0" w:tplc="6D8ADD6C">
      <w:start w:val="1"/>
      <w:numFmt w:val="bullet"/>
      <w:lvlText w:val=""/>
      <w:lvlJc w:val="left"/>
      <w:pPr>
        <w:ind w:left="838" w:hanging="360"/>
      </w:pPr>
      <w:rPr>
        <w:rFonts w:ascii="Symbol" w:eastAsia="Symbol" w:hAnsi="Symbol" w:hint="default"/>
        <w:sz w:val="22"/>
        <w:szCs w:val="22"/>
      </w:rPr>
    </w:lvl>
    <w:lvl w:ilvl="1" w:tplc="38C8C3AC">
      <w:start w:val="1"/>
      <w:numFmt w:val="bullet"/>
      <w:lvlText w:val="•"/>
      <w:lvlJc w:val="left"/>
      <w:pPr>
        <w:ind w:left="1741" w:hanging="360"/>
      </w:pPr>
      <w:rPr>
        <w:rFonts w:hint="default"/>
      </w:rPr>
    </w:lvl>
    <w:lvl w:ilvl="2" w:tplc="33D49DE8">
      <w:start w:val="1"/>
      <w:numFmt w:val="bullet"/>
      <w:lvlText w:val="•"/>
      <w:lvlJc w:val="left"/>
      <w:pPr>
        <w:ind w:left="2643" w:hanging="360"/>
      </w:pPr>
      <w:rPr>
        <w:rFonts w:hint="default"/>
      </w:rPr>
    </w:lvl>
    <w:lvl w:ilvl="3" w:tplc="7C507AC6">
      <w:start w:val="1"/>
      <w:numFmt w:val="bullet"/>
      <w:lvlText w:val="•"/>
      <w:lvlJc w:val="left"/>
      <w:pPr>
        <w:ind w:left="3546" w:hanging="360"/>
      </w:pPr>
      <w:rPr>
        <w:rFonts w:hint="default"/>
      </w:rPr>
    </w:lvl>
    <w:lvl w:ilvl="4" w:tplc="A4721844">
      <w:start w:val="1"/>
      <w:numFmt w:val="bullet"/>
      <w:lvlText w:val="•"/>
      <w:lvlJc w:val="left"/>
      <w:pPr>
        <w:ind w:left="4448" w:hanging="360"/>
      </w:pPr>
      <w:rPr>
        <w:rFonts w:hint="default"/>
      </w:rPr>
    </w:lvl>
    <w:lvl w:ilvl="5" w:tplc="4DF4F34E">
      <w:start w:val="1"/>
      <w:numFmt w:val="bullet"/>
      <w:lvlText w:val="•"/>
      <w:lvlJc w:val="left"/>
      <w:pPr>
        <w:ind w:left="5351" w:hanging="360"/>
      </w:pPr>
      <w:rPr>
        <w:rFonts w:hint="default"/>
      </w:rPr>
    </w:lvl>
    <w:lvl w:ilvl="6" w:tplc="9C609562">
      <w:start w:val="1"/>
      <w:numFmt w:val="bullet"/>
      <w:lvlText w:val="•"/>
      <w:lvlJc w:val="left"/>
      <w:pPr>
        <w:ind w:left="6254" w:hanging="360"/>
      </w:pPr>
      <w:rPr>
        <w:rFonts w:hint="default"/>
      </w:rPr>
    </w:lvl>
    <w:lvl w:ilvl="7" w:tplc="43C89C64">
      <w:start w:val="1"/>
      <w:numFmt w:val="bullet"/>
      <w:lvlText w:val="•"/>
      <w:lvlJc w:val="left"/>
      <w:pPr>
        <w:ind w:left="7156" w:hanging="360"/>
      </w:pPr>
      <w:rPr>
        <w:rFonts w:hint="default"/>
      </w:rPr>
    </w:lvl>
    <w:lvl w:ilvl="8" w:tplc="23444C48">
      <w:start w:val="1"/>
      <w:numFmt w:val="bullet"/>
      <w:lvlText w:val="•"/>
      <w:lvlJc w:val="left"/>
      <w:pPr>
        <w:ind w:left="8059" w:hanging="360"/>
      </w:pPr>
      <w:rPr>
        <w:rFonts w:hint="default"/>
      </w:rPr>
    </w:lvl>
  </w:abstractNum>
  <w:abstractNum w:abstractNumId="85" w15:restartNumberingAfterBreak="0">
    <w:nsid w:val="62E07845"/>
    <w:multiLevelType w:val="hybridMultilevel"/>
    <w:tmpl w:val="7E5E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2A0E3B"/>
    <w:multiLevelType w:val="multilevel"/>
    <w:tmpl w:val="5220EEE8"/>
    <w:lvl w:ilvl="0">
      <w:start w:val="5"/>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78" w:hanging="360"/>
      </w:pPr>
      <w:rPr>
        <w:rFonts w:ascii="Symbol" w:eastAsia="Symbol" w:hAnsi="Symbol" w:hint="default"/>
        <w:sz w:val="22"/>
        <w:szCs w:val="22"/>
      </w:rPr>
    </w:lvl>
    <w:lvl w:ilvl="3">
      <w:start w:val="1"/>
      <w:numFmt w:val="bullet"/>
      <w:lvlText w:val="•"/>
      <w:lvlJc w:val="left"/>
      <w:pPr>
        <w:ind w:left="1999" w:hanging="360"/>
      </w:pPr>
      <w:rPr>
        <w:rFonts w:hint="default"/>
      </w:rPr>
    </w:lvl>
    <w:lvl w:ilvl="4">
      <w:start w:val="1"/>
      <w:numFmt w:val="bullet"/>
      <w:lvlText w:val="•"/>
      <w:lvlJc w:val="left"/>
      <w:pPr>
        <w:ind w:left="3119" w:hanging="360"/>
      </w:pPr>
      <w:rPr>
        <w:rFonts w:hint="default"/>
      </w:rPr>
    </w:lvl>
    <w:lvl w:ilvl="5">
      <w:start w:val="1"/>
      <w:numFmt w:val="bullet"/>
      <w:lvlText w:val="•"/>
      <w:lvlJc w:val="left"/>
      <w:pPr>
        <w:ind w:left="4240" w:hanging="360"/>
      </w:pPr>
      <w:rPr>
        <w:rFonts w:hint="default"/>
      </w:rPr>
    </w:lvl>
    <w:lvl w:ilvl="6">
      <w:start w:val="1"/>
      <w:numFmt w:val="bullet"/>
      <w:lvlText w:val="•"/>
      <w:lvlJc w:val="left"/>
      <w:pPr>
        <w:ind w:left="5361" w:hanging="360"/>
      </w:pPr>
      <w:rPr>
        <w:rFonts w:hint="default"/>
      </w:rPr>
    </w:lvl>
    <w:lvl w:ilvl="7">
      <w:start w:val="1"/>
      <w:numFmt w:val="bullet"/>
      <w:lvlText w:val="•"/>
      <w:lvlJc w:val="left"/>
      <w:pPr>
        <w:ind w:left="6482" w:hanging="360"/>
      </w:pPr>
      <w:rPr>
        <w:rFonts w:hint="default"/>
      </w:rPr>
    </w:lvl>
    <w:lvl w:ilvl="8">
      <w:start w:val="1"/>
      <w:numFmt w:val="bullet"/>
      <w:lvlText w:val="•"/>
      <w:lvlJc w:val="left"/>
      <w:pPr>
        <w:ind w:left="7602" w:hanging="360"/>
      </w:pPr>
      <w:rPr>
        <w:rFonts w:hint="default"/>
      </w:rPr>
    </w:lvl>
  </w:abstractNum>
  <w:abstractNum w:abstractNumId="87" w15:restartNumberingAfterBreak="0">
    <w:nsid w:val="642C2D92"/>
    <w:multiLevelType w:val="hybridMultilevel"/>
    <w:tmpl w:val="D5A01C98"/>
    <w:lvl w:ilvl="0" w:tplc="4D342BDE">
      <w:start w:val="1"/>
      <w:numFmt w:val="bullet"/>
      <w:lvlText w:val=""/>
      <w:lvlJc w:val="left"/>
      <w:pPr>
        <w:ind w:left="838" w:hanging="360"/>
      </w:pPr>
      <w:rPr>
        <w:rFonts w:ascii="Symbol" w:eastAsia="Symbol" w:hAnsi="Symbol" w:hint="default"/>
        <w:sz w:val="22"/>
        <w:szCs w:val="22"/>
      </w:rPr>
    </w:lvl>
    <w:lvl w:ilvl="1" w:tplc="6608B1E6">
      <w:start w:val="1"/>
      <w:numFmt w:val="bullet"/>
      <w:lvlText w:val="•"/>
      <w:lvlJc w:val="left"/>
      <w:pPr>
        <w:ind w:left="1741" w:hanging="360"/>
      </w:pPr>
      <w:rPr>
        <w:rFonts w:hint="default"/>
      </w:rPr>
    </w:lvl>
    <w:lvl w:ilvl="2" w:tplc="6792CDB4">
      <w:start w:val="1"/>
      <w:numFmt w:val="bullet"/>
      <w:lvlText w:val="•"/>
      <w:lvlJc w:val="left"/>
      <w:pPr>
        <w:ind w:left="2643" w:hanging="360"/>
      </w:pPr>
      <w:rPr>
        <w:rFonts w:hint="default"/>
      </w:rPr>
    </w:lvl>
    <w:lvl w:ilvl="3" w:tplc="0D2A6BF4">
      <w:start w:val="1"/>
      <w:numFmt w:val="bullet"/>
      <w:lvlText w:val="•"/>
      <w:lvlJc w:val="left"/>
      <w:pPr>
        <w:ind w:left="3546" w:hanging="360"/>
      </w:pPr>
      <w:rPr>
        <w:rFonts w:hint="default"/>
      </w:rPr>
    </w:lvl>
    <w:lvl w:ilvl="4" w:tplc="D196E158">
      <w:start w:val="1"/>
      <w:numFmt w:val="bullet"/>
      <w:lvlText w:val="•"/>
      <w:lvlJc w:val="left"/>
      <w:pPr>
        <w:ind w:left="4448" w:hanging="360"/>
      </w:pPr>
      <w:rPr>
        <w:rFonts w:hint="default"/>
      </w:rPr>
    </w:lvl>
    <w:lvl w:ilvl="5" w:tplc="AD62220C">
      <w:start w:val="1"/>
      <w:numFmt w:val="bullet"/>
      <w:lvlText w:val="•"/>
      <w:lvlJc w:val="left"/>
      <w:pPr>
        <w:ind w:left="5351" w:hanging="360"/>
      </w:pPr>
      <w:rPr>
        <w:rFonts w:hint="default"/>
      </w:rPr>
    </w:lvl>
    <w:lvl w:ilvl="6" w:tplc="B16627E2">
      <w:start w:val="1"/>
      <w:numFmt w:val="bullet"/>
      <w:lvlText w:val="•"/>
      <w:lvlJc w:val="left"/>
      <w:pPr>
        <w:ind w:left="6254" w:hanging="360"/>
      </w:pPr>
      <w:rPr>
        <w:rFonts w:hint="default"/>
      </w:rPr>
    </w:lvl>
    <w:lvl w:ilvl="7" w:tplc="5E240E58">
      <w:start w:val="1"/>
      <w:numFmt w:val="bullet"/>
      <w:lvlText w:val="•"/>
      <w:lvlJc w:val="left"/>
      <w:pPr>
        <w:ind w:left="7156" w:hanging="360"/>
      </w:pPr>
      <w:rPr>
        <w:rFonts w:hint="default"/>
      </w:rPr>
    </w:lvl>
    <w:lvl w:ilvl="8" w:tplc="A712CC64">
      <w:start w:val="1"/>
      <w:numFmt w:val="bullet"/>
      <w:lvlText w:val="•"/>
      <w:lvlJc w:val="left"/>
      <w:pPr>
        <w:ind w:left="8059" w:hanging="360"/>
      </w:pPr>
      <w:rPr>
        <w:rFonts w:hint="default"/>
      </w:rPr>
    </w:lvl>
  </w:abstractNum>
  <w:abstractNum w:abstractNumId="88" w15:restartNumberingAfterBreak="0">
    <w:nsid w:val="66454017"/>
    <w:multiLevelType w:val="hybridMultilevel"/>
    <w:tmpl w:val="CA84DFBC"/>
    <w:lvl w:ilvl="0" w:tplc="C08C46F4">
      <w:start w:val="1"/>
      <w:numFmt w:val="bullet"/>
      <w:lvlText w:val="o"/>
      <w:lvlJc w:val="left"/>
      <w:pPr>
        <w:ind w:left="1658" w:hanging="360"/>
      </w:pPr>
      <w:rPr>
        <w:rFonts w:ascii="Courier New" w:eastAsia="Courier New" w:hAnsi="Courier New" w:hint="default"/>
        <w:sz w:val="16"/>
        <w:szCs w:val="16"/>
      </w:rPr>
    </w:lvl>
    <w:lvl w:ilvl="1" w:tplc="640C7E36">
      <w:start w:val="1"/>
      <w:numFmt w:val="bullet"/>
      <w:lvlText w:val="•"/>
      <w:lvlJc w:val="left"/>
      <w:pPr>
        <w:ind w:left="2501" w:hanging="360"/>
      </w:pPr>
      <w:rPr>
        <w:rFonts w:hint="default"/>
      </w:rPr>
    </w:lvl>
    <w:lvl w:ilvl="2" w:tplc="8256A0D8">
      <w:start w:val="1"/>
      <w:numFmt w:val="bullet"/>
      <w:lvlText w:val="•"/>
      <w:lvlJc w:val="left"/>
      <w:pPr>
        <w:ind w:left="3343" w:hanging="360"/>
      </w:pPr>
      <w:rPr>
        <w:rFonts w:hint="default"/>
      </w:rPr>
    </w:lvl>
    <w:lvl w:ilvl="3" w:tplc="F7D2EDD4">
      <w:start w:val="1"/>
      <w:numFmt w:val="bullet"/>
      <w:lvlText w:val="•"/>
      <w:lvlJc w:val="left"/>
      <w:pPr>
        <w:ind w:left="4186" w:hanging="360"/>
      </w:pPr>
      <w:rPr>
        <w:rFonts w:hint="default"/>
      </w:rPr>
    </w:lvl>
    <w:lvl w:ilvl="4" w:tplc="7ED09252">
      <w:start w:val="1"/>
      <w:numFmt w:val="bullet"/>
      <w:lvlText w:val="•"/>
      <w:lvlJc w:val="left"/>
      <w:pPr>
        <w:ind w:left="5028" w:hanging="360"/>
      </w:pPr>
      <w:rPr>
        <w:rFonts w:hint="default"/>
      </w:rPr>
    </w:lvl>
    <w:lvl w:ilvl="5" w:tplc="DA1C2212">
      <w:start w:val="1"/>
      <w:numFmt w:val="bullet"/>
      <w:lvlText w:val="•"/>
      <w:lvlJc w:val="left"/>
      <w:pPr>
        <w:ind w:left="5871" w:hanging="360"/>
      </w:pPr>
      <w:rPr>
        <w:rFonts w:hint="default"/>
      </w:rPr>
    </w:lvl>
    <w:lvl w:ilvl="6" w:tplc="88B03A66">
      <w:start w:val="1"/>
      <w:numFmt w:val="bullet"/>
      <w:lvlText w:val="•"/>
      <w:lvlJc w:val="left"/>
      <w:pPr>
        <w:ind w:left="6714" w:hanging="360"/>
      </w:pPr>
      <w:rPr>
        <w:rFonts w:hint="default"/>
      </w:rPr>
    </w:lvl>
    <w:lvl w:ilvl="7" w:tplc="B60EAFC4">
      <w:start w:val="1"/>
      <w:numFmt w:val="bullet"/>
      <w:lvlText w:val="•"/>
      <w:lvlJc w:val="left"/>
      <w:pPr>
        <w:ind w:left="7556" w:hanging="360"/>
      </w:pPr>
      <w:rPr>
        <w:rFonts w:hint="default"/>
      </w:rPr>
    </w:lvl>
    <w:lvl w:ilvl="8" w:tplc="9A8C6E96">
      <w:start w:val="1"/>
      <w:numFmt w:val="bullet"/>
      <w:lvlText w:val="•"/>
      <w:lvlJc w:val="left"/>
      <w:pPr>
        <w:ind w:left="8399" w:hanging="360"/>
      </w:pPr>
      <w:rPr>
        <w:rFonts w:hint="default"/>
      </w:rPr>
    </w:lvl>
  </w:abstractNum>
  <w:abstractNum w:abstractNumId="89" w15:restartNumberingAfterBreak="0">
    <w:nsid w:val="66B02F26"/>
    <w:multiLevelType w:val="hybridMultilevel"/>
    <w:tmpl w:val="0C64DC42"/>
    <w:lvl w:ilvl="0" w:tplc="89DEABBE">
      <w:start w:val="1"/>
      <w:numFmt w:val="decimal"/>
      <w:lvlText w:val="%1."/>
      <w:lvlJc w:val="left"/>
      <w:pPr>
        <w:ind w:left="118" w:hanging="567"/>
      </w:pPr>
      <w:rPr>
        <w:rFonts w:ascii="Times New Roman" w:eastAsia="Times New Roman" w:hAnsi="Times New Roman" w:hint="default"/>
        <w:b/>
        <w:bCs/>
        <w:sz w:val="22"/>
        <w:szCs w:val="22"/>
      </w:rPr>
    </w:lvl>
    <w:lvl w:ilvl="1" w:tplc="4A4E1F98">
      <w:start w:val="1"/>
      <w:numFmt w:val="bullet"/>
      <w:lvlText w:val="•"/>
      <w:lvlJc w:val="left"/>
      <w:pPr>
        <w:ind w:left="1091" w:hanging="567"/>
      </w:pPr>
      <w:rPr>
        <w:rFonts w:hint="default"/>
      </w:rPr>
    </w:lvl>
    <w:lvl w:ilvl="2" w:tplc="59C20422">
      <w:start w:val="1"/>
      <w:numFmt w:val="bullet"/>
      <w:lvlText w:val="•"/>
      <w:lvlJc w:val="left"/>
      <w:pPr>
        <w:ind w:left="2063" w:hanging="567"/>
      </w:pPr>
      <w:rPr>
        <w:rFonts w:hint="default"/>
      </w:rPr>
    </w:lvl>
    <w:lvl w:ilvl="3" w:tplc="EFB6D1F4">
      <w:start w:val="1"/>
      <w:numFmt w:val="bullet"/>
      <w:lvlText w:val="•"/>
      <w:lvlJc w:val="left"/>
      <w:pPr>
        <w:ind w:left="3036" w:hanging="567"/>
      </w:pPr>
      <w:rPr>
        <w:rFonts w:hint="default"/>
      </w:rPr>
    </w:lvl>
    <w:lvl w:ilvl="4" w:tplc="F56839D0">
      <w:start w:val="1"/>
      <w:numFmt w:val="bullet"/>
      <w:lvlText w:val="•"/>
      <w:lvlJc w:val="left"/>
      <w:pPr>
        <w:ind w:left="4008" w:hanging="567"/>
      </w:pPr>
      <w:rPr>
        <w:rFonts w:hint="default"/>
      </w:rPr>
    </w:lvl>
    <w:lvl w:ilvl="5" w:tplc="3704272E">
      <w:start w:val="1"/>
      <w:numFmt w:val="bullet"/>
      <w:lvlText w:val="•"/>
      <w:lvlJc w:val="left"/>
      <w:pPr>
        <w:ind w:left="4981" w:hanging="567"/>
      </w:pPr>
      <w:rPr>
        <w:rFonts w:hint="default"/>
      </w:rPr>
    </w:lvl>
    <w:lvl w:ilvl="6" w:tplc="53D2FD72">
      <w:start w:val="1"/>
      <w:numFmt w:val="bullet"/>
      <w:lvlText w:val="•"/>
      <w:lvlJc w:val="left"/>
      <w:pPr>
        <w:ind w:left="5954" w:hanging="567"/>
      </w:pPr>
      <w:rPr>
        <w:rFonts w:hint="default"/>
      </w:rPr>
    </w:lvl>
    <w:lvl w:ilvl="7" w:tplc="BAEEAEDE">
      <w:start w:val="1"/>
      <w:numFmt w:val="bullet"/>
      <w:lvlText w:val="•"/>
      <w:lvlJc w:val="left"/>
      <w:pPr>
        <w:ind w:left="6926" w:hanging="567"/>
      </w:pPr>
      <w:rPr>
        <w:rFonts w:hint="default"/>
      </w:rPr>
    </w:lvl>
    <w:lvl w:ilvl="8" w:tplc="FE000F2E">
      <w:start w:val="1"/>
      <w:numFmt w:val="bullet"/>
      <w:lvlText w:val="•"/>
      <w:lvlJc w:val="left"/>
      <w:pPr>
        <w:ind w:left="7899" w:hanging="567"/>
      </w:pPr>
      <w:rPr>
        <w:rFonts w:hint="default"/>
      </w:rPr>
    </w:lvl>
  </w:abstractNum>
  <w:abstractNum w:abstractNumId="90" w15:restartNumberingAfterBreak="0">
    <w:nsid w:val="68BE1A1C"/>
    <w:multiLevelType w:val="multilevel"/>
    <w:tmpl w:val="BAFE35E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98E3FBC"/>
    <w:multiLevelType w:val="multilevel"/>
    <w:tmpl w:val="FDAEA324"/>
    <w:lvl w:ilvl="0">
      <w:start w:val="1"/>
      <w:numFmt w:val="decimal"/>
      <w:pStyle w:val="Heading1"/>
      <w:lvlText w:val="%1"/>
      <w:lvlJc w:val="left"/>
      <w:pPr>
        <w:tabs>
          <w:tab w:val="num" w:pos="1140"/>
        </w:tabs>
        <w:ind w:left="1140" w:hanging="1140"/>
      </w:pPr>
    </w:lvl>
    <w:lvl w:ilvl="1">
      <w:start w:val="1"/>
      <w:numFmt w:val="decimal"/>
      <w:pStyle w:val="Heading2"/>
      <w:lvlText w:val="%1.%2"/>
      <w:lvlJc w:val="left"/>
      <w:pPr>
        <w:tabs>
          <w:tab w:val="num" w:pos="1140"/>
        </w:tabs>
        <w:ind w:left="1140" w:hanging="1140"/>
      </w:pPr>
    </w:lvl>
    <w:lvl w:ilvl="2">
      <w:start w:val="1"/>
      <w:numFmt w:val="decimal"/>
      <w:pStyle w:val="Heading3"/>
      <w:lvlText w:val="%1.%2.%3"/>
      <w:lvlJc w:val="left"/>
      <w:pPr>
        <w:tabs>
          <w:tab w:val="num" w:pos="1140"/>
        </w:tabs>
        <w:ind w:left="1140" w:hanging="1140"/>
      </w:pPr>
    </w:lvl>
    <w:lvl w:ilvl="3">
      <w:start w:val="1"/>
      <w:numFmt w:val="decimal"/>
      <w:pStyle w:val="Heading4"/>
      <w:lvlText w:val="%1.%2.%3.%4"/>
      <w:lvlJc w:val="left"/>
      <w:pPr>
        <w:tabs>
          <w:tab w:val="num" w:pos="1140"/>
        </w:tabs>
        <w:ind w:left="1140" w:hanging="1140"/>
      </w:pPr>
    </w:lvl>
    <w:lvl w:ilvl="4">
      <w:start w:val="1"/>
      <w:numFmt w:val="decimal"/>
      <w:pStyle w:val="Heading5"/>
      <w:lvlText w:val="%1.%2.%3.%4.%5"/>
      <w:lvlJc w:val="left"/>
      <w:pPr>
        <w:tabs>
          <w:tab w:val="num" w:pos="1140"/>
        </w:tabs>
        <w:ind w:left="1140" w:hanging="1140"/>
      </w:pPr>
    </w:lvl>
    <w:lvl w:ilvl="5">
      <w:start w:val="1"/>
      <w:numFmt w:val="decimal"/>
      <w:pStyle w:val="Heading6"/>
      <w:lvlText w:val="%1.%2.%3.%4.%5.%6"/>
      <w:lvlJc w:val="left"/>
      <w:pPr>
        <w:tabs>
          <w:tab w:val="num" w:pos="1140"/>
        </w:tabs>
        <w:ind w:left="1140" w:hanging="1140"/>
      </w:pPr>
    </w:lvl>
    <w:lvl w:ilvl="6">
      <w:start w:val="1"/>
      <w:numFmt w:val="decimal"/>
      <w:pStyle w:val="Heading7"/>
      <w:lvlText w:val="%1.%2.%3.%4.%5.%6.%7"/>
      <w:lvlJc w:val="left"/>
      <w:pPr>
        <w:tabs>
          <w:tab w:val="num" w:pos="1140"/>
        </w:tabs>
        <w:ind w:left="1140" w:hanging="1140"/>
      </w:pPr>
    </w:lvl>
    <w:lvl w:ilvl="7">
      <w:start w:val="1"/>
      <w:numFmt w:val="decimal"/>
      <w:pStyle w:val="Heading8"/>
      <w:lvlText w:val="%1.%2.%3.%4.%5.%6.%7.%8"/>
      <w:lvlJc w:val="left"/>
      <w:pPr>
        <w:tabs>
          <w:tab w:val="num" w:pos="1140"/>
        </w:tabs>
        <w:ind w:left="1140" w:hanging="1140"/>
      </w:pPr>
    </w:lvl>
    <w:lvl w:ilvl="8">
      <w:start w:val="1"/>
      <w:numFmt w:val="decimal"/>
      <w:pStyle w:val="Heading9"/>
      <w:lvlText w:val="%1.%2.%3.%4.%5.%6.%7.%8.%9"/>
      <w:lvlJc w:val="left"/>
      <w:pPr>
        <w:tabs>
          <w:tab w:val="num" w:pos="1140"/>
        </w:tabs>
        <w:ind w:left="1140" w:hanging="1140"/>
      </w:pPr>
    </w:lvl>
  </w:abstractNum>
  <w:abstractNum w:abstractNumId="92" w15:restartNumberingAfterBreak="0">
    <w:nsid w:val="6A313A85"/>
    <w:multiLevelType w:val="hybridMultilevel"/>
    <w:tmpl w:val="9976B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A9D4E06"/>
    <w:multiLevelType w:val="hybridMultilevel"/>
    <w:tmpl w:val="32D6BC22"/>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94" w15:restartNumberingAfterBreak="0">
    <w:nsid w:val="6CA13C79"/>
    <w:multiLevelType w:val="hybridMultilevel"/>
    <w:tmpl w:val="CF20AEDE"/>
    <w:lvl w:ilvl="0" w:tplc="25AED4A8">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5" w15:restartNumberingAfterBreak="0">
    <w:nsid w:val="6D453FA4"/>
    <w:multiLevelType w:val="hybridMultilevel"/>
    <w:tmpl w:val="52F6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D757342"/>
    <w:multiLevelType w:val="hybridMultilevel"/>
    <w:tmpl w:val="D1F0934A"/>
    <w:lvl w:ilvl="0" w:tplc="1C8CAD24">
      <w:start w:val="1"/>
      <w:numFmt w:val="bullet"/>
      <w:lvlText w:val="*"/>
      <w:lvlJc w:val="left"/>
      <w:pPr>
        <w:ind w:left="338" w:hanging="120"/>
      </w:pPr>
      <w:rPr>
        <w:rFonts w:ascii="Times New Roman" w:eastAsia="Times New Roman" w:hAnsi="Times New Roman" w:hint="default"/>
        <w:sz w:val="16"/>
        <w:szCs w:val="16"/>
      </w:rPr>
    </w:lvl>
    <w:lvl w:ilvl="1" w:tplc="AADC4F5E">
      <w:start w:val="1"/>
      <w:numFmt w:val="bullet"/>
      <w:lvlText w:val=""/>
      <w:lvlJc w:val="left"/>
      <w:pPr>
        <w:ind w:left="938" w:hanging="360"/>
      </w:pPr>
      <w:rPr>
        <w:rFonts w:ascii="Symbol" w:eastAsia="Symbol" w:hAnsi="Symbol" w:hint="default"/>
        <w:sz w:val="16"/>
        <w:szCs w:val="16"/>
      </w:rPr>
    </w:lvl>
    <w:lvl w:ilvl="2" w:tplc="2D6AC06E">
      <w:start w:val="1"/>
      <w:numFmt w:val="bullet"/>
      <w:lvlText w:val="o"/>
      <w:lvlJc w:val="left"/>
      <w:pPr>
        <w:ind w:left="1658" w:hanging="360"/>
      </w:pPr>
      <w:rPr>
        <w:rFonts w:ascii="Courier New" w:eastAsia="Courier New" w:hAnsi="Courier New" w:hint="default"/>
        <w:sz w:val="16"/>
        <w:szCs w:val="16"/>
      </w:rPr>
    </w:lvl>
    <w:lvl w:ilvl="3" w:tplc="C340151A">
      <w:start w:val="1"/>
      <w:numFmt w:val="bullet"/>
      <w:lvlText w:val="•"/>
      <w:lvlJc w:val="left"/>
      <w:pPr>
        <w:ind w:left="2711" w:hanging="360"/>
      </w:pPr>
      <w:rPr>
        <w:rFonts w:hint="default"/>
      </w:rPr>
    </w:lvl>
    <w:lvl w:ilvl="4" w:tplc="DBDAD76A">
      <w:start w:val="1"/>
      <w:numFmt w:val="bullet"/>
      <w:lvlText w:val="•"/>
      <w:lvlJc w:val="left"/>
      <w:pPr>
        <w:ind w:left="3764" w:hanging="360"/>
      </w:pPr>
      <w:rPr>
        <w:rFonts w:hint="default"/>
      </w:rPr>
    </w:lvl>
    <w:lvl w:ilvl="5" w:tplc="753259BE">
      <w:start w:val="1"/>
      <w:numFmt w:val="bullet"/>
      <w:lvlText w:val="•"/>
      <w:lvlJc w:val="left"/>
      <w:pPr>
        <w:ind w:left="4818" w:hanging="360"/>
      </w:pPr>
      <w:rPr>
        <w:rFonts w:hint="default"/>
      </w:rPr>
    </w:lvl>
    <w:lvl w:ilvl="6" w:tplc="68C47E0A">
      <w:start w:val="1"/>
      <w:numFmt w:val="bullet"/>
      <w:lvlText w:val="•"/>
      <w:lvlJc w:val="left"/>
      <w:pPr>
        <w:ind w:left="5871" w:hanging="360"/>
      </w:pPr>
      <w:rPr>
        <w:rFonts w:hint="default"/>
      </w:rPr>
    </w:lvl>
    <w:lvl w:ilvl="7" w:tplc="C6E4C222">
      <w:start w:val="1"/>
      <w:numFmt w:val="bullet"/>
      <w:lvlText w:val="•"/>
      <w:lvlJc w:val="left"/>
      <w:pPr>
        <w:ind w:left="6924" w:hanging="360"/>
      </w:pPr>
      <w:rPr>
        <w:rFonts w:hint="default"/>
      </w:rPr>
    </w:lvl>
    <w:lvl w:ilvl="8" w:tplc="1AA4610A">
      <w:start w:val="1"/>
      <w:numFmt w:val="bullet"/>
      <w:lvlText w:val="•"/>
      <w:lvlJc w:val="left"/>
      <w:pPr>
        <w:ind w:left="7977" w:hanging="360"/>
      </w:pPr>
      <w:rPr>
        <w:rFonts w:hint="default"/>
      </w:rPr>
    </w:lvl>
  </w:abstractNum>
  <w:abstractNum w:abstractNumId="97" w15:restartNumberingAfterBreak="0">
    <w:nsid w:val="73346DE1"/>
    <w:multiLevelType w:val="hybridMultilevel"/>
    <w:tmpl w:val="58B6AEAE"/>
    <w:lvl w:ilvl="0" w:tplc="BE52FE84">
      <w:start w:val="1"/>
      <w:numFmt w:val="bullet"/>
      <w:lvlText w:val=""/>
      <w:lvlJc w:val="left"/>
      <w:pPr>
        <w:ind w:left="938" w:hanging="360"/>
      </w:pPr>
      <w:rPr>
        <w:rFonts w:ascii="Symbol" w:eastAsia="Symbol" w:hAnsi="Symbol" w:hint="default"/>
        <w:sz w:val="22"/>
        <w:szCs w:val="22"/>
      </w:rPr>
    </w:lvl>
    <w:lvl w:ilvl="1" w:tplc="AD4E3C4A">
      <w:start w:val="1"/>
      <w:numFmt w:val="bullet"/>
      <w:lvlText w:val="o"/>
      <w:lvlJc w:val="left"/>
      <w:pPr>
        <w:ind w:left="1658" w:hanging="360"/>
      </w:pPr>
      <w:rPr>
        <w:rFonts w:ascii="Courier New" w:eastAsia="Courier New" w:hAnsi="Courier New" w:hint="default"/>
        <w:sz w:val="22"/>
        <w:szCs w:val="22"/>
      </w:rPr>
    </w:lvl>
    <w:lvl w:ilvl="2" w:tplc="44BC62EC">
      <w:start w:val="1"/>
      <w:numFmt w:val="bullet"/>
      <w:lvlText w:val="•"/>
      <w:lvlJc w:val="left"/>
      <w:pPr>
        <w:ind w:left="2574" w:hanging="360"/>
      </w:pPr>
      <w:rPr>
        <w:rFonts w:hint="default"/>
      </w:rPr>
    </w:lvl>
    <w:lvl w:ilvl="3" w:tplc="4FCA7946">
      <w:start w:val="1"/>
      <w:numFmt w:val="bullet"/>
      <w:lvlText w:val="•"/>
      <w:lvlJc w:val="left"/>
      <w:pPr>
        <w:ind w:left="3490" w:hanging="360"/>
      </w:pPr>
      <w:rPr>
        <w:rFonts w:hint="default"/>
      </w:rPr>
    </w:lvl>
    <w:lvl w:ilvl="4" w:tplc="D8D63884">
      <w:start w:val="1"/>
      <w:numFmt w:val="bullet"/>
      <w:lvlText w:val="•"/>
      <w:lvlJc w:val="left"/>
      <w:pPr>
        <w:ind w:left="4407" w:hanging="360"/>
      </w:pPr>
      <w:rPr>
        <w:rFonts w:hint="default"/>
      </w:rPr>
    </w:lvl>
    <w:lvl w:ilvl="5" w:tplc="8B4ED406">
      <w:start w:val="1"/>
      <w:numFmt w:val="bullet"/>
      <w:lvlText w:val="•"/>
      <w:lvlJc w:val="left"/>
      <w:pPr>
        <w:ind w:left="5323" w:hanging="360"/>
      </w:pPr>
      <w:rPr>
        <w:rFonts w:hint="default"/>
      </w:rPr>
    </w:lvl>
    <w:lvl w:ilvl="6" w:tplc="6C4E873C">
      <w:start w:val="1"/>
      <w:numFmt w:val="bullet"/>
      <w:lvlText w:val="•"/>
      <w:lvlJc w:val="left"/>
      <w:pPr>
        <w:ind w:left="6239" w:hanging="360"/>
      </w:pPr>
      <w:rPr>
        <w:rFonts w:hint="default"/>
      </w:rPr>
    </w:lvl>
    <w:lvl w:ilvl="7" w:tplc="737026C8">
      <w:start w:val="1"/>
      <w:numFmt w:val="bullet"/>
      <w:lvlText w:val="•"/>
      <w:lvlJc w:val="left"/>
      <w:pPr>
        <w:ind w:left="7155" w:hanging="360"/>
      </w:pPr>
      <w:rPr>
        <w:rFonts w:hint="default"/>
      </w:rPr>
    </w:lvl>
    <w:lvl w:ilvl="8" w:tplc="3EEC2E5E">
      <w:start w:val="1"/>
      <w:numFmt w:val="bullet"/>
      <w:lvlText w:val="•"/>
      <w:lvlJc w:val="left"/>
      <w:pPr>
        <w:ind w:left="8071" w:hanging="360"/>
      </w:pPr>
      <w:rPr>
        <w:rFonts w:hint="default"/>
      </w:rPr>
    </w:lvl>
  </w:abstractNum>
  <w:abstractNum w:abstractNumId="98" w15:restartNumberingAfterBreak="0">
    <w:nsid w:val="73EE32AF"/>
    <w:multiLevelType w:val="hybridMultilevel"/>
    <w:tmpl w:val="EE00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8CD2C3A"/>
    <w:multiLevelType w:val="hybridMultilevel"/>
    <w:tmpl w:val="B1E8AE7E"/>
    <w:lvl w:ilvl="0" w:tplc="04090003">
      <w:start w:val="1"/>
      <w:numFmt w:val="bullet"/>
      <w:lvlText w:val="o"/>
      <w:lvlJc w:val="left"/>
      <w:pPr>
        <w:ind w:left="1210" w:hanging="360"/>
      </w:pPr>
      <w:rPr>
        <w:rFonts w:ascii="Courier New" w:hAnsi="Courier New" w:cs="Courier New"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00" w15:restartNumberingAfterBreak="0">
    <w:nsid w:val="7AFC5FAB"/>
    <w:multiLevelType w:val="hybridMultilevel"/>
    <w:tmpl w:val="CEF666FE"/>
    <w:lvl w:ilvl="0" w:tplc="BEE61574">
      <w:start w:val="1"/>
      <w:numFmt w:val="bullet"/>
      <w:lvlText w:val=""/>
      <w:lvlJc w:val="left"/>
      <w:pPr>
        <w:ind w:left="838" w:hanging="360"/>
      </w:pPr>
      <w:rPr>
        <w:rFonts w:ascii="Symbol" w:eastAsia="Symbol" w:hAnsi="Symbol" w:hint="default"/>
        <w:sz w:val="22"/>
        <w:szCs w:val="22"/>
      </w:rPr>
    </w:lvl>
    <w:lvl w:ilvl="1" w:tplc="49DE2E1E">
      <w:start w:val="1"/>
      <w:numFmt w:val="bullet"/>
      <w:lvlText w:val="•"/>
      <w:lvlJc w:val="left"/>
      <w:pPr>
        <w:ind w:left="1741" w:hanging="360"/>
      </w:pPr>
      <w:rPr>
        <w:rFonts w:hint="default"/>
      </w:rPr>
    </w:lvl>
    <w:lvl w:ilvl="2" w:tplc="C35AD410">
      <w:start w:val="1"/>
      <w:numFmt w:val="bullet"/>
      <w:lvlText w:val="•"/>
      <w:lvlJc w:val="left"/>
      <w:pPr>
        <w:ind w:left="2643" w:hanging="360"/>
      </w:pPr>
      <w:rPr>
        <w:rFonts w:hint="default"/>
      </w:rPr>
    </w:lvl>
    <w:lvl w:ilvl="3" w:tplc="E5CEC0FE">
      <w:start w:val="1"/>
      <w:numFmt w:val="bullet"/>
      <w:lvlText w:val="•"/>
      <w:lvlJc w:val="left"/>
      <w:pPr>
        <w:ind w:left="3546" w:hanging="360"/>
      </w:pPr>
      <w:rPr>
        <w:rFonts w:hint="default"/>
      </w:rPr>
    </w:lvl>
    <w:lvl w:ilvl="4" w:tplc="5A087764">
      <w:start w:val="1"/>
      <w:numFmt w:val="bullet"/>
      <w:lvlText w:val="•"/>
      <w:lvlJc w:val="left"/>
      <w:pPr>
        <w:ind w:left="4448" w:hanging="360"/>
      </w:pPr>
      <w:rPr>
        <w:rFonts w:hint="default"/>
      </w:rPr>
    </w:lvl>
    <w:lvl w:ilvl="5" w:tplc="C0087492">
      <w:start w:val="1"/>
      <w:numFmt w:val="bullet"/>
      <w:lvlText w:val="•"/>
      <w:lvlJc w:val="left"/>
      <w:pPr>
        <w:ind w:left="5351" w:hanging="360"/>
      </w:pPr>
      <w:rPr>
        <w:rFonts w:hint="default"/>
      </w:rPr>
    </w:lvl>
    <w:lvl w:ilvl="6" w:tplc="984E9684">
      <w:start w:val="1"/>
      <w:numFmt w:val="bullet"/>
      <w:lvlText w:val="•"/>
      <w:lvlJc w:val="left"/>
      <w:pPr>
        <w:ind w:left="6254" w:hanging="360"/>
      </w:pPr>
      <w:rPr>
        <w:rFonts w:hint="default"/>
      </w:rPr>
    </w:lvl>
    <w:lvl w:ilvl="7" w:tplc="E8CA22E6">
      <w:start w:val="1"/>
      <w:numFmt w:val="bullet"/>
      <w:lvlText w:val="•"/>
      <w:lvlJc w:val="left"/>
      <w:pPr>
        <w:ind w:left="7156" w:hanging="360"/>
      </w:pPr>
      <w:rPr>
        <w:rFonts w:hint="default"/>
      </w:rPr>
    </w:lvl>
    <w:lvl w:ilvl="8" w:tplc="4612A394">
      <w:start w:val="1"/>
      <w:numFmt w:val="bullet"/>
      <w:lvlText w:val="•"/>
      <w:lvlJc w:val="left"/>
      <w:pPr>
        <w:ind w:left="8059" w:hanging="360"/>
      </w:pPr>
      <w:rPr>
        <w:rFonts w:hint="default"/>
      </w:rPr>
    </w:lvl>
  </w:abstractNum>
  <w:abstractNum w:abstractNumId="101" w15:restartNumberingAfterBreak="0">
    <w:nsid w:val="7C10370F"/>
    <w:multiLevelType w:val="hybridMultilevel"/>
    <w:tmpl w:val="ED02F61A"/>
    <w:lvl w:ilvl="0" w:tplc="E4C29F00">
      <w:start w:val="1"/>
      <w:numFmt w:val="bullet"/>
      <w:lvlText w:val=""/>
      <w:lvlJc w:val="left"/>
      <w:pPr>
        <w:ind w:left="838" w:hanging="360"/>
      </w:pPr>
      <w:rPr>
        <w:rFonts w:ascii="Symbol" w:eastAsia="Symbol" w:hAnsi="Symbol" w:hint="default"/>
        <w:sz w:val="22"/>
        <w:szCs w:val="22"/>
      </w:rPr>
    </w:lvl>
    <w:lvl w:ilvl="1" w:tplc="60528830">
      <w:start w:val="1"/>
      <w:numFmt w:val="bullet"/>
      <w:lvlText w:val="•"/>
      <w:lvlJc w:val="left"/>
      <w:pPr>
        <w:ind w:left="1737" w:hanging="360"/>
      </w:pPr>
      <w:rPr>
        <w:rFonts w:hint="default"/>
      </w:rPr>
    </w:lvl>
    <w:lvl w:ilvl="2" w:tplc="3794959A">
      <w:start w:val="1"/>
      <w:numFmt w:val="bullet"/>
      <w:lvlText w:val="•"/>
      <w:lvlJc w:val="left"/>
      <w:pPr>
        <w:ind w:left="2635" w:hanging="360"/>
      </w:pPr>
      <w:rPr>
        <w:rFonts w:hint="default"/>
      </w:rPr>
    </w:lvl>
    <w:lvl w:ilvl="3" w:tplc="E2185ADC">
      <w:start w:val="1"/>
      <w:numFmt w:val="bullet"/>
      <w:lvlText w:val="•"/>
      <w:lvlJc w:val="left"/>
      <w:pPr>
        <w:ind w:left="3534" w:hanging="360"/>
      </w:pPr>
      <w:rPr>
        <w:rFonts w:hint="default"/>
      </w:rPr>
    </w:lvl>
    <w:lvl w:ilvl="4" w:tplc="461E501E">
      <w:start w:val="1"/>
      <w:numFmt w:val="bullet"/>
      <w:lvlText w:val="•"/>
      <w:lvlJc w:val="left"/>
      <w:pPr>
        <w:ind w:left="4432" w:hanging="360"/>
      </w:pPr>
      <w:rPr>
        <w:rFonts w:hint="default"/>
      </w:rPr>
    </w:lvl>
    <w:lvl w:ilvl="5" w:tplc="01B02C8C">
      <w:start w:val="1"/>
      <w:numFmt w:val="bullet"/>
      <w:lvlText w:val="•"/>
      <w:lvlJc w:val="left"/>
      <w:pPr>
        <w:ind w:left="5331" w:hanging="360"/>
      </w:pPr>
      <w:rPr>
        <w:rFonts w:hint="default"/>
      </w:rPr>
    </w:lvl>
    <w:lvl w:ilvl="6" w:tplc="7C8EBB3A">
      <w:start w:val="1"/>
      <w:numFmt w:val="bullet"/>
      <w:lvlText w:val="•"/>
      <w:lvlJc w:val="left"/>
      <w:pPr>
        <w:ind w:left="6230" w:hanging="360"/>
      </w:pPr>
      <w:rPr>
        <w:rFonts w:hint="default"/>
      </w:rPr>
    </w:lvl>
    <w:lvl w:ilvl="7" w:tplc="2ACA12AA">
      <w:start w:val="1"/>
      <w:numFmt w:val="bullet"/>
      <w:lvlText w:val="•"/>
      <w:lvlJc w:val="left"/>
      <w:pPr>
        <w:ind w:left="7128" w:hanging="360"/>
      </w:pPr>
      <w:rPr>
        <w:rFonts w:hint="default"/>
      </w:rPr>
    </w:lvl>
    <w:lvl w:ilvl="8" w:tplc="787CBD72">
      <w:start w:val="1"/>
      <w:numFmt w:val="bullet"/>
      <w:lvlText w:val="•"/>
      <w:lvlJc w:val="left"/>
      <w:pPr>
        <w:ind w:left="8027" w:hanging="360"/>
      </w:pPr>
      <w:rPr>
        <w:rFonts w:hint="default"/>
      </w:rPr>
    </w:lvl>
  </w:abstractNum>
  <w:abstractNum w:abstractNumId="102" w15:restartNumberingAfterBreak="0">
    <w:nsid w:val="7F826558"/>
    <w:multiLevelType w:val="multilevel"/>
    <w:tmpl w:val="C28C264A"/>
    <w:lvl w:ilvl="0">
      <w:start w:val="69"/>
      <w:numFmt w:val="decimal"/>
      <w:lvlText w:val="%1"/>
      <w:lvlJc w:val="left"/>
      <w:pPr>
        <w:ind w:left="118" w:hanging="443"/>
      </w:pPr>
      <w:rPr>
        <w:rFonts w:hint="default"/>
      </w:rPr>
    </w:lvl>
    <w:lvl w:ilvl="1">
      <w:start w:val="9"/>
      <w:numFmt w:val="decimal"/>
      <w:lvlText w:val="%1.%2"/>
      <w:lvlJc w:val="left"/>
      <w:pPr>
        <w:ind w:left="118" w:hanging="443"/>
      </w:pPr>
      <w:rPr>
        <w:rFonts w:ascii="Times New Roman" w:eastAsia="Times New Roman" w:hAnsi="Times New Roman" w:hint="default"/>
        <w:sz w:val="22"/>
        <w:szCs w:val="22"/>
      </w:rPr>
    </w:lvl>
    <w:lvl w:ilvl="2">
      <w:start w:val="1"/>
      <w:numFmt w:val="bullet"/>
      <w:lvlText w:val=""/>
      <w:lvlJc w:val="left"/>
      <w:pPr>
        <w:ind w:left="838" w:hanging="360"/>
      </w:pPr>
      <w:rPr>
        <w:rFonts w:ascii="Symbol" w:eastAsia="Symbol" w:hAnsi="Symbol" w:hint="default"/>
        <w:w w:val="101"/>
        <w:sz w:val="22"/>
        <w:szCs w:val="22"/>
      </w:rPr>
    </w:lvl>
    <w:lvl w:ilvl="3">
      <w:start w:val="1"/>
      <w:numFmt w:val="bullet"/>
      <w:lvlText w:val="•"/>
      <w:lvlJc w:val="left"/>
      <w:pPr>
        <w:ind w:left="2848" w:hanging="360"/>
      </w:pPr>
      <w:rPr>
        <w:rFonts w:hint="default"/>
      </w:rPr>
    </w:lvl>
    <w:lvl w:ilvl="4">
      <w:start w:val="1"/>
      <w:numFmt w:val="bullet"/>
      <w:lvlText w:val="•"/>
      <w:lvlJc w:val="left"/>
      <w:pPr>
        <w:ind w:left="3853" w:hanging="360"/>
      </w:pPr>
      <w:rPr>
        <w:rFonts w:hint="default"/>
      </w:rPr>
    </w:lvl>
    <w:lvl w:ilvl="5">
      <w:start w:val="1"/>
      <w:numFmt w:val="bullet"/>
      <w:lvlText w:val="•"/>
      <w:lvlJc w:val="left"/>
      <w:pPr>
        <w:ind w:left="4858" w:hanging="360"/>
      </w:pPr>
      <w:rPr>
        <w:rFonts w:hint="default"/>
      </w:rPr>
    </w:lvl>
    <w:lvl w:ilvl="6">
      <w:start w:val="1"/>
      <w:numFmt w:val="bullet"/>
      <w:lvlText w:val="•"/>
      <w:lvlJc w:val="left"/>
      <w:pPr>
        <w:ind w:left="5863" w:hanging="360"/>
      </w:pPr>
      <w:rPr>
        <w:rFonts w:hint="default"/>
      </w:rPr>
    </w:lvl>
    <w:lvl w:ilvl="7">
      <w:start w:val="1"/>
      <w:numFmt w:val="bullet"/>
      <w:lvlText w:val="•"/>
      <w:lvlJc w:val="left"/>
      <w:pPr>
        <w:ind w:left="6869" w:hanging="360"/>
      </w:pPr>
      <w:rPr>
        <w:rFonts w:hint="default"/>
      </w:rPr>
    </w:lvl>
    <w:lvl w:ilvl="8">
      <w:start w:val="1"/>
      <w:numFmt w:val="bullet"/>
      <w:lvlText w:val="•"/>
      <w:lvlJc w:val="left"/>
      <w:pPr>
        <w:ind w:left="7874" w:hanging="360"/>
      </w:pPr>
      <w:rPr>
        <w:rFonts w:hint="default"/>
      </w:rPr>
    </w:lvl>
  </w:abstractNum>
  <w:num w:numId="1">
    <w:abstractNumId w:val="91"/>
  </w:num>
  <w:num w:numId="2">
    <w:abstractNumId w:val="52"/>
  </w:num>
  <w:num w:numId="3">
    <w:abstractNumId w:val="23"/>
  </w:num>
  <w:num w:numId="4">
    <w:abstractNumId w:val="45"/>
  </w:num>
  <w:num w:numId="5">
    <w:abstractNumId w:val="34"/>
  </w:num>
  <w:num w:numId="6">
    <w:abstractNumId w:val="80"/>
  </w:num>
  <w:num w:numId="7">
    <w:abstractNumId w:val="35"/>
  </w:num>
  <w:num w:numId="8">
    <w:abstractNumId w:val="32"/>
  </w:num>
  <w:num w:numId="9">
    <w:abstractNumId w:val="40"/>
  </w:num>
  <w:num w:numId="10">
    <w:abstractNumId w:val="78"/>
  </w:num>
  <w:num w:numId="11">
    <w:abstractNumId w:val="38"/>
  </w:num>
  <w:num w:numId="12">
    <w:abstractNumId w:val="20"/>
  </w:num>
  <w:num w:numId="13">
    <w:abstractNumId w:val="0"/>
  </w:num>
  <w:num w:numId="14">
    <w:abstractNumId w:val="10"/>
  </w:num>
  <w:num w:numId="15">
    <w:abstractNumId w:val="17"/>
  </w:num>
  <w:num w:numId="16">
    <w:abstractNumId w:val="70"/>
  </w:num>
  <w:num w:numId="17">
    <w:abstractNumId w:val="8"/>
  </w:num>
  <w:num w:numId="18">
    <w:abstractNumId w:val="62"/>
  </w:num>
  <w:num w:numId="19">
    <w:abstractNumId w:val="7"/>
  </w:num>
  <w:num w:numId="20">
    <w:abstractNumId w:val="19"/>
  </w:num>
  <w:num w:numId="21">
    <w:abstractNumId w:val="41"/>
  </w:num>
  <w:num w:numId="22">
    <w:abstractNumId w:val="81"/>
  </w:num>
  <w:num w:numId="23">
    <w:abstractNumId w:val="60"/>
  </w:num>
  <w:num w:numId="24">
    <w:abstractNumId w:val="69"/>
  </w:num>
  <w:num w:numId="25">
    <w:abstractNumId w:val="59"/>
  </w:num>
  <w:num w:numId="26">
    <w:abstractNumId w:val="48"/>
  </w:num>
  <w:num w:numId="27">
    <w:abstractNumId w:val="92"/>
  </w:num>
  <w:num w:numId="28">
    <w:abstractNumId w:val="95"/>
  </w:num>
  <w:num w:numId="29">
    <w:abstractNumId w:val="54"/>
  </w:num>
  <w:num w:numId="30">
    <w:abstractNumId w:val="18"/>
  </w:num>
  <w:num w:numId="31">
    <w:abstractNumId w:val="2"/>
  </w:num>
  <w:num w:numId="32">
    <w:abstractNumId w:val="4"/>
  </w:num>
  <w:num w:numId="33">
    <w:abstractNumId w:val="11"/>
  </w:num>
  <w:num w:numId="34">
    <w:abstractNumId w:val="6"/>
  </w:num>
  <w:num w:numId="35">
    <w:abstractNumId w:val="15"/>
  </w:num>
  <w:num w:numId="36">
    <w:abstractNumId w:val="3"/>
  </w:num>
  <w:num w:numId="37">
    <w:abstractNumId w:val="13"/>
  </w:num>
  <w:num w:numId="38">
    <w:abstractNumId w:val="9"/>
  </w:num>
  <w:num w:numId="39">
    <w:abstractNumId w:val="1"/>
  </w:num>
  <w:num w:numId="40">
    <w:abstractNumId w:val="93"/>
  </w:num>
  <w:num w:numId="41">
    <w:abstractNumId w:val="28"/>
  </w:num>
  <w:num w:numId="42">
    <w:abstractNumId w:val="71"/>
  </w:num>
  <w:num w:numId="43">
    <w:abstractNumId w:val="90"/>
  </w:num>
  <w:num w:numId="44">
    <w:abstractNumId w:val="12"/>
  </w:num>
  <w:num w:numId="45">
    <w:abstractNumId w:val="16"/>
  </w:num>
  <w:num w:numId="46">
    <w:abstractNumId w:val="61"/>
  </w:num>
  <w:num w:numId="47">
    <w:abstractNumId w:val="39"/>
  </w:num>
  <w:num w:numId="48">
    <w:abstractNumId w:val="25"/>
  </w:num>
  <w:num w:numId="49">
    <w:abstractNumId w:val="44"/>
  </w:num>
  <w:num w:numId="50">
    <w:abstractNumId w:val="99"/>
  </w:num>
  <w:num w:numId="51">
    <w:abstractNumId w:val="43"/>
  </w:num>
  <w:num w:numId="52">
    <w:abstractNumId w:val="29"/>
  </w:num>
  <w:num w:numId="53">
    <w:abstractNumId w:val="33"/>
  </w:num>
  <w:num w:numId="54">
    <w:abstractNumId w:val="67"/>
  </w:num>
  <w:num w:numId="55">
    <w:abstractNumId w:val="5"/>
  </w:num>
  <w:num w:numId="56">
    <w:abstractNumId w:val="14"/>
  </w:num>
  <w:num w:numId="57">
    <w:abstractNumId w:val="24"/>
  </w:num>
  <w:num w:numId="58">
    <w:abstractNumId w:val="98"/>
  </w:num>
  <w:num w:numId="59">
    <w:abstractNumId w:val="75"/>
  </w:num>
  <w:num w:numId="60">
    <w:abstractNumId w:val="85"/>
  </w:num>
  <w:num w:numId="61">
    <w:abstractNumId w:val="73"/>
  </w:num>
  <w:num w:numId="62">
    <w:abstractNumId w:val="94"/>
  </w:num>
  <w:num w:numId="63">
    <w:abstractNumId w:val="30"/>
  </w:num>
  <w:num w:numId="64">
    <w:abstractNumId w:val="27"/>
  </w:num>
  <w:num w:numId="65">
    <w:abstractNumId w:val="49"/>
  </w:num>
  <w:num w:numId="66">
    <w:abstractNumId w:val="91"/>
  </w:num>
  <w:num w:numId="67">
    <w:abstractNumId w:val="65"/>
  </w:num>
  <w:num w:numId="68">
    <w:abstractNumId w:val="101"/>
  </w:num>
  <w:num w:numId="69">
    <w:abstractNumId w:val="100"/>
  </w:num>
  <w:num w:numId="70">
    <w:abstractNumId w:val="66"/>
  </w:num>
  <w:num w:numId="71">
    <w:abstractNumId w:val="31"/>
  </w:num>
  <w:num w:numId="72">
    <w:abstractNumId w:val="53"/>
  </w:num>
  <w:num w:numId="73">
    <w:abstractNumId w:val="84"/>
  </w:num>
  <w:num w:numId="74">
    <w:abstractNumId w:val="102"/>
  </w:num>
  <w:num w:numId="75">
    <w:abstractNumId w:val="50"/>
  </w:num>
  <w:num w:numId="76">
    <w:abstractNumId w:val="42"/>
  </w:num>
  <w:num w:numId="77">
    <w:abstractNumId w:val="47"/>
  </w:num>
  <w:num w:numId="78">
    <w:abstractNumId w:val="89"/>
  </w:num>
  <w:num w:numId="79">
    <w:abstractNumId w:val="77"/>
  </w:num>
  <w:num w:numId="80">
    <w:abstractNumId w:val="79"/>
  </w:num>
  <w:num w:numId="81">
    <w:abstractNumId w:val="37"/>
  </w:num>
  <w:num w:numId="82">
    <w:abstractNumId w:val="97"/>
  </w:num>
  <w:num w:numId="83">
    <w:abstractNumId w:val="22"/>
  </w:num>
  <w:num w:numId="84">
    <w:abstractNumId w:val="56"/>
  </w:num>
  <w:num w:numId="85">
    <w:abstractNumId w:val="83"/>
  </w:num>
  <w:num w:numId="86">
    <w:abstractNumId w:val="46"/>
  </w:num>
  <w:num w:numId="87">
    <w:abstractNumId w:val="76"/>
  </w:num>
  <w:num w:numId="88">
    <w:abstractNumId w:val="86"/>
  </w:num>
  <w:num w:numId="89">
    <w:abstractNumId w:val="88"/>
  </w:num>
  <w:num w:numId="90">
    <w:abstractNumId w:val="96"/>
  </w:num>
  <w:num w:numId="91">
    <w:abstractNumId w:val="51"/>
  </w:num>
  <w:num w:numId="92">
    <w:abstractNumId w:val="21"/>
  </w:num>
  <w:num w:numId="93">
    <w:abstractNumId w:val="74"/>
  </w:num>
  <w:num w:numId="94">
    <w:abstractNumId w:val="55"/>
  </w:num>
  <w:num w:numId="95">
    <w:abstractNumId w:val="72"/>
  </w:num>
  <w:num w:numId="96">
    <w:abstractNumId w:val="57"/>
  </w:num>
  <w:num w:numId="97">
    <w:abstractNumId w:val="26"/>
  </w:num>
  <w:num w:numId="98">
    <w:abstractNumId w:val="87"/>
  </w:num>
  <w:num w:numId="99">
    <w:abstractNumId w:val="68"/>
  </w:num>
  <w:num w:numId="100">
    <w:abstractNumId w:val="63"/>
  </w:num>
  <w:num w:numId="101">
    <w:abstractNumId w:val="58"/>
  </w:num>
  <w:num w:numId="102">
    <w:abstractNumId w:val="36"/>
  </w:num>
  <w:num w:numId="103">
    <w:abstractNumId w:val="82"/>
  </w:num>
  <w:num w:numId="104">
    <w:abstractNumId w:val="6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isplayHorizontalDrawingGridEvery w:val="2"/>
  <w:noPunctuationKerning/>
  <w:characterSpacingControl w:val="doNotCompress"/>
  <w:hdrShapeDefaults>
    <o:shapedefaults v:ext="edit" spidmax="2049" style="mso-wrap-style:tight;mso-position-vertical-relative:margin" fill="f" fillcolor="white">
      <v:fill color="white" on="f"/>
      <v:stroke weight=".25pt"/>
      <v:shadow color="#969696" opacity=".5" obscured="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C6"/>
    <w:rsid w:val="000006F0"/>
    <w:rsid w:val="00005C0C"/>
    <w:rsid w:val="00006F85"/>
    <w:rsid w:val="00007790"/>
    <w:rsid w:val="00013843"/>
    <w:rsid w:val="000151CA"/>
    <w:rsid w:val="0001567A"/>
    <w:rsid w:val="00016DEF"/>
    <w:rsid w:val="00017CD6"/>
    <w:rsid w:val="00022875"/>
    <w:rsid w:val="00024CA8"/>
    <w:rsid w:val="000308FB"/>
    <w:rsid w:val="000317D3"/>
    <w:rsid w:val="0003443F"/>
    <w:rsid w:val="00037FEA"/>
    <w:rsid w:val="000404D2"/>
    <w:rsid w:val="00040A0D"/>
    <w:rsid w:val="00042EB1"/>
    <w:rsid w:val="0004323B"/>
    <w:rsid w:val="00046995"/>
    <w:rsid w:val="000519FF"/>
    <w:rsid w:val="00052277"/>
    <w:rsid w:val="00056D64"/>
    <w:rsid w:val="0005732C"/>
    <w:rsid w:val="00061DDB"/>
    <w:rsid w:val="000649C2"/>
    <w:rsid w:val="00065D56"/>
    <w:rsid w:val="000670EA"/>
    <w:rsid w:val="00077A79"/>
    <w:rsid w:val="00080085"/>
    <w:rsid w:val="00081AF1"/>
    <w:rsid w:val="00084930"/>
    <w:rsid w:val="00085B08"/>
    <w:rsid w:val="00087A30"/>
    <w:rsid w:val="00087A44"/>
    <w:rsid w:val="00090F62"/>
    <w:rsid w:val="00094DCE"/>
    <w:rsid w:val="00097547"/>
    <w:rsid w:val="000A0947"/>
    <w:rsid w:val="000A3430"/>
    <w:rsid w:val="000B5239"/>
    <w:rsid w:val="000C36B3"/>
    <w:rsid w:val="000C4FC9"/>
    <w:rsid w:val="000C50BB"/>
    <w:rsid w:val="000D599C"/>
    <w:rsid w:val="000D7B06"/>
    <w:rsid w:val="000E0978"/>
    <w:rsid w:val="000E1335"/>
    <w:rsid w:val="000E410D"/>
    <w:rsid w:val="000F48AB"/>
    <w:rsid w:val="000F4EE1"/>
    <w:rsid w:val="00102720"/>
    <w:rsid w:val="00115841"/>
    <w:rsid w:val="00117F34"/>
    <w:rsid w:val="001209E4"/>
    <w:rsid w:val="00123017"/>
    <w:rsid w:val="00131D8A"/>
    <w:rsid w:val="00132C7D"/>
    <w:rsid w:val="00133DF5"/>
    <w:rsid w:val="00133E75"/>
    <w:rsid w:val="001404A0"/>
    <w:rsid w:val="0014152A"/>
    <w:rsid w:val="001423DC"/>
    <w:rsid w:val="00143A0C"/>
    <w:rsid w:val="00144531"/>
    <w:rsid w:val="00146378"/>
    <w:rsid w:val="00153D96"/>
    <w:rsid w:val="00163C9F"/>
    <w:rsid w:val="0016632E"/>
    <w:rsid w:val="001672E5"/>
    <w:rsid w:val="00174D7B"/>
    <w:rsid w:val="00175978"/>
    <w:rsid w:val="001770C4"/>
    <w:rsid w:val="00177881"/>
    <w:rsid w:val="00177B58"/>
    <w:rsid w:val="00177F13"/>
    <w:rsid w:val="00180160"/>
    <w:rsid w:val="00185C42"/>
    <w:rsid w:val="00185F7E"/>
    <w:rsid w:val="00187749"/>
    <w:rsid w:val="00192337"/>
    <w:rsid w:val="001A3B5F"/>
    <w:rsid w:val="001A4CDE"/>
    <w:rsid w:val="001A56FF"/>
    <w:rsid w:val="001A6576"/>
    <w:rsid w:val="001A6F5D"/>
    <w:rsid w:val="001B21D6"/>
    <w:rsid w:val="001B4DA8"/>
    <w:rsid w:val="001B4E8D"/>
    <w:rsid w:val="001C58C4"/>
    <w:rsid w:val="001D4369"/>
    <w:rsid w:val="001D4408"/>
    <w:rsid w:val="001E046F"/>
    <w:rsid w:val="001E5CA9"/>
    <w:rsid w:val="001E627A"/>
    <w:rsid w:val="001F0EA4"/>
    <w:rsid w:val="001F25DC"/>
    <w:rsid w:val="001F2A0C"/>
    <w:rsid w:val="001F4BC4"/>
    <w:rsid w:val="001F76E5"/>
    <w:rsid w:val="001F770D"/>
    <w:rsid w:val="00202009"/>
    <w:rsid w:val="002107E7"/>
    <w:rsid w:val="002115F3"/>
    <w:rsid w:val="0021262C"/>
    <w:rsid w:val="00212E94"/>
    <w:rsid w:val="00215CBF"/>
    <w:rsid w:val="0022765C"/>
    <w:rsid w:val="002279EB"/>
    <w:rsid w:val="002328DD"/>
    <w:rsid w:val="002331C8"/>
    <w:rsid w:val="00236F4F"/>
    <w:rsid w:val="002378B9"/>
    <w:rsid w:val="00242AC2"/>
    <w:rsid w:val="0024610B"/>
    <w:rsid w:val="00247858"/>
    <w:rsid w:val="002503A9"/>
    <w:rsid w:val="00252565"/>
    <w:rsid w:val="00252EAF"/>
    <w:rsid w:val="00253A63"/>
    <w:rsid w:val="0025429C"/>
    <w:rsid w:val="002561E1"/>
    <w:rsid w:val="00256D13"/>
    <w:rsid w:val="00256F6A"/>
    <w:rsid w:val="00257A15"/>
    <w:rsid w:val="00260D22"/>
    <w:rsid w:val="002618CE"/>
    <w:rsid w:val="00261E52"/>
    <w:rsid w:val="00271C78"/>
    <w:rsid w:val="00280471"/>
    <w:rsid w:val="00282CF2"/>
    <w:rsid w:val="0028307B"/>
    <w:rsid w:val="002907B5"/>
    <w:rsid w:val="0029112B"/>
    <w:rsid w:val="002A4B38"/>
    <w:rsid w:val="002B2FC5"/>
    <w:rsid w:val="002B318C"/>
    <w:rsid w:val="002B784C"/>
    <w:rsid w:val="002B7B9F"/>
    <w:rsid w:val="002C4CB9"/>
    <w:rsid w:val="002C537F"/>
    <w:rsid w:val="002C544C"/>
    <w:rsid w:val="002C5B44"/>
    <w:rsid w:val="002C788B"/>
    <w:rsid w:val="002D237F"/>
    <w:rsid w:val="002D6BFC"/>
    <w:rsid w:val="002E27A6"/>
    <w:rsid w:val="002E4B67"/>
    <w:rsid w:val="002F1530"/>
    <w:rsid w:val="002F351D"/>
    <w:rsid w:val="002F5209"/>
    <w:rsid w:val="002F7EF9"/>
    <w:rsid w:val="003072FA"/>
    <w:rsid w:val="00307F78"/>
    <w:rsid w:val="00311E2E"/>
    <w:rsid w:val="00312B96"/>
    <w:rsid w:val="00317586"/>
    <w:rsid w:val="00334988"/>
    <w:rsid w:val="00335E11"/>
    <w:rsid w:val="00337140"/>
    <w:rsid w:val="00342E3D"/>
    <w:rsid w:val="00350EAA"/>
    <w:rsid w:val="003537DE"/>
    <w:rsid w:val="003556B0"/>
    <w:rsid w:val="003557D4"/>
    <w:rsid w:val="003558AB"/>
    <w:rsid w:val="00355A05"/>
    <w:rsid w:val="00356ADB"/>
    <w:rsid w:val="00360FB6"/>
    <w:rsid w:val="0036162C"/>
    <w:rsid w:val="00361A17"/>
    <w:rsid w:val="00371E5C"/>
    <w:rsid w:val="0038184B"/>
    <w:rsid w:val="00386D89"/>
    <w:rsid w:val="0039205D"/>
    <w:rsid w:val="0039241D"/>
    <w:rsid w:val="003A14EC"/>
    <w:rsid w:val="003A1F80"/>
    <w:rsid w:val="003A3229"/>
    <w:rsid w:val="003A3861"/>
    <w:rsid w:val="003A6156"/>
    <w:rsid w:val="003B743C"/>
    <w:rsid w:val="003C343E"/>
    <w:rsid w:val="003C5165"/>
    <w:rsid w:val="003D1041"/>
    <w:rsid w:val="003D1AB1"/>
    <w:rsid w:val="003D7EFE"/>
    <w:rsid w:val="003E358A"/>
    <w:rsid w:val="003E781A"/>
    <w:rsid w:val="003E7E73"/>
    <w:rsid w:val="004032A2"/>
    <w:rsid w:val="00405969"/>
    <w:rsid w:val="00407413"/>
    <w:rsid w:val="004154C9"/>
    <w:rsid w:val="0041722E"/>
    <w:rsid w:val="0041727C"/>
    <w:rsid w:val="00417AD2"/>
    <w:rsid w:val="00424AA3"/>
    <w:rsid w:val="00426331"/>
    <w:rsid w:val="00426C58"/>
    <w:rsid w:val="00426F01"/>
    <w:rsid w:val="004273C8"/>
    <w:rsid w:val="00427A22"/>
    <w:rsid w:val="00430915"/>
    <w:rsid w:val="0043288C"/>
    <w:rsid w:val="00434851"/>
    <w:rsid w:val="0043502B"/>
    <w:rsid w:val="00435ECB"/>
    <w:rsid w:val="00436584"/>
    <w:rsid w:val="00436657"/>
    <w:rsid w:val="00437D9F"/>
    <w:rsid w:val="00443A69"/>
    <w:rsid w:val="00454326"/>
    <w:rsid w:val="004549FA"/>
    <w:rsid w:val="00455F38"/>
    <w:rsid w:val="004560FA"/>
    <w:rsid w:val="004565B2"/>
    <w:rsid w:val="00456AD9"/>
    <w:rsid w:val="0046006A"/>
    <w:rsid w:val="00467384"/>
    <w:rsid w:val="004679A5"/>
    <w:rsid w:val="004722DF"/>
    <w:rsid w:val="0047448D"/>
    <w:rsid w:val="00477877"/>
    <w:rsid w:val="0048156A"/>
    <w:rsid w:val="00482284"/>
    <w:rsid w:val="00485AA3"/>
    <w:rsid w:val="00490255"/>
    <w:rsid w:val="00490442"/>
    <w:rsid w:val="004905DE"/>
    <w:rsid w:val="00490884"/>
    <w:rsid w:val="00492E23"/>
    <w:rsid w:val="004946CA"/>
    <w:rsid w:val="0049598C"/>
    <w:rsid w:val="00495A17"/>
    <w:rsid w:val="00497387"/>
    <w:rsid w:val="004A3A6C"/>
    <w:rsid w:val="004A4A85"/>
    <w:rsid w:val="004A4E63"/>
    <w:rsid w:val="004A503D"/>
    <w:rsid w:val="004A5795"/>
    <w:rsid w:val="004A5E62"/>
    <w:rsid w:val="004B1AF7"/>
    <w:rsid w:val="004B5CAC"/>
    <w:rsid w:val="004C0E4F"/>
    <w:rsid w:val="004C2A75"/>
    <w:rsid w:val="004C2A85"/>
    <w:rsid w:val="004C54E2"/>
    <w:rsid w:val="004D2BBD"/>
    <w:rsid w:val="004D3682"/>
    <w:rsid w:val="004D54CB"/>
    <w:rsid w:val="004F2CCC"/>
    <w:rsid w:val="004F50C6"/>
    <w:rsid w:val="004F5D86"/>
    <w:rsid w:val="00501DF3"/>
    <w:rsid w:val="005062C5"/>
    <w:rsid w:val="005065DE"/>
    <w:rsid w:val="00506994"/>
    <w:rsid w:val="00506B32"/>
    <w:rsid w:val="00507F75"/>
    <w:rsid w:val="00511F76"/>
    <w:rsid w:val="00514498"/>
    <w:rsid w:val="00520C1F"/>
    <w:rsid w:val="00521072"/>
    <w:rsid w:val="00522401"/>
    <w:rsid w:val="005232A4"/>
    <w:rsid w:val="00523F5D"/>
    <w:rsid w:val="00526F15"/>
    <w:rsid w:val="00532753"/>
    <w:rsid w:val="00534DD3"/>
    <w:rsid w:val="005355F1"/>
    <w:rsid w:val="005361D4"/>
    <w:rsid w:val="005378AE"/>
    <w:rsid w:val="00543972"/>
    <w:rsid w:val="00552653"/>
    <w:rsid w:val="00565D31"/>
    <w:rsid w:val="00571C30"/>
    <w:rsid w:val="00583FB0"/>
    <w:rsid w:val="0058782F"/>
    <w:rsid w:val="0059009B"/>
    <w:rsid w:val="00590721"/>
    <w:rsid w:val="00596F0D"/>
    <w:rsid w:val="00597A34"/>
    <w:rsid w:val="005A098A"/>
    <w:rsid w:val="005A4A78"/>
    <w:rsid w:val="005A6C6B"/>
    <w:rsid w:val="005B0414"/>
    <w:rsid w:val="005B5623"/>
    <w:rsid w:val="005C1D0A"/>
    <w:rsid w:val="005C4D7E"/>
    <w:rsid w:val="005C6DBD"/>
    <w:rsid w:val="005C7668"/>
    <w:rsid w:val="005D411E"/>
    <w:rsid w:val="005D63D8"/>
    <w:rsid w:val="005E5717"/>
    <w:rsid w:val="005F0511"/>
    <w:rsid w:val="005F4B98"/>
    <w:rsid w:val="005F68C6"/>
    <w:rsid w:val="005F6DC2"/>
    <w:rsid w:val="005F6EAD"/>
    <w:rsid w:val="00601744"/>
    <w:rsid w:val="00607520"/>
    <w:rsid w:val="00610EF0"/>
    <w:rsid w:val="00613AA8"/>
    <w:rsid w:val="006141A2"/>
    <w:rsid w:val="0061578B"/>
    <w:rsid w:val="00615ABF"/>
    <w:rsid w:val="0062050D"/>
    <w:rsid w:val="006214A0"/>
    <w:rsid w:val="00625498"/>
    <w:rsid w:val="00626BB5"/>
    <w:rsid w:val="00627413"/>
    <w:rsid w:val="00631179"/>
    <w:rsid w:val="00635E30"/>
    <w:rsid w:val="00637265"/>
    <w:rsid w:val="00643339"/>
    <w:rsid w:val="00655D0D"/>
    <w:rsid w:val="00656E77"/>
    <w:rsid w:val="00657A3F"/>
    <w:rsid w:val="006603DF"/>
    <w:rsid w:val="00660649"/>
    <w:rsid w:val="006619D3"/>
    <w:rsid w:val="00671E2C"/>
    <w:rsid w:val="00680746"/>
    <w:rsid w:val="006807C5"/>
    <w:rsid w:val="00681105"/>
    <w:rsid w:val="00681371"/>
    <w:rsid w:val="00686E86"/>
    <w:rsid w:val="006900A6"/>
    <w:rsid w:val="0069501C"/>
    <w:rsid w:val="006A0485"/>
    <w:rsid w:val="006A1798"/>
    <w:rsid w:val="006A197A"/>
    <w:rsid w:val="006A4462"/>
    <w:rsid w:val="006B2E04"/>
    <w:rsid w:val="006B7352"/>
    <w:rsid w:val="006B7AAB"/>
    <w:rsid w:val="006C2961"/>
    <w:rsid w:val="006C56A5"/>
    <w:rsid w:val="006C7C0B"/>
    <w:rsid w:val="006D5BFE"/>
    <w:rsid w:val="006D635F"/>
    <w:rsid w:val="006E0757"/>
    <w:rsid w:val="006E1063"/>
    <w:rsid w:val="006E116F"/>
    <w:rsid w:val="006E3EDF"/>
    <w:rsid w:val="006E51AF"/>
    <w:rsid w:val="006E5DDD"/>
    <w:rsid w:val="006E758B"/>
    <w:rsid w:val="006F13C5"/>
    <w:rsid w:val="006F29F5"/>
    <w:rsid w:val="006F6F6F"/>
    <w:rsid w:val="007003B4"/>
    <w:rsid w:val="007050DC"/>
    <w:rsid w:val="0070674F"/>
    <w:rsid w:val="007115EC"/>
    <w:rsid w:val="00717523"/>
    <w:rsid w:val="007204C9"/>
    <w:rsid w:val="00726834"/>
    <w:rsid w:val="00727AC1"/>
    <w:rsid w:val="00732D50"/>
    <w:rsid w:val="0073431D"/>
    <w:rsid w:val="007372DB"/>
    <w:rsid w:val="00737845"/>
    <w:rsid w:val="00745A94"/>
    <w:rsid w:val="00751255"/>
    <w:rsid w:val="00756A0D"/>
    <w:rsid w:val="00760913"/>
    <w:rsid w:val="00760A1B"/>
    <w:rsid w:val="00762F0A"/>
    <w:rsid w:val="0076759F"/>
    <w:rsid w:val="0077688B"/>
    <w:rsid w:val="007779F6"/>
    <w:rsid w:val="00785521"/>
    <w:rsid w:val="00786FD6"/>
    <w:rsid w:val="00787ADB"/>
    <w:rsid w:val="00790909"/>
    <w:rsid w:val="007920A7"/>
    <w:rsid w:val="0079535A"/>
    <w:rsid w:val="007A4FBF"/>
    <w:rsid w:val="007B2142"/>
    <w:rsid w:val="007B2B49"/>
    <w:rsid w:val="007B49A3"/>
    <w:rsid w:val="007B4FF6"/>
    <w:rsid w:val="007B5138"/>
    <w:rsid w:val="007B5FF8"/>
    <w:rsid w:val="007B6D87"/>
    <w:rsid w:val="007B7086"/>
    <w:rsid w:val="007C15C6"/>
    <w:rsid w:val="007C235F"/>
    <w:rsid w:val="007C3770"/>
    <w:rsid w:val="007C3FDC"/>
    <w:rsid w:val="007C5BE8"/>
    <w:rsid w:val="007D034C"/>
    <w:rsid w:val="007D0D35"/>
    <w:rsid w:val="007D0D70"/>
    <w:rsid w:val="007D43DC"/>
    <w:rsid w:val="007D57A9"/>
    <w:rsid w:val="007E486B"/>
    <w:rsid w:val="007E6487"/>
    <w:rsid w:val="007F0385"/>
    <w:rsid w:val="008001B2"/>
    <w:rsid w:val="00800854"/>
    <w:rsid w:val="00800C02"/>
    <w:rsid w:val="008044F4"/>
    <w:rsid w:val="00804B6F"/>
    <w:rsid w:val="0080556D"/>
    <w:rsid w:val="0080706F"/>
    <w:rsid w:val="00807C84"/>
    <w:rsid w:val="00810CF8"/>
    <w:rsid w:val="0081355A"/>
    <w:rsid w:val="00814DFD"/>
    <w:rsid w:val="008152F9"/>
    <w:rsid w:val="00816DE5"/>
    <w:rsid w:val="008205C2"/>
    <w:rsid w:val="0082504C"/>
    <w:rsid w:val="00833240"/>
    <w:rsid w:val="008337B1"/>
    <w:rsid w:val="0083688A"/>
    <w:rsid w:val="008369FC"/>
    <w:rsid w:val="00836F8D"/>
    <w:rsid w:val="00837E46"/>
    <w:rsid w:val="00845400"/>
    <w:rsid w:val="00846F14"/>
    <w:rsid w:val="00847CEF"/>
    <w:rsid w:val="00847F91"/>
    <w:rsid w:val="00852C21"/>
    <w:rsid w:val="00860367"/>
    <w:rsid w:val="00863F61"/>
    <w:rsid w:val="00866800"/>
    <w:rsid w:val="008668D8"/>
    <w:rsid w:val="008677FD"/>
    <w:rsid w:val="00867AB8"/>
    <w:rsid w:val="008738DC"/>
    <w:rsid w:val="0087432B"/>
    <w:rsid w:val="008820D9"/>
    <w:rsid w:val="008832AF"/>
    <w:rsid w:val="00884DA7"/>
    <w:rsid w:val="0088519C"/>
    <w:rsid w:val="008852E9"/>
    <w:rsid w:val="00887CA0"/>
    <w:rsid w:val="00890847"/>
    <w:rsid w:val="00894606"/>
    <w:rsid w:val="00894656"/>
    <w:rsid w:val="008A0979"/>
    <w:rsid w:val="008A0AC1"/>
    <w:rsid w:val="008A30FA"/>
    <w:rsid w:val="008A4E20"/>
    <w:rsid w:val="008A6EE9"/>
    <w:rsid w:val="008A7A99"/>
    <w:rsid w:val="008B00BA"/>
    <w:rsid w:val="008B03DD"/>
    <w:rsid w:val="008B3825"/>
    <w:rsid w:val="008C35B7"/>
    <w:rsid w:val="008D189D"/>
    <w:rsid w:val="008D2BFF"/>
    <w:rsid w:val="008D6C4C"/>
    <w:rsid w:val="008D7328"/>
    <w:rsid w:val="008E30E9"/>
    <w:rsid w:val="008E6E1F"/>
    <w:rsid w:val="008E7479"/>
    <w:rsid w:val="008F15E4"/>
    <w:rsid w:val="008F2943"/>
    <w:rsid w:val="008F4A84"/>
    <w:rsid w:val="008F6AE4"/>
    <w:rsid w:val="00903789"/>
    <w:rsid w:val="00904BD9"/>
    <w:rsid w:val="00910DA3"/>
    <w:rsid w:val="0091150C"/>
    <w:rsid w:val="00924B4F"/>
    <w:rsid w:val="00925277"/>
    <w:rsid w:val="00931D74"/>
    <w:rsid w:val="0093558A"/>
    <w:rsid w:val="009370EB"/>
    <w:rsid w:val="00941521"/>
    <w:rsid w:val="00941628"/>
    <w:rsid w:val="00941EEE"/>
    <w:rsid w:val="00942811"/>
    <w:rsid w:val="0094312C"/>
    <w:rsid w:val="00943B82"/>
    <w:rsid w:val="00946550"/>
    <w:rsid w:val="00951006"/>
    <w:rsid w:val="009516FB"/>
    <w:rsid w:val="00952EE6"/>
    <w:rsid w:val="00954888"/>
    <w:rsid w:val="00955652"/>
    <w:rsid w:val="00962A5E"/>
    <w:rsid w:val="0096343C"/>
    <w:rsid w:val="009655A9"/>
    <w:rsid w:val="00970238"/>
    <w:rsid w:val="00971C48"/>
    <w:rsid w:val="00972791"/>
    <w:rsid w:val="00975E26"/>
    <w:rsid w:val="00981887"/>
    <w:rsid w:val="0098257F"/>
    <w:rsid w:val="009847B4"/>
    <w:rsid w:val="009848FE"/>
    <w:rsid w:val="00986E84"/>
    <w:rsid w:val="009931E5"/>
    <w:rsid w:val="00993DBF"/>
    <w:rsid w:val="00997272"/>
    <w:rsid w:val="009A50F0"/>
    <w:rsid w:val="009C4B2B"/>
    <w:rsid w:val="009C6BD2"/>
    <w:rsid w:val="009D08FF"/>
    <w:rsid w:val="009D2CF1"/>
    <w:rsid w:val="009E337D"/>
    <w:rsid w:val="009E7F63"/>
    <w:rsid w:val="009F2733"/>
    <w:rsid w:val="009F4F89"/>
    <w:rsid w:val="009F6084"/>
    <w:rsid w:val="00A10569"/>
    <w:rsid w:val="00A11216"/>
    <w:rsid w:val="00A14AD5"/>
    <w:rsid w:val="00A2492F"/>
    <w:rsid w:val="00A26AC9"/>
    <w:rsid w:val="00A27DD2"/>
    <w:rsid w:val="00A33204"/>
    <w:rsid w:val="00A3421B"/>
    <w:rsid w:val="00A364F9"/>
    <w:rsid w:val="00A37B64"/>
    <w:rsid w:val="00A465B2"/>
    <w:rsid w:val="00A478B0"/>
    <w:rsid w:val="00A47FA0"/>
    <w:rsid w:val="00A521EC"/>
    <w:rsid w:val="00A52E78"/>
    <w:rsid w:val="00A533ED"/>
    <w:rsid w:val="00A57133"/>
    <w:rsid w:val="00A62967"/>
    <w:rsid w:val="00A6770C"/>
    <w:rsid w:val="00A70D7A"/>
    <w:rsid w:val="00A71086"/>
    <w:rsid w:val="00A75FFF"/>
    <w:rsid w:val="00A82EB2"/>
    <w:rsid w:val="00A842C5"/>
    <w:rsid w:val="00A84A4F"/>
    <w:rsid w:val="00A93F89"/>
    <w:rsid w:val="00A96774"/>
    <w:rsid w:val="00A96D8B"/>
    <w:rsid w:val="00AA0805"/>
    <w:rsid w:val="00AA1EF3"/>
    <w:rsid w:val="00AA3449"/>
    <w:rsid w:val="00AA4279"/>
    <w:rsid w:val="00AA42D4"/>
    <w:rsid w:val="00AA4AA0"/>
    <w:rsid w:val="00AB6332"/>
    <w:rsid w:val="00AB6957"/>
    <w:rsid w:val="00AB6EE6"/>
    <w:rsid w:val="00AB751C"/>
    <w:rsid w:val="00AB7A9E"/>
    <w:rsid w:val="00AC294C"/>
    <w:rsid w:val="00AC3004"/>
    <w:rsid w:val="00AC466F"/>
    <w:rsid w:val="00AD14DA"/>
    <w:rsid w:val="00AD2118"/>
    <w:rsid w:val="00AD378F"/>
    <w:rsid w:val="00AD3C2C"/>
    <w:rsid w:val="00AD5F8B"/>
    <w:rsid w:val="00AE3A4B"/>
    <w:rsid w:val="00AE3F7E"/>
    <w:rsid w:val="00AE785E"/>
    <w:rsid w:val="00AF6E50"/>
    <w:rsid w:val="00B06304"/>
    <w:rsid w:val="00B12E18"/>
    <w:rsid w:val="00B13080"/>
    <w:rsid w:val="00B1541E"/>
    <w:rsid w:val="00B2301B"/>
    <w:rsid w:val="00B23319"/>
    <w:rsid w:val="00B3040C"/>
    <w:rsid w:val="00B3079D"/>
    <w:rsid w:val="00B322EF"/>
    <w:rsid w:val="00B43232"/>
    <w:rsid w:val="00B46BA2"/>
    <w:rsid w:val="00B50B73"/>
    <w:rsid w:val="00B5383D"/>
    <w:rsid w:val="00B558CD"/>
    <w:rsid w:val="00B56A26"/>
    <w:rsid w:val="00B61834"/>
    <w:rsid w:val="00B62052"/>
    <w:rsid w:val="00B637F1"/>
    <w:rsid w:val="00B64852"/>
    <w:rsid w:val="00B74DB5"/>
    <w:rsid w:val="00B75DCD"/>
    <w:rsid w:val="00B77C49"/>
    <w:rsid w:val="00B80413"/>
    <w:rsid w:val="00B83FC5"/>
    <w:rsid w:val="00B8577E"/>
    <w:rsid w:val="00B85F0C"/>
    <w:rsid w:val="00B87B6D"/>
    <w:rsid w:val="00BA2479"/>
    <w:rsid w:val="00BB0AF3"/>
    <w:rsid w:val="00BB25E1"/>
    <w:rsid w:val="00BB4785"/>
    <w:rsid w:val="00BB481D"/>
    <w:rsid w:val="00BB4DC3"/>
    <w:rsid w:val="00BB7A14"/>
    <w:rsid w:val="00BC0D2B"/>
    <w:rsid w:val="00BC4733"/>
    <w:rsid w:val="00BC505F"/>
    <w:rsid w:val="00BD5CD5"/>
    <w:rsid w:val="00BD6809"/>
    <w:rsid w:val="00BE1980"/>
    <w:rsid w:val="00BE1FDA"/>
    <w:rsid w:val="00BE324E"/>
    <w:rsid w:val="00BE39D4"/>
    <w:rsid w:val="00BE40AD"/>
    <w:rsid w:val="00BE67D7"/>
    <w:rsid w:val="00BF2646"/>
    <w:rsid w:val="00BF4076"/>
    <w:rsid w:val="00BF6E79"/>
    <w:rsid w:val="00C0158F"/>
    <w:rsid w:val="00C04141"/>
    <w:rsid w:val="00C0419B"/>
    <w:rsid w:val="00C063D6"/>
    <w:rsid w:val="00C07A51"/>
    <w:rsid w:val="00C13AFC"/>
    <w:rsid w:val="00C24A85"/>
    <w:rsid w:val="00C32E5F"/>
    <w:rsid w:val="00C35292"/>
    <w:rsid w:val="00C4308F"/>
    <w:rsid w:val="00C43B89"/>
    <w:rsid w:val="00C52AFB"/>
    <w:rsid w:val="00C55AB4"/>
    <w:rsid w:val="00C64843"/>
    <w:rsid w:val="00C735B8"/>
    <w:rsid w:val="00C77C17"/>
    <w:rsid w:val="00C83F37"/>
    <w:rsid w:val="00C93183"/>
    <w:rsid w:val="00C938D9"/>
    <w:rsid w:val="00C938ED"/>
    <w:rsid w:val="00C94A20"/>
    <w:rsid w:val="00C95B94"/>
    <w:rsid w:val="00C965E1"/>
    <w:rsid w:val="00CA12F4"/>
    <w:rsid w:val="00CA67FE"/>
    <w:rsid w:val="00CA6ED4"/>
    <w:rsid w:val="00CB062D"/>
    <w:rsid w:val="00CB1FDE"/>
    <w:rsid w:val="00CB430B"/>
    <w:rsid w:val="00CC59E1"/>
    <w:rsid w:val="00CC7B74"/>
    <w:rsid w:val="00CD0850"/>
    <w:rsid w:val="00CD4BF5"/>
    <w:rsid w:val="00CD7A97"/>
    <w:rsid w:val="00CE1FD5"/>
    <w:rsid w:val="00CF2DF6"/>
    <w:rsid w:val="00CF3262"/>
    <w:rsid w:val="00CF5FF2"/>
    <w:rsid w:val="00D00B6E"/>
    <w:rsid w:val="00D06473"/>
    <w:rsid w:val="00D07165"/>
    <w:rsid w:val="00D102A0"/>
    <w:rsid w:val="00D117EF"/>
    <w:rsid w:val="00D145C2"/>
    <w:rsid w:val="00D17A53"/>
    <w:rsid w:val="00D2232E"/>
    <w:rsid w:val="00D22B28"/>
    <w:rsid w:val="00D27717"/>
    <w:rsid w:val="00D303AC"/>
    <w:rsid w:val="00D31FC6"/>
    <w:rsid w:val="00D36971"/>
    <w:rsid w:val="00D375C8"/>
    <w:rsid w:val="00D505A4"/>
    <w:rsid w:val="00D5270E"/>
    <w:rsid w:val="00D57B50"/>
    <w:rsid w:val="00D65860"/>
    <w:rsid w:val="00D67435"/>
    <w:rsid w:val="00D7034D"/>
    <w:rsid w:val="00D7652D"/>
    <w:rsid w:val="00D807B0"/>
    <w:rsid w:val="00D8109A"/>
    <w:rsid w:val="00D82921"/>
    <w:rsid w:val="00D90078"/>
    <w:rsid w:val="00D906CC"/>
    <w:rsid w:val="00D90B7D"/>
    <w:rsid w:val="00D91E6A"/>
    <w:rsid w:val="00D92917"/>
    <w:rsid w:val="00D93303"/>
    <w:rsid w:val="00D945C0"/>
    <w:rsid w:val="00DA1CF4"/>
    <w:rsid w:val="00DA379D"/>
    <w:rsid w:val="00DA3C14"/>
    <w:rsid w:val="00DA3DE3"/>
    <w:rsid w:val="00DA5119"/>
    <w:rsid w:val="00DA76CB"/>
    <w:rsid w:val="00DB009D"/>
    <w:rsid w:val="00DB270B"/>
    <w:rsid w:val="00DB5177"/>
    <w:rsid w:val="00DC0029"/>
    <w:rsid w:val="00DC034F"/>
    <w:rsid w:val="00DC3D17"/>
    <w:rsid w:val="00DC6AD3"/>
    <w:rsid w:val="00DC6B43"/>
    <w:rsid w:val="00DD1267"/>
    <w:rsid w:val="00DD2066"/>
    <w:rsid w:val="00DD23E8"/>
    <w:rsid w:val="00DD3465"/>
    <w:rsid w:val="00DE7342"/>
    <w:rsid w:val="00DE7569"/>
    <w:rsid w:val="00DF3C24"/>
    <w:rsid w:val="00E025F0"/>
    <w:rsid w:val="00E07715"/>
    <w:rsid w:val="00E13D37"/>
    <w:rsid w:val="00E16079"/>
    <w:rsid w:val="00E165D7"/>
    <w:rsid w:val="00E22152"/>
    <w:rsid w:val="00E23318"/>
    <w:rsid w:val="00E37E05"/>
    <w:rsid w:val="00E51964"/>
    <w:rsid w:val="00E57B97"/>
    <w:rsid w:val="00E57E96"/>
    <w:rsid w:val="00E60D38"/>
    <w:rsid w:val="00E637C8"/>
    <w:rsid w:val="00E66851"/>
    <w:rsid w:val="00E67834"/>
    <w:rsid w:val="00E73676"/>
    <w:rsid w:val="00E7414A"/>
    <w:rsid w:val="00E75300"/>
    <w:rsid w:val="00E75643"/>
    <w:rsid w:val="00E76003"/>
    <w:rsid w:val="00E80FE3"/>
    <w:rsid w:val="00E85215"/>
    <w:rsid w:val="00E86873"/>
    <w:rsid w:val="00E909C9"/>
    <w:rsid w:val="00E91023"/>
    <w:rsid w:val="00E914AB"/>
    <w:rsid w:val="00E9262E"/>
    <w:rsid w:val="00E93DFD"/>
    <w:rsid w:val="00E97225"/>
    <w:rsid w:val="00EA0A28"/>
    <w:rsid w:val="00EA265A"/>
    <w:rsid w:val="00EA2851"/>
    <w:rsid w:val="00EB237A"/>
    <w:rsid w:val="00EB35F9"/>
    <w:rsid w:val="00EC028C"/>
    <w:rsid w:val="00EC0E18"/>
    <w:rsid w:val="00EC4F07"/>
    <w:rsid w:val="00EC5A2B"/>
    <w:rsid w:val="00EC6C66"/>
    <w:rsid w:val="00ED0246"/>
    <w:rsid w:val="00EE155B"/>
    <w:rsid w:val="00EE3678"/>
    <w:rsid w:val="00EF3402"/>
    <w:rsid w:val="00EF3D70"/>
    <w:rsid w:val="00F01D03"/>
    <w:rsid w:val="00F05112"/>
    <w:rsid w:val="00F2077C"/>
    <w:rsid w:val="00F2086A"/>
    <w:rsid w:val="00F311EF"/>
    <w:rsid w:val="00F31526"/>
    <w:rsid w:val="00F34136"/>
    <w:rsid w:val="00F363E2"/>
    <w:rsid w:val="00F3667D"/>
    <w:rsid w:val="00F36AB9"/>
    <w:rsid w:val="00F419A7"/>
    <w:rsid w:val="00F422E5"/>
    <w:rsid w:val="00F432E0"/>
    <w:rsid w:val="00F46F9D"/>
    <w:rsid w:val="00F523B4"/>
    <w:rsid w:val="00F532D4"/>
    <w:rsid w:val="00F541BC"/>
    <w:rsid w:val="00F54293"/>
    <w:rsid w:val="00F5518C"/>
    <w:rsid w:val="00F55C9D"/>
    <w:rsid w:val="00F62A8B"/>
    <w:rsid w:val="00F70361"/>
    <w:rsid w:val="00F713B8"/>
    <w:rsid w:val="00F72327"/>
    <w:rsid w:val="00F72514"/>
    <w:rsid w:val="00F73DCF"/>
    <w:rsid w:val="00F7573F"/>
    <w:rsid w:val="00F83E75"/>
    <w:rsid w:val="00F848D4"/>
    <w:rsid w:val="00F9310D"/>
    <w:rsid w:val="00F94CA9"/>
    <w:rsid w:val="00F95B4C"/>
    <w:rsid w:val="00FA08B3"/>
    <w:rsid w:val="00FA35F5"/>
    <w:rsid w:val="00FA574D"/>
    <w:rsid w:val="00FA74F0"/>
    <w:rsid w:val="00FB3E59"/>
    <w:rsid w:val="00FB40BC"/>
    <w:rsid w:val="00FB48EF"/>
    <w:rsid w:val="00FC2873"/>
    <w:rsid w:val="00FC2BF9"/>
    <w:rsid w:val="00FC5336"/>
    <w:rsid w:val="00FC7499"/>
    <w:rsid w:val="00FD0E7A"/>
    <w:rsid w:val="00FD18BA"/>
    <w:rsid w:val="00FD259A"/>
    <w:rsid w:val="00FE263D"/>
    <w:rsid w:val="00FE4F1A"/>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tight;mso-position-vertical-relative:margin" fill="f" fillcolor="white">
      <v:fill color="white" on="f"/>
      <v:stroke weight=".25pt"/>
      <v:shadow color="#969696" opacity=".5" obscured="t" offset="6pt,6pt"/>
    </o:shapedefaults>
    <o:shapelayout v:ext="edit">
      <o:idmap v:ext="edit" data="1"/>
    </o:shapelayout>
  </w:shapeDefaults>
  <w:decimalSymbol w:val="."/>
  <w:listSeparator w:val=","/>
  <w14:docId w14:val="6E8BF99C"/>
  <w15:docId w15:val="{F3DC8700-CE4E-4502-B493-BB46A61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994"/>
    <w:rPr>
      <w:rFonts w:eastAsiaTheme="minorEastAsia"/>
      <w:sz w:val="22"/>
      <w:szCs w:val="22"/>
    </w:rPr>
  </w:style>
  <w:style w:type="paragraph" w:styleId="Heading1">
    <w:name w:val="heading 1"/>
    <w:basedOn w:val="Normal"/>
    <w:next w:val="Normal"/>
    <w:uiPriority w:val="1"/>
    <w:qFormat/>
    <w:rsid w:val="00C04141"/>
    <w:pPr>
      <w:keepNext/>
      <w:numPr>
        <w:numId w:val="1"/>
      </w:numPr>
      <w:spacing w:after="120"/>
      <w:outlineLvl w:val="0"/>
    </w:pPr>
    <w:rPr>
      <w:b/>
      <w:bCs/>
      <w:szCs w:val="32"/>
    </w:rPr>
  </w:style>
  <w:style w:type="paragraph" w:styleId="Heading2">
    <w:name w:val="heading 2"/>
    <w:basedOn w:val="Heading1"/>
    <w:next w:val="Normal"/>
    <w:uiPriority w:val="1"/>
    <w:qFormat/>
    <w:rsid w:val="00C04141"/>
    <w:pPr>
      <w:numPr>
        <w:ilvl w:val="1"/>
      </w:numPr>
      <w:outlineLvl w:val="1"/>
    </w:pPr>
    <w:rPr>
      <w:bCs w:val="0"/>
      <w:iCs/>
      <w:szCs w:val="28"/>
    </w:rPr>
  </w:style>
  <w:style w:type="paragraph" w:styleId="Heading3">
    <w:name w:val="heading 3"/>
    <w:basedOn w:val="Heading2"/>
    <w:next w:val="Normal"/>
    <w:link w:val="Heading3Char"/>
    <w:qFormat/>
    <w:rsid w:val="00C04141"/>
    <w:pPr>
      <w:numPr>
        <w:ilvl w:val="2"/>
      </w:numPr>
      <w:outlineLvl w:val="2"/>
    </w:pPr>
    <w:rPr>
      <w:bCs/>
      <w:szCs w:val="26"/>
    </w:rPr>
  </w:style>
  <w:style w:type="paragraph" w:styleId="Heading4">
    <w:name w:val="heading 4"/>
    <w:basedOn w:val="Heading2"/>
    <w:next w:val="Normal"/>
    <w:link w:val="Heading4Char"/>
    <w:qFormat/>
    <w:rsid w:val="00C04141"/>
    <w:pPr>
      <w:numPr>
        <w:ilvl w:val="3"/>
      </w:numPr>
      <w:outlineLvl w:val="3"/>
    </w:pPr>
    <w:rPr>
      <w:bCs/>
    </w:rPr>
  </w:style>
  <w:style w:type="paragraph" w:styleId="Heading5">
    <w:name w:val="heading 5"/>
    <w:basedOn w:val="Heading2"/>
    <w:next w:val="Normal"/>
    <w:link w:val="Heading5Char"/>
    <w:qFormat/>
    <w:rsid w:val="00C04141"/>
    <w:pPr>
      <w:numPr>
        <w:ilvl w:val="4"/>
      </w:numPr>
      <w:outlineLvl w:val="4"/>
    </w:pPr>
    <w:rPr>
      <w:bCs/>
      <w:iCs w:val="0"/>
      <w:szCs w:val="26"/>
    </w:rPr>
  </w:style>
  <w:style w:type="paragraph" w:styleId="Heading6">
    <w:name w:val="heading 6"/>
    <w:basedOn w:val="Heading2"/>
    <w:next w:val="Normal"/>
    <w:link w:val="Heading6Char"/>
    <w:qFormat/>
    <w:rsid w:val="00C04141"/>
    <w:pPr>
      <w:numPr>
        <w:ilvl w:val="5"/>
      </w:numPr>
      <w:outlineLvl w:val="5"/>
    </w:pPr>
    <w:rPr>
      <w:bCs/>
      <w:szCs w:val="22"/>
    </w:rPr>
  </w:style>
  <w:style w:type="paragraph" w:styleId="Heading7">
    <w:name w:val="heading 7"/>
    <w:basedOn w:val="Heading2"/>
    <w:next w:val="Normal"/>
    <w:link w:val="Heading7Char"/>
    <w:qFormat/>
    <w:rsid w:val="00C04141"/>
    <w:pPr>
      <w:numPr>
        <w:ilvl w:val="6"/>
      </w:numPr>
      <w:outlineLvl w:val="6"/>
    </w:pPr>
  </w:style>
  <w:style w:type="paragraph" w:styleId="Heading8">
    <w:name w:val="heading 8"/>
    <w:basedOn w:val="Heading2"/>
    <w:next w:val="Normal"/>
    <w:link w:val="Heading8Char"/>
    <w:qFormat/>
    <w:rsid w:val="00C04141"/>
    <w:pPr>
      <w:numPr>
        <w:ilvl w:val="7"/>
      </w:numPr>
      <w:outlineLvl w:val="7"/>
    </w:pPr>
    <w:rPr>
      <w:iCs w:val="0"/>
    </w:rPr>
  </w:style>
  <w:style w:type="paragraph" w:styleId="Heading9">
    <w:name w:val="heading 9"/>
    <w:basedOn w:val="Heading2"/>
    <w:next w:val="Normal"/>
    <w:link w:val="Heading9Char"/>
    <w:qFormat/>
    <w:rsid w:val="00C04141"/>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04141"/>
    <w:pPr>
      <w:ind w:left="425"/>
    </w:pPr>
  </w:style>
  <w:style w:type="paragraph" w:styleId="PlainText">
    <w:name w:val="Plain Text"/>
    <w:basedOn w:val="Normal"/>
    <w:next w:val="Normal"/>
    <w:rsid w:val="00C04141"/>
    <w:rPr>
      <w:rFonts w:ascii="Courier New" w:hAnsi="Courier New" w:cs="Courier New"/>
      <w:sz w:val="18"/>
      <w:szCs w:val="20"/>
    </w:rPr>
  </w:style>
  <w:style w:type="paragraph" w:customStyle="1" w:styleId="HeadingFree">
    <w:name w:val="Heading Free"/>
    <w:basedOn w:val="Normal"/>
    <w:next w:val="Normal"/>
    <w:rsid w:val="00435ECB"/>
    <w:pPr>
      <w:keepNext/>
      <w:spacing w:after="260"/>
      <w:ind w:left="1140" w:hanging="1140"/>
    </w:pPr>
    <w:rPr>
      <w:b/>
      <w:caps/>
    </w:rPr>
  </w:style>
  <w:style w:type="paragraph" w:styleId="TOC1">
    <w:name w:val="toc 1"/>
    <w:basedOn w:val="Normal"/>
    <w:next w:val="Normal"/>
    <w:rsid w:val="00C04141"/>
    <w:pPr>
      <w:tabs>
        <w:tab w:val="right" w:leader="dot" w:pos="9923"/>
      </w:tabs>
      <w:spacing w:before="120"/>
      <w:ind w:left="1140" w:hanging="1140"/>
    </w:pPr>
  </w:style>
  <w:style w:type="paragraph" w:styleId="TOC2">
    <w:name w:val="toc 2"/>
    <w:basedOn w:val="TOC1"/>
    <w:next w:val="Normal"/>
    <w:rsid w:val="00C04141"/>
    <w:pPr>
      <w:spacing w:before="0"/>
    </w:pPr>
  </w:style>
  <w:style w:type="paragraph" w:styleId="TOC3">
    <w:name w:val="toc 3"/>
    <w:basedOn w:val="TOC2"/>
    <w:next w:val="Normal"/>
    <w:rsid w:val="00C04141"/>
  </w:style>
  <w:style w:type="paragraph" w:styleId="TOC4">
    <w:name w:val="toc 4"/>
    <w:basedOn w:val="TOC2"/>
    <w:next w:val="Normal"/>
    <w:semiHidden/>
    <w:rsid w:val="00C04141"/>
  </w:style>
  <w:style w:type="paragraph" w:styleId="TOC5">
    <w:name w:val="toc 5"/>
    <w:basedOn w:val="TOC2"/>
    <w:next w:val="Normal"/>
    <w:semiHidden/>
    <w:rsid w:val="00C04141"/>
  </w:style>
  <w:style w:type="paragraph" w:styleId="TOC6">
    <w:name w:val="toc 6"/>
    <w:basedOn w:val="TOC2"/>
    <w:next w:val="Normal"/>
    <w:semiHidden/>
    <w:rsid w:val="00C04141"/>
  </w:style>
  <w:style w:type="paragraph" w:styleId="TOC7">
    <w:name w:val="toc 7"/>
    <w:basedOn w:val="TOC2"/>
    <w:next w:val="Normal"/>
    <w:semiHidden/>
    <w:rsid w:val="00C04141"/>
  </w:style>
  <w:style w:type="paragraph" w:styleId="TOC8">
    <w:name w:val="toc 8"/>
    <w:basedOn w:val="TOC1"/>
    <w:next w:val="Normal"/>
    <w:semiHidden/>
    <w:rsid w:val="00C04141"/>
    <w:pPr>
      <w:ind w:firstLine="0"/>
    </w:pPr>
  </w:style>
  <w:style w:type="paragraph" w:styleId="TOC9">
    <w:name w:val="toc 9"/>
    <w:basedOn w:val="TOC2"/>
    <w:next w:val="Normal"/>
    <w:semiHidden/>
    <w:rsid w:val="00C04141"/>
    <w:pPr>
      <w:ind w:firstLine="0"/>
    </w:pPr>
  </w:style>
  <w:style w:type="paragraph" w:styleId="Title">
    <w:name w:val="Title"/>
    <w:basedOn w:val="Normal"/>
    <w:qFormat/>
    <w:rsid w:val="00C04141"/>
    <w:pPr>
      <w:spacing w:line="400" w:lineRule="exact"/>
      <w:jc w:val="center"/>
    </w:pPr>
    <w:rPr>
      <w:bCs/>
      <w:kern w:val="28"/>
      <w:sz w:val="40"/>
      <w:szCs w:val="32"/>
    </w:rPr>
  </w:style>
  <w:style w:type="paragraph" w:styleId="FootnoteText">
    <w:name w:val="footnote text"/>
    <w:basedOn w:val="Normal"/>
    <w:link w:val="FootnoteTextChar"/>
    <w:semiHidden/>
    <w:rsid w:val="00C04141"/>
    <w:pPr>
      <w:tabs>
        <w:tab w:val="left" w:pos="425"/>
      </w:tabs>
      <w:spacing w:line="200" w:lineRule="exact"/>
      <w:ind w:left="425" w:hanging="425"/>
    </w:pPr>
    <w:rPr>
      <w:sz w:val="18"/>
      <w:szCs w:val="20"/>
    </w:rPr>
  </w:style>
  <w:style w:type="paragraph" w:customStyle="1" w:styleId="Picture">
    <w:name w:val="Picture"/>
    <w:basedOn w:val="Normal"/>
    <w:next w:val="Normal"/>
    <w:rsid w:val="00C04141"/>
    <w:pPr>
      <w:spacing w:before="120" w:after="120" w:line="260" w:lineRule="atLeast"/>
    </w:pPr>
  </w:style>
  <w:style w:type="paragraph" w:customStyle="1" w:styleId="PictureIndent">
    <w:name w:val="Picture Indent"/>
    <w:basedOn w:val="Picture"/>
    <w:next w:val="Normal"/>
    <w:rsid w:val="00C04141"/>
    <w:pPr>
      <w:ind w:left="-1140"/>
    </w:pPr>
  </w:style>
  <w:style w:type="paragraph" w:styleId="Caption">
    <w:name w:val="caption"/>
    <w:basedOn w:val="Normal"/>
    <w:next w:val="Normal"/>
    <w:qFormat/>
    <w:rsid w:val="00C04141"/>
    <w:pPr>
      <w:tabs>
        <w:tab w:val="left" w:pos="1134"/>
      </w:tabs>
      <w:ind w:left="1077" w:hanging="1134"/>
    </w:pPr>
    <w:rPr>
      <w:bCs/>
      <w:szCs w:val="20"/>
    </w:rPr>
  </w:style>
  <w:style w:type="paragraph" w:styleId="ListBullet">
    <w:name w:val="List Bullet"/>
    <w:basedOn w:val="Normal"/>
    <w:rsid w:val="00C04141"/>
    <w:pPr>
      <w:numPr>
        <w:numId w:val="2"/>
      </w:numPr>
    </w:pPr>
  </w:style>
  <w:style w:type="paragraph" w:styleId="ListBullet2">
    <w:name w:val="List Bullet 2"/>
    <w:basedOn w:val="ListBullet"/>
    <w:rsid w:val="00C04141"/>
    <w:pPr>
      <w:numPr>
        <w:numId w:val="3"/>
      </w:numPr>
      <w:tabs>
        <w:tab w:val="left" w:pos="850"/>
      </w:tabs>
    </w:pPr>
  </w:style>
  <w:style w:type="paragraph" w:styleId="ListBullet3">
    <w:name w:val="List Bullet 3"/>
    <w:basedOn w:val="ListBullet"/>
    <w:rsid w:val="00C04141"/>
    <w:pPr>
      <w:numPr>
        <w:numId w:val="4"/>
      </w:numPr>
      <w:tabs>
        <w:tab w:val="left" w:pos="1275"/>
      </w:tabs>
    </w:pPr>
  </w:style>
  <w:style w:type="paragraph" w:styleId="ListBullet4">
    <w:name w:val="List Bullet 4"/>
    <w:basedOn w:val="ListBullet"/>
    <w:rsid w:val="00C04141"/>
    <w:pPr>
      <w:numPr>
        <w:numId w:val="5"/>
      </w:numPr>
      <w:tabs>
        <w:tab w:val="left" w:pos="1700"/>
      </w:tabs>
    </w:pPr>
  </w:style>
  <w:style w:type="paragraph" w:styleId="ListBullet5">
    <w:name w:val="List Bullet 5"/>
    <w:basedOn w:val="ListBullet"/>
    <w:rsid w:val="00C04141"/>
    <w:pPr>
      <w:numPr>
        <w:numId w:val="6"/>
      </w:numPr>
      <w:tabs>
        <w:tab w:val="left" w:pos="2125"/>
      </w:tabs>
    </w:pPr>
  </w:style>
  <w:style w:type="paragraph" w:styleId="ListNumber">
    <w:name w:val="List Number"/>
    <w:basedOn w:val="Normal"/>
    <w:rsid w:val="00C04141"/>
    <w:pPr>
      <w:numPr>
        <w:numId w:val="7"/>
      </w:numPr>
    </w:pPr>
  </w:style>
  <w:style w:type="paragraph" w:styleId="ListNumber2">
    <w:name w:val="List Number 2"/>
    <w:basedOn w:val="ListNumber"/>
    <w:rsid w:val="00C04141"/>
    <w:pPr>
      <w:numPr>
        <w:numId w:val="8"/>
      </w:numPr>
      <w:tabs>
        <w:tab w:val="left" w:pos="850"/>
      </w:tabs>
    </w:pPr>
  </w:style>
  <w:style w:type="paragraph" w:styleId="ListNumber3">
    <w:name w:val="List Number 3"/>
    <w:basedOn w:val="ListNumber"/>
    <w:rsid w:val="00C04141"/>
    <w:pPr>
      <w:numPr>
        <w:numId w:val="9"/>
      </w:numPr>
      <w:tabs>
        <w:tab w:val="left" w:pos="1275"/>
      </w:tabs>
    </w:pPr>
  </w:style>
  <w:style w:type="paragraph" w:styleId="ListNumber4">
    <w:name w:val="List Number 4"/>
    <w:basedOn w:val="ListNumber"/>
    <w:rsid w:val="00C04141"/>
    <w:pPr>
      <w:numPr>
        <w:numId w:val="10"/>
      </w:numPr>
      <w:tabs>
        <w:tab w:val="left" w:pos="1700"/>
      </w:tabs>
    </w:pPr>
  </w:style>
  <w:style w:type="paragraph" w:styleId="ListNumber5">
    <w:name w:val="List Number 5"/>
    <w:basedOn w:val="ListNumber"/>
    <w:rsid w:val="00C04141"/>
    <w:pPr>
      <w:numPr>
        <w:numId w:val="11"/>
      </w:numPr>
      <w:tabs>
        <w:tab w:val="left" w:pos="2125"/>
      </w:tabs>
    </w:pPr>
  </w:style>
  <w:style w:type="paragraph" w:styleId="List">
    <w:name w:val="List"/>
    <w:basedOn w:val="Normal"/>
    <w:rsid w:val="00C04141"/>
    <w:pPr>
      <w:ind w:left="425"/>
    </w:pPr>
  </w:style>
  <w:style w:type="paragraph" w:styleId="List2">
    <w:name w:val="List 2"/>
    <w:basedOn w:val="List"/>
    <w:rsid w:val="00C04141"/>
    <w:pPr>
      <w:ind w:left="850"/>
    </w:pPr>
  </w:style>
  <w:style w:type="paragraph" w:styleId="List3">
    <w:name w:val="List 3"/>
    <w:basedOn w:val="List"/>
    <w:rsid w:val="00C04141"/>
    <w:pPr>
      <w:ind w:left="1275"/>
    </w:pPr>
  </w:style>
  <w:style w:type="paragraph" w:styleId="List4">
    <w:name w:val="List 4"/>
    <w:basedOn w:val="List"/>
    <w:rsid w:val="00C04141"/>
    <w:pPr>
      <w:ind w:left="1700"/>
    </w:pPr>
  </w:style>
  <w:style w:type="paragraph" w:styleId="List5">
    <w:name w:val="List 5"/>
    <w:basedOn w:val="List"/>
    <w:rsid w:val="00C04141"/>
    <w:pPr>
      <w:ind w:left="2125"/>
    </w:pPr>
  </w:style>
  <w:style w:type="paragraph" w:customStyle="1" w:styleId="ListFree1">
    <w:name w:val="List Free 1"/>
    <w:basedOn w:val="Normal"/>
    <w:rsid w:val="00C04141"/>
    <w:pPr>
      <w:tabs>
        <w:tab w:val="left" w:pos="425"/>
      </w:tabs>
      <w:ind w:left="425" w:hanging="425"/>
    </w:pPr>
  </w:style>
  <w:style w:type="paragraph" w:customStyle="1" w:styleId="ListFree2">
    <w:name w:val="List Free 2"/>
    <w:basedOn w:val="ListFree1"/>
    <w:rsid w:val="00C04141"/>
    <w:pPr>
      <w:tabs>
        <w:tab w:val="clear" w:pos="425"/>
        <w:tab w:val="left" w:pos="850"/>
      </w:tabs>
      <w:ind w:left="850"/>
    </w:pPr>
  </w:style>
  <w:style w:type="paragraph" w:customStyle="1" w:styleId="ListFree3">
    <w:name w:val="List Free 3"/>
    <w:basedOn w:val="ListFree1"/>
    <w:rsid w:val="00C04141"/>
    <w:pPr>
      <w:tabs>
        <w:tab w:val="clear" w:pos="425"/>
        <w:tab w:val="left" w:pos="1275"/>
      </w:tabs>
      <w:ind w:left="1275"/>
    </w:pPr>
  </w:style>
  <w:style w:type="paragraph" w:customStyle="1" w:styleId="ListFree4">
    <w:name w:val="List Free 4"/>
    <w:basedOn w:val="ListFree1"/>
    <w:rsid w:val="00C04141"/>
    <w:pPr>
      <w:tabs>
        <w:tab w:val="clear" w:pos="425"/>
        <w:tab w:val="left" w:pos="1700"/>
      </w:tabs>
      <w:ind w:left="1700"/>
    </w:pPr>
  </w:style>
  <w:style w:type="paragraph" w:customStyle="1" w:styleId="ListFree5">
    <w:name w:val="List Free 5"/>
    <w:basedOn w:val="ListFree1"/>
    <w:rsid w:val="00C04141"/>
    <w:pPr>
      <w:tabs>
        <w:tab w:val="clear" w:pos="425"/>
        <w:tab w:val="left" w:pos="2125"/>
      </w:tabs>
      <w:ind w:left="2125"/>
    </w:pPr>
  </w:style>
  <w:style w:type="paragraph" w:styleId="Header">
    <w:name w:val="header"/>
    <w:basedOn w:val="Normal"/>
    <w:link w:val="HeaderChar"/>
    <w:uiPriority w:val="99"/>
    <w:rsid w:val="00C04141"/>
    <w:pPr>
      <w:tabs>
        <w:tab w:val="center" w:pos="4153"/>
        <w:tab w:val="right" w:pos="8306"/>
      </w:tabs>
    </w:pPr>
  </w:style>
  <w:style w:type="paragraph" w:styleId="Footer">
    <w:name w:val="footer"/>
    <w:basedOn w:val="Normal"/>
    <w:link w:val="FooterChar"/>
    <w:uiPriority w:val="99"/>
    <w:rsid w:val="00C04141"/>
    <w:pPr>
      <w:tabs>
        <w:tab w:val="center" w:pos="4153"/>
        <w:tab w:val="right" w:pos="8306"/>
      </w:tabs>
    </w:pPr>
  </w:style>
  <w:style w:type="paragraph" w:styleId="BalloonText">
    <w:name w:val="Balloon Text"/>
    <w:basedOn w:val="Normal"/>
    <w:link w:val="BalloonTextChar"/>
    <w:uiPriority w:val="99"/>
    <w:semiHidden/>
    <w:unhideWhenUsed/>
    <w:rsid w:val="00C04141"/>
    <w:rPr>
      <w:rFonts w:ascii="Tahoma" w:hAnsi="Tahoma" w:cs="Tahoma"/>
      <w:sz w:val="16"/>
      <w:szCs w:val="16"/>
    </w:rPr>
  </w:style>
  <w:style w:type="character" w:customStyle="1" w:styleId="BalloonTextChar">
    <w:name w:val="Balloon Text Char"/>
    <w:basedOn w:val="DefaultParagraphFont"/>
    <w:link w:val="BalloonText"/>
    <w:uiPriority w:val="99"/>
    <w:semiHidden/>
    <w:rsid w:val="00C04141"/>
    <w:rPr>
      <w:rFonts w:ascii="Tahoma" w:hAnsi="Tahoma" w:cs="Tahoma"/>
      <w:sz w:val="16"/>
      <w:szCs w:val="16"/>
      <w:lang w:val="en-GB" w:eastAsia="en-GB"/>
    </w:rPr>
  </w:style>
  <w:style w:type="table" w:styleId="TableGrid">
    <w:name w:val="Table Grid"/>
    <w:basedOn w:val="TableNormal"/>
    <w:rsid w:val="00C0414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C04141"/>
    <w:pPr>
      <w:ind w:left="720"/>
      <w:contextualSpacing/>
    </w:pPr>
  </w:style>
  <w:style w:type="paragraph" w:styleId="NoSpacing">
    <w:name w:val="No Spacing"/>
    <w:link w:val="NoSpacingChar"/>
    <w:uiPriority w:val="1"/>
    <w:qFormat/>
    <w:rsid w:val="00C04141"/>
    <w:rPr>
      <w:rFonts w:ascii="Calibri" w:hAnsi="Calibri"/>
      <w:sz w:val="22"/>
      <w:szCs w:val="22"/>
    </w:rPr>
  </w:style>
  <w:style w:type="character" w:customStyle="1" w:styleId="NoSpacingChar">
    <w:name w:val="No Spacing Char"/>
    <w:basedOn w:val="DefaultParagraphFont"/>
    <w:link w:val="NoSpacing"/>
    <w:uiPriority w:val="1"/>
    <w:rsid w:val="00C04141"/>
    <w:rPr>
      <w:rFonts w:ascii="Calibri" w:hAnsi="Calibri"/>
      <w:sz w:val="22"/>
      <w:szCs w:val="22"/>
      <w:lang w:val="en-US" w:eastAsia="en-US" w:bidi="ar-SA"/>
    </w:rPr>
  </w:style>
  <w:style w:type="character" w:styleId="Hyperlink">
    <w:name w:val="Hyperlink"/>
    <w:basedOn w:val="DefaultParagraphFont"/>
    <w:unhideWhenUsed/>
    <w:rsid w:val="00C04141"/>
    <w:rPr>
      <w:color w:val="0000FF"/>
      <w:u w:val="single"/>
    </w:rPr>
  </w:style>
  <w:style w:type="table" w:customStyle="1" w:styleId="Synthon2">
    <w:name w:val="Synthon 2"/>
    <w:basedOn w:val="TableNormal"/>
    <w:uiPriority w:val="99"/>
    <w:qFormat/>
    <w:rsid w:val="00C04141"/>
    <w:tblPr>
      <w:tblBorders>
        <w:bottom w:val="single" w:sz="4" w:space="0" w:color="000000"/>
      </w:tblBorders>
    </w:tblPr>
    <w:tblStylePr w:type="firstRow">
      <w:rPr>
        <w:b/>
        <w:i/>
      </w:rPr>
      <w:tblPr/>
      <w:tcPr>
        <w:tcBorders>
          <w:top w:val="single" w:sz="4" w:space="0" w:color="000000"/>
          <w:bottom w:val="single" w:sz="4" w:space="0" w:color="000000"/>
        </w:tcBorders>
      </w:tcPr>
    </w:tblStylePr>
  </w:style>
  <w:style w:type="character" w:customStyle="1" w:styleId="FootnoteTextChar">
    <w:name w:val="Footnote Text Char"/>
    <w:basedOn w:val="DefaultParagraphFont"/>
    <w:link w:val="FootnoteText"/>
    <w:semiHidden/>
    <w:rsid w:val="00C04141"/>
    <w:rPr>
      <w:sz w:val="18"/>
      <w:lang w:val="en-GB" w:eastAsia="en-GB"/>
    </w:rPr>
  </w:style>
  <w:style w:type="character" w:styleId="FootnoteReference">
    <w:name w:val="footnote reference"/>
    <w:basedOn w:val="DefaultParagraphFont"/>
    <w:uiPriority w:val="99"/>
    <w:semiHidden/>
    <w:unhideWhenUsed/>
    <w:rsid w:val="00C04141"/>
    <w:rPr>
      <w:vertAlign w:val="superscript"/>
    </w:rPr>
  </w:style>
  <w:style w:type="table" w:customStyle="1" w:styleId="Synthon1">
    <w:name w:val="Synthon1"/>
    <w:basedOn w:val="TableNormal"/>
    <w:uiPriority w:val="99"/>
    <w:qFormat/>
    <w:rsid w:val="00C04141"/>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rPr>
        <w:b/>
        <w:i/>
      </w:rPr>
      <w:tblPr/>
      <w:tcPr>
        <w:shd w:val="clear" w:color="auto" w:fill="D9D9D9"/>
      </w:tcPr>
    </w:tblStylePr>
    <w:tblStylePr w:type="firstCol">
      <w:tblPr/>
      <w:tcPr>
        <w:shd w:val="clear" w:color="auto" w:fill="D9D9D9"/>
      </w:tcPr>
    </w:tblStylePr>
  </w:style>
  <w:style w:type="table" w:customStyle="1" w:styleId="Synthon10">
    <w:name w:val="Synthon 1"/>
    <w:basedOn w:val="TableNormal"/>
    <w:uiPriority w:val="99"/>
    <w:qFormat/>
    <w:rsid w:val="00C0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tblPr/>
      <w:tcPr>
        <w:shd w:val="clear" w:color="auto" w:fill="D9D9D9"/>
      </w:tcPr>
    </w:tblStylePr>
  </w:style>
  <w:style w:type="table" w:styleId="MediumShading1-Accent5">
    <w:name w:val="Medium Shading 1 Accent 5"/>
    <w:basedOn w:val="TableNormal"/>
    <w:uiPriority w:val="63"/>
    <w:rsid w:val="00C041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TableNormal"/>
    <w:uiPriority w:val="60"/>
    <w:rsid w:val="00C041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basedOn w:val="DefaultParagraphFont"/>
    <w:link w:val="Header"/>
    <w:uiPriority w:val="99"/>
    <w:rsid w:val="00C04141"/>
    <w:rPr>
      <w:sz w:val="24"/>
      <w:szCs w:val="24"/>
      <w:lang w:val="en-GB" w:eastAsia="en-GB"/>
    </w:rPr>
  </w:style>
  <w:style w:type="paragraph" w:customStyle="1" w:styleId="ListFreeIndent">
    <w:name w:val="List Free Indent"/>
    <w:basedOn w:val="NormalIndent"/>
    <w:rsid w:val="00435ECB"/>
    <w:pPr>
      <w:ind w:hanging="425"/>
    </w:pPr>
    <w:rPr>
      <w:color w:val="000000"/>
      <w:szCs w:val="20"/>
      <w:lang w:eastAsia="nl-NL"/>
    </w:rPr>
  </w:style>
  <w:style w:type="paragraph" w:styleId="NormalWeb">
    <w:name w:val="Normal (Web)"/>
    <w:basedOn w:val="Normal"/>
    <w:rsid w:val="00435ECB"/>
    <w:pPr>
      <w:spacing w:after="240"/>
    </w:pPr>
    <w:rPr>
      <w:color w:val="000000"/>
    </w:rPr>
  </w:style>
  <w:style w:type="paragraph" w:customStyle="1" w:styleId="toa">
    <w:name w:val="toa"/>
    <w:rsid w:val="00435ECB"/>
    <w:pPr>
      <w:widowControl w:val="0"/>
      <w:tabs>
        <w:tab w:val="left" w:pos="-164"/>
        <w:tab w:val="left" w:pos="8836"/>
        <w:tab w:val="right" w:pos="9196"/>
      </w:tabs>
      <w:suppressAutoHyphens/>
      <w:overflowPunct w:val="0"/>
      <w:autoSpaceDE w:val="0"/>
      <w:autoSpaceDN w:val="0"/>
      <w:adjustRightInd w:val="0"/>
      <w:textAlignment w:val="baseline"/>
    </w:pPr>
    <w:rPr>
      <w:rFonts w:ascii="CG Times" w:hAnsi="CG Times"/>
      <w:sz w:val="24"/>
      <w:lang w:val="en-GB" w:eastAsia="zh-CN"/>
    </w:rPr>
  </w:style>
  <w:style w:type="paragraph" w:styleId="BodyTextIndent">
    <w:name w:val="Body Text Indent"/>
    <w:basedOn w:val="Normal"/>
    <w:link w:val="BodyTextIndentChar"/>
    <w:rsid w:val="00435ECB"/>
    <w:pPr>
      <w:widowControl w:val="0"/>
      <w:tabs>
        <w:tab w:val="left" w:pos="426"/>
      </w:tabs>
      <w:overflowPunct w:val="0"/>
      <w:autoSpaceDE w:val="0"/>
      <w:autoSpaceDN w:val="0"/>
      <w:adjustRightInd w:val="0"/>
      <w:ind w:left="426"/>
      <w:textAlignment w:val="baseline"/>
    </w:pPr>
    <w:rPr>
      <w:szCs w:val="20"/>
      <w:lang w:eastAsia="zh-CN"/>
    </w:rPr>
  </w:style>
  <w:style w:type="character" w:customStyle="1" w:styleId="BodyTextIndentChar">
    <w:name w:val="Body Text Indent Char"/>
    <w:basedOn w:val="DefaultParagraphFont"/>
    <w:link w:val="BodyTextIndent"/>
    <w:rsid w:val="00435ECB"/>
    <w:rPr>
      <w:sz w:val="24"/>
      <w:lang w:val="en-GB" w:eastAsia="zh-CN"/>
    </w:rPr>
  </w:style>
  <w:style w:type="paragraph" w:styleId="BodyTextIndent2">
    <w:name w:val="Body Text Indent 2"/>
    <w:basedOn w:val="Normal"/>
    <w:link w:val="BodyTextIndent2Char"/>
    <w:rsid w:val="00435ECB"/>
    <w:pPr>
      <w:widowControl w:val="0"/>
      <w:tabs>
        <w:tab w:val="left" w:pos="426"/>
      </w:tabs>
      <w:overflowPunct w:val="0"/>
      <w:autoSpaceDE w:val="0"/>
      <w:autoSpaceDN w:val="0"/>
      <w:adjustRightInd w:val="0"/>
      <w:ind w:left="426" w:hanging="426"/>
      <w:textAlignment w:val="baseline"/>
    </w:pPr>
    <w:rPr>
      <w:szCs w:val="20"/>
      <w:lang w:eastAsia="zh-CN"/>
    </w:rPr>
  </w:style>
  <w:style w:type="character" w:customStyle="1" w:styleId="BodyTextIndent2Char">
    <w:name w:val="Body Text Indent 2 Char"/>
    <w:basedOn w:val="DefaultParagraphFont"/>
    <w:link w:val="BodyTextIndent2"/>
    <w:rsid w:val="00435ECB"/>
    <w:rPr>
      <w:sz w:val="24"/>
      <w:lang w:val="en-GB" w:eastAsia="zh-CN"/>
    </w:rPr>
  </w:style>
  <w:style w:type="table" w:styleId="TableColumns4">
    <w:name w:val="Table Columns 4"/>
    <w:basedOn w:val="TableNormal"/>
    <w:rsid w:val="00435ECB"/>
    <w:pPr>
      <w:spacing w:line="26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Text">
    <w:name w:val="Text"/>
    <w:basedOn w:val="Normal"/>
    <w:link w:val="TextChar1"/>
    <w:rsid w:val="00435ECB"/>
    <w:pPr>
      <w:spacing w:before="120"/>
    </w:pPr>
  </w:style>
  <w:style w:type="character" w:customStyle="1" w:styleId="TextChar1">
    <w:name w:val="Text Char1"/>
    <w:basedOn w:val="DefaultParagraphFont"/>
    <w:link w:val="Text"/>
    <w:rsid w:val="00435ECB"/>
    <w:rPr>
      <w:sz w:val="24"/>
      <w:szCs w:val="24"/>
    </w:rPr>
  </w:style>
  <w:style w:type="paragraph" w:customStyle="1" w:styleId="Nottoc-headings">
    <w:name w:val="Not toc-headings"/>
    <w:basedOn w:val="Normal"/>
    <w:next w:val="Text"/>
    <w:rsid w:val="00435ECB"/>
    <w:pPr>
      <w:keepNext/>
      <w:keepLines/>
      <w:spacing w:before="240" w:after="60"/>
      <w:ind w:left="1701" w:hanging="1701"/>
    </w:pPr>
    <w:rPr>
      <w:rFonts w:ascii="Arial" w:hAnsi="Arial"/>
      <w:b/>
      <w:szCs w:val="20"/>
    </w:rPr>
  </w:style>
  <w:style w:type="character" w:styleId="FollowedHyperlink">
    <w:name w:val="FollowedHyperlink"/>
    <w:basedOn w:val="DefaultParagraphFont"/>
    <w:rsid w:val="00435ECB"/>
    <w:rPr>
      <w:color w:val="800080"/>
      <w:u w:val="single"/>
    </w:rPr>
  </w:style>
  <w:style w:type="character" w:styleId="CommentReference">
    <w:name w:val="annotation reference"/>
    <w:basedOn w:val="DefaultParagraphFont"/>
    <w:semiHidden/>
    <w:rsid w:val="00435ECB"/>
    <w:rPr>
      <w:sz w:val="16"/>
      <w:szCs w:val="16"/>
    </w:rPr>
  </w:style>
  <w:style w:type="paragraph" w:styleId="CommentText">
    <w:name w:val="annotation text"/>
    <w:basedOn w:val="Normal"/>
    <w:link w:val="CommentTextChar"/>
    <w:semiHidden/>
    <w:rsid w:val="00435ECB"/>
    <w:rPr>
      <w:sz w:val="20"/>
      <w:szCs w:val="20"/>
    </w:rPr>
  </w:style>
  <w:style w:type="character" w:customStyle="1" w:styleId="CommentTextChar">
    <w:name w:val="Comment Text Char"/>
    <w:basedOn w:val="DefaultParagraphFont"/>
    <w:link w:val="CommentText"/>
    <w:semiHidden/>
    <w:rsid w:val="00435ECB"/>
    <w:rPr>
      <w:lang w:val="en-GB" w:eastAsia="en-GB"/>
    </w:rPr>
  </w:style>
  <w:style w:type="paragraph" w:styleId="CommentSubject">
    <w:name w:val="annotation subject"/>
    <w:basedOn w:val="CommentText"/>
    <w:next w:val="CommentText"/>
    <w:link w:val="CommentSubjectChar"/>
    <w:semiHidden/>
    <w:rsid w:val="00435ECB"/>
    <w:rPr>
      <w:b/>
      <w:bCs/>
    </w:rPr>
  </w:style>
  <w:style w:type="character" w:customStyle="1" w:styleId="CommentSubjectChar">
    <w:name w:val="Comment Subject Char"/>
    <w:basedOn w:val="CommentTextChar"/>
    <w:link w:val="CommentSubject"/>
    <w:semiHidden/>
    <w:rsid w:val="00435ECB"/>
    <w:rPr>
      <w:b/>
      <w:bCs/>
      <w:lang w:val="en-GB" w:eastAsia="en-GB"/>
    </w:rPr>
  </w:style>
  <w:style w:type="paragraph" w:customStyle="1" w:styleId="Default">
    <w:name w:val="Default"/>
    <w:rsid w:val="00435ECB"/>
    <w:pPr>
      <w:autoSpaceDE w:val="0"/>
      <w:autoSpaceDN w:val="0"/>
      <w:adjustRightInd w:val="0"/>
    </w:pPr>
    <w:rPr>
      <w:rFonts w:ascii="Verdana" w:hAnsi="Verdana" w:cs="Verdana"/>
      <w:color w:val="000000"/>
      <w:sz w:val="24"/>
      <w:szCs w:val="24"/>
      <w:lang w:val="nl-NL" w:eastAsia="nl-NL"/>
    </w:rPr>
  </w:style>
  <w:style w:type="paragraph" w:styleId="Revision">
    <w:name w:val="Revision"/>
    <w:hidden/>
    <w:uiPriority w:val="99"/>
    <w:semiHidden/>
    <w:rsid w:val="00435ECB"/>
    <w:rPr>
      <w:sz w:val="24"/>
      <w:szCs w:val="24"/>
      <w:lang w:val="en-GB" w:eastAsia="en-GB"/>
    </w:rPr>
  </w:style>
  <w:style w:type="paragraph" w:customStyle="1" w:styleId="StyleHeadingFreeBOLDNOCAPS">
    <w:name w:val="Style Heading Free + BOLD + NO CAPS"/>
    <w:basedOn w:val="HeadingFree"/>
    <w:rsid w:val="00435ECB"/>
    <w:rPr>
      <w:caps w:val="0"/>
    </w:rPr>
  </w:style>
  <w:style w:type="character" w:styleId="Emphasis">
    <w:name w:val="Emphasis"/>
    <w:basedOn w:val="DefaultParagraphFont"/>
    <w:uiPriority w:val="20"/>
    <w:qFormat/>
    <w:rsid w:val="008677FD"/>
    <w:rPr>
      <w:i/>
      <w:iCs/>
    </w:rPr>
  </w:style>
  <w:style w:type="paragraph" w:customStyle="1" w:styleId="TableParagraph">
    <w:name w:val="Table Paragraph"/>
    <w:basedOn w:val="Normal"/>
    <w:uiPriority w:val="1"/>
    <w:qFormat/>
    <w:rsid w:val="00506994"/>
    <w:pPr>
      <w:widowControl w:val="0"/>
    </w:pPr>
    <w:rPr>
      <w:rFonts w:asciiTheme="minorHAnsi" w:eastAsiaTheme="minorHAnsi" w:hAnsiTheme="minorHAnsi" w:cstheme="minorBidi"/>
    </w:rPr>
  </w:style>
  <w:style w:type="character" w:styleId="SubtleEmphasis">
    <w:name w:val="Subtle Emphasis"/>
    <w:basedOn w:val="DefaultParagraphFont"/>
    <w:uiPriority w:val="19"/>
    <w:qFormat/>
    <w:rsid w:val="00506994"/>
    <w:rPr>
      <w:i/>
      <w:iCs/>
      <w:color w:val="808080" w:themeColor="text1" w:themeTint="7F"/>
    </w:rPr>
  </w:style>
  <w:style w:type="paragraph" w:styleId="BodyText">
    <w:name w:val="Body Text"/>
    <w:basedOn w:val="Normal"/>
    <w:link w:val="BodyTextChar"/>
    <w:uiPriority w:val="1"/>
    <w:unhideWhenUsed/>
    <w:qFormat/>
    <w:rsid w:val="00506994"/>
    <w:pPr>
      <w:spacing w:after="120"/>
    </w:pPr>
  </w:style>
  <w:style w:type="character" w:customStyle="1" w:styleId="BodyTextChar">
    <w:name w:val="Body Text Char"/>
    <w:basedOn w:val="DefaultParagraphFont"/>
    <w:link w:val="BodyText"/>
    <w:uiPriority w:val="99"/>
    <w:rsid w:val="00506994"/>
    <w:rPr>
      <w:rFonts w:eastAsiaTheme="minorEastAsia"/>
      <w:sz w:val="22"/>
      <w:szCs w:val="22"/>
    </w:rPr>
  </w:style>
  <w:style w:type="character" w:customStyle="1" w:styleId="FooterChar">
    <w:name w:val="Footer Char"/>
    <w:basedOn w:val="DefaultParagraphFont"/>
    <w:link w:val="Footer"/>
    <w:uiPriority w:val="99"/>
    <w:rsid w:val="00506994"/>
    <w:rPr>
      <w:rFonts w:eastAsiaTheme="minorEastAsia"/>
      <w:sz w:val="22"/>
      <w:szCs w:val="22"/>
    </w:rPr>
  </w:style>
  <w:style w:type="character" w:customStyle="1" w:styleId="Heading3Char">
    <w:name w:val="Heading 3 Char"/>
    <w:basedOn w:val="DefaultParagraphFont"/>
    <w:link w:val="Heading3"/>
    <w:rsid w:val="00F72327"/>
    <w:rPr>
      <w:rFonts w:eastAsiaTheme="minorEastAsia"/>
      <w:b/>
      <w:bCs/>
      <w:iCs/>
      <w:sz w:val="22"/>
      <w:szCs w:val="26"/>
    </w:rPr>
  </w:style>
  <w:style w:type="character" w:customStyle="1" w:styleId="Heading4Char">
    <w:name w:val="Heading 4 Char"/>
    <w:basedOn w:val="DefaultParagraphFont"/>
    <w:link w:val="Heading4"/>
    <w:rsid w:val="00F72327"/>
    <w:rPr>
      <w:rFonts w:eastAsiaTheme="minorEastAsia"/>
      <w:b/>
      <w:bCs/>
      <w:iCs/>
      <w:sz w:val="22"/>
      <w:szCs w:val="28"/>
    </w:rPr>
  </w:style>
  <w:style w:type="character" w:customStyle="1" w:styleId="Heading5Char">
    <w:name w:val="Heading 5 Char"/>
    <w:basedOn w:val="DefaultParagraphFont"/>
    <w:link w:val="Heading5"/>
    <w:rsid w:val="00F72327"/>
    <w:rPr>
      <w:rFonts w:eastAsiaTheme="minorEastAsia"/>
      <w:b/>
      <w:bCs/>
      <w:sz w:val="22"/>
      <w:szCs w:val="26"/>
    </w:rPr>
  </w:style>
  <w:style w:type="character" w:customStyle="1" w:styleId="Heading6Char">
    <w:name w:val="Heading 6 Char"/>
    <w:basedOn w:val="DefaultParagraphFont"/>
    <w:link w:val="Heading6"/>
    <w:rsid w:val="00F72327"/>
    <w:rPr>
      <w:rFonts w:eastAsiaTheme="minorEastAsia"/>
      <w:b/>
      <w:bCs/>
      <w:iCs/>
      <w:sz w:val="22"/>
      <w:szCs w:val="22"/>
    </w:rPr>
  </w:style>
  <w:style w:type="character" w:customStyle="1" w:styleId="Heading7Char">
    <w:name w:val="Heading 7 Char"/>
    <w:basedOn w:val="DefaultParagraphFont"/>
    <w:link w:val="Heading7"/>
    <w:rsid w:val="00F72327"/>
    <w:rPr>
      <w:rFonts w:eastAsiaTheme="minorEastAsia"/>
      <w:b/>
      <w:iCs/>
      <w:sz w:val="22"/>
      <w:szCs w:val="28"/>
    </w:rPr>
  </w:style>
  <w:style w:type="character" w:customStyle="1" w:styleId="Heading8Char">
    <w:name w:val="Heading 8 Char"/>
    <w:basedOn w:val="DefaultParagraphFont"/>
    <w:link w:val="Heading8"/>
    <w:rsid w:val="00F72327"/>
    <w:rPr>
      <w:rFonts w:eastAsiaTheme="minorEastAsia"/>
      <w:b/>
      <w:sz w:val="22"/>
      <w:szCs w:val="28"/>
    </w:rPr>
  </w:style>
  <w:style w:type="character" w:customStyle="1" w:styleId="Heading9Char">
    <w:name w:val="Heading 9 Char"/>
    <w:basedOn w:val="DefaultParagraphFont"/>
    <w:link w:val="Heading9"/>
    <w:rsid w:val="00F72327"/>
    <w:rPr>
      <w:rFonts w:eastAsiaTheme="minorEastAsia"/>
      <w:b/>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44900">
      <w:bodyDiv w:val="1"/>
      <w:marLeft w:val="0"/>
      <w:marRight w:val="0"/>
      <w:marTop w:val="0"/>
      <w:marBottom w:val="0"/>
      <w:divBdr>
        <w:top w:val="none" w:sz="0" w:space="0" w:color="auto"/>
        <w:left w:val="none" w:sz="0" w:space="0" w:color="auto"/>
        <w:bottom w:val="none" w:sz="0" w:space="0" w:color="auto"/>
        <w:right w:val="none" w:sz="0" w:space="0" w:color="auto"/>
      </w:divBdr>
    </w:div>
    <w:div w:id="997345149">
      <w:bodyDiv w:val="1"/>
      <w:marLeft w:val="0"/>
      <w:marRight w:val="0"/>
      <w:marTop w:val="0"/>
      <w:marBottom w:val="0"/>
      <w:divBdr>
        <w:top w:val="none" w:sz="0" w:space="0" w:color="auto"/>
        <w:left w:val="none" w:sz="0" w:space="0" w:color="auto"/>
        <w:bottom w:val="none" w:sz="0" w:space="0" w:color="auto"/>
        <w:right w:val="none" w:sz="0" w:space="0" w:color="auto"/>
      </w:divBdr>
    </w:div>
    <w:div w:id="1080521861">
      <w:bodyDiv w:val="1"/>
      <w:marLeft w:val="0"/>
      <w:marRight w:val="0"/>
      <w:marTop w:val="0"/>
      <w:marBottom w:val="0"/>
      <w:divBdr>
        <w:top w:val="none" w:sz="0" w:space="0" w:color="auto"/>
        <w:left w:val="none" w:sz="0" w:space="0" w:color="auto"/>
        <w:bottom w:val="none" w:sz="0" w:space="0" w:color="auto"/>
        <w:right w:val="none" w:sz="0" w:space="0" w:color="auto"/>
      </w:divBdr>
    </w:div>
    <w:div w:id="1317104449">
      <w:bodyDiv w:val="1"/>
      <w:marLeft w:val="0"/>
      <w:marRight w:val="0"/>
      <w:marTop w:val="0"/>
      <w:marBottom w:val="0"/>
      <w:divBdr>
        <w:top w:val="none" w:sz="0" w:space="0" w:color="auto"/>
        <w:left w:val="none" w:sz="0" w:space="0" w:color="auto"/>
        <w:bottom w:val="none" w:sz="0" w:space="0" w:color="auto"/>
        <w:right w:val="none" w:sz="0" w:space="0" w:color="auto"/>
      </w:divBdr>
      <w:divsChild>
        <w:div w:id="648553380">
          <w:marLeft w:val="360"/>
          <w:marRight w:val="0"/>
          <w:marTop w:val="86"/>
          <w:marBottom w:val="0"/>
          <w:divBdr>
            <w:top w:val="none" w:sz="0" w:space="0" w:color="auto"/>
            <w:left w:val="none" w:sz="0" w:space="0" w:color="auto"/>
            <w:bottom w:val="none" w:sz="0" w:space="0" w:color="auto"/>
            <w:right w:val="none" w:sz="0" w:space="0" w:color="auto"/>
          </w:divBdr>
        </w:div>
        <w:div w:id="1683702656">
          <w:marLeft w:val="360"/>
          <w:marRight w:val="0"/>
          <w:marTop w:val="86"/>
          <w:marBottom w:val="0"/>
          <w:divBdr>
            <w:top w:val="none" w:sz="0" w:space="0" w:color="auto"/>
            <w:left w:val="none" w:sz="0" w:space="0" w:color="auto"/>
            <w:bottom w:val="none" w:sz="0" w:space="0" w:color="auto"/>
            <w:right w:val="none" w:sz="0" w:space="0" w:color="auto"/>
          </w:divBdr>
        </w:div>
        <w:div w:id="1696035554">
          <w:marLeft w:val="360"/>
          <w:marRight w:val="0"/>
          <w:marTop w:val="86"/>
          <w:marBottom w:val="0"/>
          <w:divBdr>
            <w:top w:val="none" w:sz="0" w:space="0" w:color="auto"/>
            <w:left w:val="none" w:sz="0" w:space="0" w:color="auto"/>
            <w:bottom w:val="none" w:sz="0" w:space="0" w:color="auto"/>
            <w:right w:val="none" w:sz="0" w:space="0" w:color="auto"/>
          </w:divBdr>
        </w:div>
      </w:divsChild>
    </w:div>
    <w:div w:id="1569799936">
      <w:bodyDiv w:val="1"/>
      <w:marLeft w:val="0"/>
      <w:marRight w:val="0"/>
      <w:marTop w:val="0"/>
      <w:marBottom w:val="0"/>
      <w:divBdr>
        <w:top w:val="none" w:sz="0" w:space="0" w:color="auto"/>
        <w:left w:val="none" w:sz="0" w:space="0" w:color="auto"/>
        <w:bottom w:val="none" w:sz="0" w:space="0" w:color="auto"/>
        <w:right w:val="none" w:sz="0" w:space="0" w:color="auto"/>
      </w:divBdr>
    </w:div>
    <w:div w:id="211478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Synthon%20Reports\CT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8D6C473D115F4E884AA588E6284457" ma:contentTypeVersion="1" ma:contentTypeDescription="Create a new document." ma:contentTypeScope="" ma:versionID="b4faf06f765c3686e83b5ba43be8818a">
  <xsd:schema xmlns:xsd="http://www.w3.org/2001/XMLSchema" xmlns:p="http://schemas.microsoft.com/office/2006/metadata/properties" targetNamespace="http://schemas.microsoft.com/office/2006/metadata/properties" ma:root="true" ma:fieldsID="f1d41765d8e8f7d61a855e4309a153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0FA6B-0D12-45C0-9C3A-EBFB0C861E17}">
  <ds:schemaRefs>
    <ds:schemaRef ds:uri="http://schemas.microsoft.com/office/2006/metadata/properties"/>
  </ds:schemaRefs>
</ds:datastoreItem>
</file>

<file path=customXml/itemProps2.xml><?xml version="1.0" encoding="utf-8"?>
<ds:datastoreItem xmlns:ds="http://schemas.openxmlformats.org/officeDocument/2006/customXml" ds:itemID="{5158D41D-6B80-47BE-8CC1-C70A976618DB}">
  <ds:schemaRefs>
    <ds:schemaRef ds:uri="http://schemas.microsoft.com/sharepoint/v3/contenttype/forms"/>
  </ds:schemaRefs>
</ds:datastoreItem>
</file>

<file path=customXml/itemProps3.xml><?xml version="1.0" encoding="utf-8"?>
<ds:datastoreItem xmlns:ds="http://schemas.openxmlformats.org/officeDocument/2006/customXml" ds:itemID="{7FBFAA9F-7DAF-4323-9BE6-D9D7924C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DD896D5-527A-4B50-95F5-77707F9E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CTDNew.dotx</Template>
  <TotalTime>0</TotalTime>
  <Pages>1</Pages>
  <Words>26181</Words>
  <Characters>149236</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SynthonBV</Company>
  <LinksUpToDate>false</LinksUpToDate>
  <CharactersWithSpaces>175067</CharactersWithSpaces>
  <SharedDoc>false</SharedDoc>
  <HLinks>
    <vt:vector size="66" baseType="variant">
      <vt:variant>
        <vt:i4>5439493</vt:i4>
      </vt:variant>
      <vt:variant>
        <vt:i4>30</vt:i4>
      </vt:variant>
      <vt:variant>
        <vt:i4>0</vt:i4>
      </vt:variant>
      <vt:variant>
        <vt:i4>5</vt:i4>
      </vt:variant>
      <vt:variant>
        <vt:lpwstr>M131_0x_01.IAB.mes.cap.002.01.core.2801.01</vt:lpwstr>
      </vt:variant>
      <vt:variant>
        <vt:lpwstr/>
      </vt:variant>
      <vt:variant>
        <vt:i4>107</vt:i4>
      </vt:variant>
      <vt:variant>
        <vt:i4>27</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7864375</vt:i4>
      </vt:variant>
      <vt:variant>
        <vt:i4>24</vt:i4>
      </vt:variant>
      <vt:variant>
        <vt:i4>0</vt:i4>
      </vt:variant>
      <vt:variant>
        <vt:i4>5</vt:i4>
      </vt:variant>
      <vt:variant>
        <vt:lpwstr>\\nlnijsynthfcvs1\Data$\Synthon Products\Regulatory Affairs\Procedures &amp; Overviews\Readability\Guidelines\EC smpc_guideline_rev2_en 2009.pdf</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107</vt:i4>
      </vt:variant>
      <vt:variant>
        <vt:i4>18</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107</vt:i4>
      </vt:variant>
      <vt:variant>
        <vt:i4>15</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1966207</vt:i4>
      </vt:variant>
      <vt:variant>
        <vt:i4>12</vt:i4>
      </vt:variant>
      <vt:variant>
        <vt:i4>0</vt:i4>
      </vt:variant>
      <vt:variant>
        <vt:i4>5</vt:i4>
      </vt:variant>
      <vt:variant>
        <vt:lpwstr>../../Guidelines/EC smpc_guideline_rev2_en 2009.pdf</vt:lpwstr>
      </vt:variant>
      <vt:variant>
        <vt:lpwstr/>
      </vt:variant>
      <vt:variant>
        <vt:i4>1966207</vt:i4>
      </vt:variant>
      <vt:variant>
        <vt:i4>9</vt:i4>
      </vt:variant>
      <vt:variant>
        <vt:i4>0</vt:i4>
      </vt:variant>
      <vt:variant>
        <vt:i4>5</vt:i4>
      </vt:variant>
      <vt:variant>
        <vt:lpwstr>../../Guidelines/EC smpc_guideline_rev2_en 2009.pdf</vt:lpwstr>
      </vt:variant>
      <vt:variant>
        <vt:lpwstr/>
      </vt:variant>
      <vt:variant>
        <vt:i4>5636181</vt:i4>
      </vt:variant>
      <vt:variant>
        <vt:i4>6</vt:i4>
      </vt:variant>
      <vt:variant>
        <vt:i4>0</vt:i4>
      </vt:variant>
      <vt:variant>
        <vt:i4>5</vt:i4>
      </vt:variant>
      <vt:variant>
        <vt:lpwstr>http://mri.medagencies.org/Human/</vt:lpwstr>
      </vt:variant>
      <vt:variant>
        <vt:lpwstr/>
      </vt:variant>
      <vt:variant>
        <vt:i4>786484</vt:i4>
      </vt:variant>
      <vt:variant>
        <vt:i4>3</vt:i4>
      </vt:variant>
      <vt:variant>
        <vt:i4>0</vt:i4>
      </vt:variant>
      <vt:variant>
        <vt:i4>5</vt:i4>
      </vt:variant>
      <vt:variant>
        <vt:lpwstr>http://www.ema.europa.eu/ema/index.jsp?curl=pages/home/Home_Page.jsp&amp;murl=&amp;mid=&amp;jsenabled=true</vt:lpwstr>
      </vt:variant>
      <vt:variant>
        <vt:lpwstr/>
      </vt:variant>
      <vt:variant>
        <vt:i4>5242896</vt:i4>
      </vt:variant>
      <vt:variant>
        <vt:i4>0</vt:i4>
      </vt:variant>
      <vt:variant>
        <vt:i4>0</vt:i4>
      </vt:variant>
      <vt:variant>
        <vt:i4>5</vt:i4>
      </vt:variant>
      <vt:variant>
        <vt:lpwstr>../../../../Procedures &amp; Overviews/Readability/Templates/Checklist Core texts.doc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mterpstra</dc:creator>
  <cp:lastModifiedBy>Hristina Nelovska</cp:lastModifiedBy>
  <cp:revision>1</cp:revision>
  <cp:lastPrinted>2021-01-29T12:28:00Z</cp:lastPrinted>
  <dcterms:created xsi:type="dcterms:W3CDTF">2023-07-28T10:33:00Z</dcterms:created>
  <dcterms:modified xsi:type="dcterms:W3CDTF">2023-07-28T10:33:00Z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Appendix</vt:lpwstr>
  </property>
  <property fmtid="{D5CDD505-2E9C-101B-9397-08002B2CF9AE}" pid="3" name="DocSubType">
    <vt:lpwstr>General</vt:lpwstr>
  </property>
  <property fmtid="{D5CDD505-2E9C-101B-9397-08002B2CF9AE}" pid="4" name="AddressLine1">
    <vt:lpwstr/>
  </property>
  <property fmtid="{D5CDD505-2E9C-101B-9397-08002B2CF9AE}" pid="5" name="AddressLine2">
    <vt:lpwstr/>
  </property>
  <property fmtid="{D5CDD505-2E9C-101B-9397-08002B2CF9AE}" pid="6" name="AddressLine3">
    <vt:lpwstr/>
  </property>
  <property fmtid="{D5CDD505-2E9C-101B-9397-08002B2CF9AE}" pid="7" name="Prefix">
    <vt:lpwstr/>
  </property>
  <property fmtid="{D5CDD505-2E9C-101B-9397-08002B2CF9AE}" pid="8" name="Suffix">
    <vt:lpwstr/>
  </property>
  <property fmtid="{D5CDD505-2E9C-101B-9397-08002B2CF9AE}" pid="9" name="Version">
    <vt:lpwstr>3.02.04</vt:lpwstr>
  </property>
  <property fmtid="{D5CDD505-2E9C-101B-9397-08002B2CF9AE}" pid="10" name="To">
    <vt:lpwstr>empty</vt:lpwstr>
  </property>
  <property fmtid="{D5CDD505-2E9C-101B-9397-08002B2CF9AE}" pid="11" name="HeaderLine1">
    <vt:lpwstr/>
  </property>
  <property fmtid="{D5CDD505-2E9C-101B-9397-08002B2CF9AE}" pid="12" name="HeaderLine2">
    <vt:lpwstr/>
  </property>
  <property fmtid="{D5CDD505-2E9C-101B-9397-08002B2CF9AE}" pid="13" name="HeaderLine3">
    <vt:lpwstr/>
  </property>
  <property fmtid="{D5CDD505-2E9C-101B-9397-08002B2CF9AE}" pid="14" name="HeaderLine4">
    <vt:lpwstr/>
  </property>
  <property fmtid="{D5CDD505-2E9C-101B-9397-08002B2CF9AE}" pid="15" name="Applicant">
    <vt:lpwstr/>
  </property>
  <property fmtid="{D5CDD505-2E9C-101B-9397-08002B2CF9AE}" pid="16" name="Appendices">
    <vt:lpwstr>None</vt:lpwstr>
  </property>
  <property fmtid="{D5CDD505-2E9C-101B-9397-08002B2CF9AE}" pid="17" name="Concerned Member States">
    <vt:lpwstr/>
  </property>
  <property fmtid="{D5CDD505-2E9C-101B-9397-08002B2CF9AE}" pid="18" name="Initiation Number">
    <vt:lpwstr>##.####</vt:lpwstr>
  </property>
  <property fmtid="{D5CDD505-2E9C-101B-9397-08002B2CF9AE}" pid="19" name="Initiation Date">
    <vt:lpwstr>dd-mm-yy</vt:lpwstr>
  </property>
  <property fmtid="{D5CDD505-2E9C-101B-9397-08002B2CF9AE}" pid="20" name="Issue Date">
    <vt:lpwstr>draft</vt:lpwstr>
  </property>
  <property fmtid="{D5CDD505-2E9C-101B-9397-08002B2CF9AE}" pid="21" name="Special Issue Date">
    <vt:lpwstr/>
  </property>
  <property fmtid="{D5CDD505-2E9C-101B-9397-08002B2CF9AE}" pid="22" name="StartChapter">
    <vt:i4>1</vt:i4>
  </property>
  <property fmtid="{D5CDD505-2E9C-101B-9397-08002B2CF9AE}" pid="23" name="Period">
    <vt:lpwstr/>
  </property>
  <property fmtid="{D5CDD505-2E9C-101B-9397-08002B2CF9AE}" pid="24" name="Supersedes">
    <vt:lpwstr>None</vt:lpwstr>
  </property>
  <property fmtid="{D5CDD505-2E9C-101B-9397-08002B2CF9AE}" pid="25" name="Supersedes Date">
    <vt:lpwstr>new document</vt:lpwstr>
  </property>
  <property fmtid="{D5CDD505-2E9C-101B-9397-08002B2CF9AE}" pid="26" name="FormProp3">
    <vt:lpwstr/>
  </property>
  <property fmtid="{D5CDD505-2E9C-101B-9397-08002B2CF9AE}" pid="27" name="FormProp4">
    <vt:lpwstr/>
  </property>
  <property fmtid="{D5CDD505-2E9C-101B-9397-08002B2CF9AE}" pid="28" name="FormProp5">
    <vt:lpwstr/>
  </property>
  <property fmtid="{D5CDD505-2E9C-101B-9397-08002B2CF9AE}" pid="29" name="FormProp6">
    <vt:lpwstr/>
  </property>
  <property fmtid="{D5CDD505-2E9C-101B-9397-08002B2CF9AE}" pid="30" name="ChapterPrefix">
    <vt:lpwstr/>
  </property>
  <property fmtid="{D5CDD505-2E9C-101B-9397-08002B2CF9AE}" pid="31" name="ContentTypeId">
    <vt:lpwstr>0x010100668D6C473D115F4E884AA588E6284457</vt:lpwstr>
  </property>
</Properties>
</file>