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92" w:rsidRDefault="00C80092" w:rsidP="00C80092">
      <w:pPr>
        <w:pBdr>
          <w:top w:val="single" w:sz="4" w:space="1" w:color="auto"/>
          <w:left w:val="single" w:sz="4" w:space="3" w:color="auto"/>
          <w:bottom w:val="single" w:sz="4" w:space="1" w:color="auto"/>
          <w:right w:val="single" w:sz="4" w:space="4" w:color="auto"/>
        </w:pBdr>
        <w:rPr>
          <w:i/>
          <w:sz w:val="20"/>
        </w:rPr>
      </w:pPr>
      <w:r w:rsidRPr="00606316">
        <w:rPr>
          <w:b/>
          <w:sz w:val="20"/>
        </w:rPr>
        <w:t xml:space="preserve">AUTORIZAŢIE DE PUNERE PE PIAŢĂ NR. </w:t>
      </w:r>
      <w:r w:rsidR="00621B53">
        <w:rPr>
          <w:b/>
          <w:sz w:val="20"/>
        </w:rPr>
        <w:t>14631</w:t>
      </w:r>
      <w:r w:rsidRPr="00606316">
        <w:rPr>
          <w:b/>
          <w:sz w:val="20"/>
        </w:rPr>
        <w:t>/20</w:t>
      </w:r>
      <w:r>
        <w:rPr>
          <w:b/>
          <w:sz w:val="20"/>
        </w:rPr>
        <w:t>22</w:t>
      </w:r>
      <w:r w:rsidRPr="00606316">
        <w:rPr>
          <w:b/>
          <w:sz w:val="20"/>
        </w:rPr>
        <w:t xml:space="preserve">/01                          </w:t>
      </w:r>
      <w:r>
        <w:rPr>
          <w:b/>
          <w:sz w:val="20"/>
        </w:rPr>
        <w:t xml:space="preserve">                              </w:t>
      </w:r>
      <w:r w:rsidRPr="00606316">
        <w:rPr>
          <w:b/>
          <w:sz w:val="20"/>
        </w:rPr>
        <w:t xml:space="preserve">           </w:t>
      </w:r>
      <w:r w:rsidRPr="0096290C">
        <w:rPr>
          <w:b/>
          <w:sz w:val="20"/>
          <w:szCs w:val="20"/>
        </w:rPr>
        <w:t xml:space="preserve">  </w:t>
      </w:r>
      <w:r w:rsidRPr="00606316">
        <w:rPr>
          <w:i/>
          <w:sz w:val="20"/>
        </w:rPr>
        <w:t>Anexa 2</w:t>
      </w:r>
    </w:p>
    <w:p w:rsidR="00C80092" w:rsidRPr="00606316" w:rsidRDefault="00C80092" w:rsidP="00C80092">
      <w:pPr>
        <w:pBdr>
          <w:top w:val="single" w:sz="4" w:space="1" w:color="auto"/>
          <w:left w:val="single" w:sz="4" w:space="3" w:color="auto"/>
          <w:bottom w:val="single" w:sz="4" w:space="1" w:color="auto"/>
          <w:right w:val="single" w:sz="4" w:space="4" w:color="auto"/>
        </w:pBdr>
        <w:rPr>
          <w:i/>
          <w:sz w:val="20"/>
        </w:rPr>
      </w:pPr>
      <w:r>
        <w:rPr>
          <w:b/>
          <w:sz w:val="20"/>
        </w:rPr>
        <w:t xml:space="preserve">                                                                         </w:t>
      </w:r>
      <w:r w:rsidRPr="00606316">
        <w:rPr>
          <w:b/>
          <w:sz w:val="20"/>
        </w:rPr>
        <w:t xml:space="preserve">NR. </w:t>
      </w:r>
      <w:r w:rsidR="00621B53">
        <w:rPr>
          <w:b/>
          <w:sz w:val="20"/>
        </w:rPr>
        <w:t>14632</w:t>
      </w:r>
      <w:r w:rsidRPr="00606316">
        <w:rPr>
          <w:b/>
          <w:sz w:val="20"/>
        </w:rPr>
        <w:t>/20</w:t>
      </w:r>
      <w:r>
        <w:rPr>
          <w:b/>
          <w:sz w:val="20"/>
        </w:rPr>
        <w:t>22</w:t>
      </w:r>
      <w:r w:rsidRPr="00606316">
        <w:rPr>
          <w:b/>
          <w:sz w:val="20"/>
        </w:rPr>
        <w:t>/01</w:t>
      </w:r>
    </w:p>
    <w:p w:rsidR="00C80092" w:rsidRPr="00606316" w:rsidRDefault="00C80092" w:rsidP="00C80092">
      <w:pPr>
        <w:pBdr>
          <w:top w:val="single" w:sz="4" w:space="1" w:color="auto"/>
          <w:left w:val="single" w:sz="4" w:space="3" w:color="auto"/>
          <w:bottom w:val="single" w:sz="4" w:space="1" w:color="auto"/>
          <w:right w:val="single" w:sz="4" w:space="4" w:color="auto"/>
        </w:pBdr>
        <w:rPr>
          <w:b/>
          <w:sz w:val="20"/>
        </w:rPr>
      </w:pPr>
      <w:r w:rsidRPr="00606316">
        <w:rPr>
          <w:b/>
          <w:sz w:val="20"/>
        </w:rPr>
        <w:tab/>
      </w:r>
      <w:r w:rsidRPr="00606316">
        <w:rPr>
          <w:b/>
          <w:sz w:val="20"/>
        </w:rPr>
        <w:tab/>
      </w:r>
      <w:r w:rsidRPr="00606316">
        <w:rPr>
          <w:b/>
          <w:sz w:val="20"/>
        </w:rPr>
        <w:tab/>
      </w:r>
      <w:r w:rsidRPr="00606316">
        <w:rPr>
          <w:b/>
          <w:sz w:val="20"/>
        </w:rPr>
        <w:tab/>
      </w:r>
      <w:r w:rsidRPr="00606316">
        <w:rPr>
          <w:b/>
          <w:sz w:val="20"/>
        </w:rPr>
        <w:tab/>
      </w:r>
      <w:r w:rsidRPr="00606316">
        <w:rPr>
          <w:b/>
          <w:sz w:val="20"/>
        </w:rPr>
        <w:tab/>
      </w:r>
      <w:r w:rsidRPr="00606316">
        <w:rPr>
          <w:b/>
          <w:sz w:val="20"/>
        </w:rPr>
        <w:tab/>
      </w:r>
      <w:r>
        <w:rPr>
          <w:b/>
          <w:sz w:val="20"/>
        </w:rPr>
        <w:t xml:space="preserve">                                      </w:t>
      </w:r>
      <w:r w:rsidRPr="00606316">
        <w:rPr>
          <w:b/>
          <w:sz w:val="20"/>
        </w:rPr>
        <w:t>Rezumatul caracteristicilor produsului</w:t>
      </w:r>
    </w:p>
    <w:p w:rsidR="00C80092" w:rsidRDefault="00C80092" w:rsidP="00DC5C7E">
      <w:pPr>
        <w:pStyle w:val="ListParagraph"/>
        <w:ind w:left="0" w:firstLine="0"/>
        <w:jc w:val="center"/>
        <w:rPr>
          <w:b/>
        </w:rPr>
      </w:pPr>
    </w:p>
    <w:p w:rsidR="00C80092" w:rsidRDefault="00C80092" w:rsidP="00DC5C7E">
      <w:pPr>
        <w:pStyle w:val="ListParagraph"/>
        <w:ind w:left="0" w:firstLine="0"/>
        <w:jc w:val="center"/>
        <w:rPr>
          <w:b/>
        </w:rPr>
      </w:pPr>
    </w:p>
    <w:p w:rsidR="00A126EB" w:rsidRPr="00DC5C7E" w:rsidRDefault="00113850" w:rsidP="00DC5C7E">
      <w:pPr>
        <w:pStyle w:val="ListParagraph"/>
        <w:ind w:left="0" w:firstLine="0"/>
        <w:jc w:val="center"/>
        <w:rPr>
          <w:b/>
        </w:rPr>
      </w:pPr>
      <w:r w:rsidRPr="00DC5C7E">
        <w:rPr>
          <w:b/>
        </w:rPr>
        <w:t>REZUMATUL CARACTERISTICILOR PRODUSULUI</w:t>
      </w:r>
    </w:p>
    <w:p w:rsidR="00A126EB" w:rsidRPr="00DC5C7E" w:rsidRDefault="00A126EB" w:rsidP="00DC5C7E">
      <w:pPr>
        <w:pStyle w:val="BodyText"/>
        <w:ind w:left="0"/>
        <w:jc w:val="both"/>
      </w:pPr>
    </w:p>
    <w:p w:rsidR="001D6450" w:rsidRPr="00D5675E" w:rsidRDefault="001D6450" w:rsidP="001D6450">
      <w:pPr>
        <w:widowControl/>
        <w:numPr>
          <w:ilvl w:val="0"/>
          <w:numId w:val="1"/>
        </w:numPr>
        <w:tabs>
          <w:tab w:val="left" w:pos="562"/>
        </w:tabs>
        <w:autoSpaceDE/>
        <w:autoSpaceDN/>
        <w:ind w:left="562" w:hanging="562"/>
        <w:rPr>
          <w:b/>
          <w:bCs/>
        </w:rPr>
      </w:pPr>
      <w:r w:rsidRPr="00D5675E">
        <w:rPr>
          <w:b/>
          <w:bCs/>
        </w:rPr>
        <w:t>DENUMIREA COMERCIALĂ A MEDICAMENTULUI</w:t>
      </w:r>
    </w:p>
    <w:p w:rsidR="001D6450" w:rsidRPr="00885DAE" w:rsidRDefault="001D6450" w:rsidP="001D6450">
      <w:pPr>
        <w:spacing w:line="252" w:lineRule="exact"/>
      </w:pPr>
    </w:p>
    <w:p w:rsidR="001D6450" w:rsidRPr="00885DAE" w:rsidRDefault="00A97A51" w:rsidP="001D6450">
      <w:pPr>
        <w:ind w:left="2"/>
      </w:pPr>
      <w:r>
        <w:t>Fokleros</w:t>
      </w:r>
      <w:r w:rsidR="001D6450" w:rsidRPr="00D5675E">
        <w:t xml:space="preserve"> 100 mg comprimate filmate</w:t>
      </w:r>
    </w:p>
    <w:p w:rsidR="001D6450" w:rsidRPr="00885DAE" w:rsidRDefault="00A97A51" w:rsidP="001D6450">
      <w:pPr>
        <w:ind w:left="2"/>
      </w:pPr>
      <w:r>
        <w:t>Fokleros</w:t>
      </w:r>
      <w:r w:rsidR="001D6450" w:rsidRPr="00D5675E">
        <w:t xml:space="preserve"> 150 mg comprimate filmate</w:t>
      </w:r>
    </w:p>
    <w:p w:rsidR="001D6450" w:rsidRDefault="001D6450" w:rsidP="001D6450">
      <w:pPr>
        <w:spacing w:line="307" w:lineRule="exact"/>
      </w:pPr>
    </w:p>
    <w:p w:rsidR="00C80092" w:rsidRPr="00885DAE" w:rsidRDefault="00C80092" w:rsidP="001D6450">
      <w:pPr>
        <w:spacing w:line="307" w:lineRule="exact"/>
      </w:pPr>
    </w:p>
    <w:p w:rsidR="001D6450" w:rsidRPr="00D5675E" w:rsidRDefault="001D6450" w:rsidP="001D6450">
      <w:pPr>
        <w:widowControl/>
        <w:numPr>
          <w:ilvl w:val="0"/>
          <w:numId w:val="2"/>
        </w:numPr>
        <w:tabs>
          <w:tab w:val="left" w:pos="562"/>
        </w:tabs>
        <w:autoSpaceDE/>
        <w:autoSpaceDN/>
        <w:ind w:left="562" w:hanging="561"/>
        <w:rPr>
          <w:b/>
          <w:bCs/>
        </w:rPr>
      </w:pPr>
      <w:r w:rsidRPr="00D5675E">
        <w:rPr>
          <w:b/>
          <w:bCs/>
        </w:rPr>
        <w:t>COMPOZIŢIA CALITATIVĂ ŞI CANTITATIVĂ</w:t>
      </w:r>
    </w:p>
    <w:p w:rsidR="001D6450" w:rsidRPr="00885DAE" w:rsidRDefault="001D6450" w:rsidP="001D6450">
      <w:pPr>
        <w:spacing w:line="251" w:lineRule="exact"/>
      </w:pPr>
    </w:p>
    <w:p w:rsidR="001D6450" w:rsidRPr="00D5675E" w:rsidRDefault="00A97A51" w:rsidP="00597ABD">
      <w:pPr>
        <w:ind w:left="2"/>
      </w:pPr>
      <w:r>
        <w:t>Fokleros</w:t>
      </w:r>
      <w:r w:rsidR="001D6450" w:rsidRPr="00D5675E">
        <w:t xml:space="preserve"> 100 mg comprimate filmate</w:t>
      </w:r>
      <w:r w:rsidR="00597ABD" w:rsidRPr="00885DAE">
        <w:t>:</w:t>
      </w:r>
      <w:r w:rsidR="00897436" w:rsidRPr="00885DAE">
        <w:t xml:space="preserve"> </w:t>
      </w:r>
      <w:r w:rsidR="00C80092">
        <w:t>u</w:t>
      </w:r>
      <w:r w:rsidR="00C80092" w:rsidRPr="00D5675E">
        <w:t xml:space="preserve">n </w:t>
      </w:r>
      <w:r w:rsidR="00597ABD" w:rsidRPr="00D5675E">
        <w:t>comprimat</w:t>
      </w:r>
      <w:r w:rsidR="001D6450" w:rsidRPr="00D5675E">
        <w:t xml:space="preserve"> conţine erlotinib 100 mg (sub formă de clorhidrat de erlotinib).</w:t>
      </w:r>
    </w:p>
    <w:p w:rsidR="00597ABD" w:rsidRPr="00885DAE" w:rsidRDefault="00597ABD" w:rsidP="00597ABD">
      <w:pPr>
        <w:ind w:left="2"/>
      </w:pPr>
    </w:p>
    <w:p w:rsidR="00597ABD" w:rsidRPr="00D5675E" w:rsidRDefault="00597ABD" w:rsidP="00597ABD">
      <w:pPr>
        <w:ind w:left="2"/>
        <w:rPr>
          <w:u w:val="single"/>
        </w:rPr>
      </w:pPr>
      <w:r w:rsidRPr="00D5675E">
        <w:rPr>
          <w:u w:val="single"/>
        </w:rPr>
        <w:t>Excipient(ţi) cu efect cunoscut</w:t>
      </w:r>
    </w:p>
    <w:p w:rsidR="00597ABD" w:rsidRPr="00885DAE" w:rsidRDefault="00597ABD" w:rsidP="00597ABD">
      <w:pPr>
        <w:ind w:left="2"/>
      </w:pPr>
      <w:r w:rsidRPr="00D5675E">
        <w:t>Fiecare comprimat filmat con</w:t>
      </w:r>
      <w:r w:rsidRPr="00D5675E">
        <w:rPr>
          <w:u w:val="single"/>
        </w:rPr>
        <w:t>ţ</w:t>
      </w:r>
      <w:r w:rsidRPr="00D5675E">
        <w:t>ine 70,7 mg lactoză monohidrat.</w:t>
      </w:r>
    </w:p>
    <w:p w:rsidR="001D6450" w:rsidRPr="00885DAE" w:rsidRDefault="001D6450" w:rsidP="001D6450">
      <w:pPr>
        <w:spacing w:line="252" w:lineRule="exact"/>
      </w:pPr>
    </w:p>
    <w:p w:rsidR="00597ABD" w:rsidRPr="00885DAE" w:rsidRDefault="00A97A51" w:rsidP="00597ABD">
      <w:pPr>
        <w:ind w:left="2"/>
      </w:pPr>
      <w:r>
        <w:t>Fokleros</w:t>
      </w:r>
      <w:r w:rsidR="00597ABD" w:rsidRPr="00D5675E">
        <w:t xml:space="preserve"> 150 mg comprimate filmate</w:t>
      </w:r>
      <w:r w:rsidR="00597ABD" w:rsidRPr="00885DAE">
        <w:t>:</w:t>
      </w:r>
      <w:r w:rsidR="00897436" w:rsidRPr="00885DAE">
        <w:t xml:space="preserve"> </w:t>
      </w:r>
      <w:r w:rsidR="00C80092">
        <w:t>u</w:t>
      </w:r>
      <w:r w:rsidR="00C80092" w:rsidRPr="00D5675E">
        <w:t xml:space="preserve">n </w:t>
      </w:r>
      <w:r w:rsidR="00597ABD" w:rsidRPr="00D5675E">
        <w:t>comprimat conţine erlotinib 150 mg (sub formă de clorhidrat de erlotinib).</w:t>
      </w:r>
    </w:p>
    <w:p w:rsidR="00597ABD" w:rsidRPr="00D5675E" w:rsidRDefault="00597ABD" w:rsidP="001D6450">
      <w:pPr>
        <w:ind w:left="2"/>
        <w:rPr>
          <w:u w:val="single"/>
        </w:rPr>
      </w:pPr>
    </w:p>
    <w:p w:rsidR="00597ABD" w:rsidRPr="00D5675E" w:rsidRDefault="00597ABD" w:rsidP="00597ABD">
      <w:pPr>
        <w:ind w:left="2"/>
        <w:rPr>
          <w:u w:val="single"/>
        </w:rPr>
      </w:pPr>
      <w:r w:rsidRPr="00D5675E">
        <w:rPr>
          <w:u w:val="single"/>
        </w:rPr>
        <w:t>Excipient(ţi) cu efect cunoscut</w:t>
      </w:r>
    </w:p>
    <w:p w:rsidR="00597ABD" w:rsidRPr="00885DAE" w:rsidRDefault="00597ABD" w:rsidP="00597ABD">
      <w:pPr>
        <w:ind w:left="2"/>
      </w:pPr>
      <w:r w:rsidRPr="00D5675E">
        <w:t>Fiecare comprimat filmat con</w:t>
      </w:r>
      <w:r w:rsidRPr="00D5675E">
        <w:rPr>
          <w:u w:val="single"/>
        </w:rPr>
        <w:t>ţ</w:t>
      </w:r>
      <w:r w:rsidRPr="00D5675E">
        <w:t>ine 106 mg lactoză monohidrat.</w:t>
      </w:r>
    </w:p>
    <w:p w:rsidR="00597ABD" w:rsidRPr="00D5675E" w:rsidRDefault="00597ABD" w:rsidP="001D6450">
      <w:pPr>
        <w:ind w:left="2"/>
        <w:rPr>
          <w:u w:val="single"/>
        </w:rPr>
      </w:pPr>
    </w:p>
    <w:p w:rsidR="001D6450" w:rsidRPr="00885DAE" w:rsidRDefault="001D6450" w:rsidP="001D6450">
      <w:pPr>
        <w:ind w:left="2"/>
      </w:pPr>
      <w:r w:rsidRPr="00D5675E">
        <w:t>Pentru lista tuturor excipienţilor, vezi pct. 6.1.</w:t>
      </w:r>
    </w:p>
    <w:p w:rsidR="001D6450" w:rsidRPr="00885DAE" w:rsidRDefault="001D6450" w:rsidP="001D6450">
      <w:pPr>
        <w:spacing w:line="200" w:lineRule="exact"/>
      </w:pPr>
    </w:p>
    <w:p w:rsidR="001D6450" w:rsidRPr="00885DAE" w:rsidRDefault="001D6450" w:rsidP="001D6450">
      <w:pPr>
        <w:spacing w:line="309" w:lineRule="exact"/>
      </w:pPr>
    </w:p>
    <w:p w:rsidR="001D6450" w:rsidRPr="00D5675E" w:rsidRDefault="001D6450" w:rsidP="001D6450">
      <w:pPr>
        <w:widowControl/>
        <w:numPr>
          <w:ilvl w:val="0"/>
          <w:numId w:val="3"/>
        </w:numPr>
        <w:tabs>
          <w:tab w:val="left" w:pos="562"/>
        </w:tabs>
        <w:autoSpaceDE/>
        <w:autoSpaceDN/>
        <w:ind w:left="562" w:hanging="562"/>
        <w:rPr>
          <w:b/>
          <w:bCs/>
        </w:rPr>
      </w:pPr>
      <w:r w:rsidRPr="00D5675E">
        <w:rPr>
          <w:b/>
          <w:bCs/>
        </w:rPr>
        <w:t>FORMA FARMACEUTICĂ</w:t>
      </w:r>
    </w:p>
    <w:p w:rsidR="001D6450" w:rsidRPr="00885DAE" w:rsidRDefault="001D6450" w:rsidP="001D6450">
      <w:pPr>
        <w:spacing w:line="250" w:lineRule="exact"/>
      </w:pPr>
    </w:p>
    <w:p w:rsidR="001D6450" w:rsidRPr="00885DAE" w:rsidRDefault="001D6450" w:rsidP="001D6450">
      <w:pPr>
        <w:ind w:left="2"/>
      </w:pPr>
      <w:r w:rsidRPr="00D5675E">
        <w:t>Comprimat filmat.</w:t>
      </w:r>
    </w:p>
    <w:p w:rsidR="001D6450" w:rsidRPr="00885DAE" w:rsidRDefault="001D6450" w:rsidP="001D6450">
      <w:pPr>
        <w:spacing w:line="254" w:lineRule="exact"/>
      </w:pPr>
    </w:p>
    <w:p w:rsidR="00AC4C39" w:rsidRPr="00D5675E" w:rsidRDefault="00A97A51" w:rsidP="00885DAE">
      <w:r>
        <w:t>Fokleros</w:t>
      </w:r>
      <w:r w:rsidR="00AC4C39" w:rsidRPr="00D5675E">
        <w:t xml:space="preserve"> 100 mg comprimate filmate: </w:t>
      </w:r>
      <w:r w:rsidR="00C80092">
        <w:t>c</w:t>
      </w:r>
      <w:r w:rsidR="00C80092" w:rsidRPr="00D5675E">
        <w:t xml:space="preserve">omprimate </w:t>
      </w:r>
      <w:r w:rsidR="00AC4C39" w:rsidRPr="00D5675E">
        <w:t xml:space="preserve">de culoare albă,rotunde, biconvexe, cu o linie mediană pe ambele </w:t>
      </w:r>
      <w:r w:rsidR="005A1ECE">
        <w:t>fețe</w:t>
      </w:r>
      <w:r w:rsidR="00AC4C39" w:rsidRPr="00D5675E">
        <w:t xml:space="preserve">, gravate pe o </w:t>
      </w:r>
      <w:r w:rsidR="00C80092">
        <w:t>față</w:t>
      </w:r>
      <w:r w:rsidR="00C80092" w:rsidRPr="00D5675E">
        <w:t xml:space="preserve"> </w:t>
      </w:r>
      <w:r w:rsidR="00AC4C39" w:rsidRPr="00D5675E">
        <w:t xml:space="preserve">cu ,,E9OB”  deasupra liniei mediane şi  </w:t>
      </w:r>
      <w:r w:rsidR="00C80092">
        <w:t xml:space="preserve">cu </w:t>
      </w:r>
      <w:r w:rsidR="00AC4C39" w:rsidRPr="00D5675E">
        <w:t xml:space="preserve">„100” sub linia mediană, cu un diametru de aproximativ 10 mm. Comprimatul poate fi </w:t>
      </w:r>
      <w:r w:rsidR="00C80092">
        <w:t>divizat</w:t>
      </w:r>
      <w:r w:rsidR="00C80092" w:rsidRPr="00D5675E">
        <w:t xml:space="preserve"> </w:t>
      </w:r>
      <w:r w:rsidR="00AC4C39" w:rsidRPr="00D5675E">
        <w:t>în doze egale.</w:t>
      </w:r>
    </w:p>
    <w:p w:rsidR="00AC4C39" w:rsidRPr="00D5675E" w:rsidRDefault="00AC4C39" w:rsidP="00885DAE"/>
    <w:p w:rsidR="001D6450" w:rsidRPr="00D5675E" w:rsidRDefault="00A97A51" w:rsidP="00885DAE">
      <w:r>
        <w:t>Fokleros</w:t>
      </w:r>
      <w:r w:rsidR="00AC4C39" w:rsidRPr="00D5675E">
        <w:t xml:space="preserve"> 150 mg comprimate filmate: </w:t>
      </w:r>
      <w:r w:rsidR="00C80092">
        <w:t>c</w:t>
      </w:r>
      <w:r w:rsidR="00C80092" w:rsidRPr="00D5675E">
        <w:t xml:space="preserve">omprimate </w:t>
      </w:r>
      <w:r w:rsidR="00AC4C39" w:rsidRPr="00D5675E">
        <w:t xml:space="preserve">de culoare albă,rotunde, biconvexe gravate pe o </w:t>
      </w:r>
      <w:r w:rsidR="00C80092">
        <w:t>față</w:t>
      </w:r>
      <w:r w:rsidR="00C80092" w:rsidRPr="00D5675E">
        <w:t xml:space="preserve"> </w:t>
      </w:r>
      <w:r w:rsidR="00AC4C39" w:rsidRPr="00D5675E">
        <w:t xml:space="preserve">cu ,,E9OB”  şi  </w:t>
      </w:r>
      <w:r w:rsidR="00C80092">
        <w:t xml:space="preserve">cu </w:t>
      </w:r>
      <w:r w:rsidR="00AC4C39" w:rsidRPr="00D5675E">
        <w:t xml:space="preserve">„150” pe cealaltă </w:t>
      </w:r>
      <w:r w:rsidR="00C80092">
        <w:t>față</w:t>
      </w:r>
      <w:r w:rsidR="00AC4C39" w:rsidRPr="00D5675E">
        <w:t>, cu un diametru de aproximativ 10,4 mm.</w:t>
      </w:r>
    </w:p>
    <w:p w:rsidR="001D6450" w:rsidRDefault="001D6450" w:rsidP="00885DAE"/>
    <w:p w:rsidR="00C80092" w:rsidRPr="00885DAE" w:rsidRDefault="00C80092" w:rsidP="00885DAE"/>
    <w:p w:rsidR="001D6450" w:rsidRPr="00D5675E" w:rsidRDefault="001D6450" w:rsidP="001D6450">
      <w:pPr>
        <w:widowControl/>
        <w:numPr>
          <w:ilvl w:val="0"/>
          <w:numId w:val="4"/>
        </w:numPr>
        <w:tabs>
          <w:tab w:val="left" w:pos="562"/>
        </w:tabs>
        <w:autoSpaceDE/>
        <w:autoSpaceDN/>
        <w:ind w:left="562" w:hanging="561"/>
        <w:rPr>
          <w:b/>
          <w:bCs/>
        </w:rPr>
      </w:pPr>
      <w:r w:rsidRPr="00D5675E">
        <w:rPr>
          <w:b/>
          <w:bCs/>
        </w:rPr>
        <w:t>DATE CLINICE</w:t>
      </w:r>
    </w:p>
    <w:p w:rsidR="001D6450" w:rsidRPr="00885DAE" w:rsidRDefault="001D6450" w:rsidP="001D6450">
      <w:pPr>
        <w:spacing w:line="254" w:lineRule="exact"/>
      </w:pPr>
    </w:p>
    <w:p w:rsidR="001D6450" w:rsidRPr="00885DAE" w:rsidRDefault="001D6450" w:rsidP="001D6450">
      <w:pPr>
        <w:tabs>
          <w:tab w:val="left" w:pos="541"/>
        </w:tabs>
        <w:ind w:left="2"/>
      </w:pPr>
      <w:r w:rsidRPr="00D5675E">
        <w:rPr>
          <w:b/>
          <w:bCs/>
        </w:rPr>
        <w:t>4.1</w:t>
      </w:r>
      <w:r w:rsidRPr="00885DAE">
        <w:tab/>
      </w:r>
      <w:r w:rsidRPr="00885DAE">
        <w:rPr>
          <w:b/>
          <w:bCs/>
        </w:rPr>
        <w:t>Indicaţii terapeutice</w:t>
      </w:r>
    </w:p>
    <w:p w:rsidR="001D6450" w:rsidRPr="00885DAE" w:rsidRDefault="001D6450" w:rsidP="001D6450">
      <w:pPr>
        <w:spacing w:line="251" w:lineRule="exact"/>
      </w:pPr>
    </w:p>
    <w:p w:rsidR="001D6450" w:rsidRPr="00885DAE" w:rsidRDefault="001D6450" w:rsidP="001D6450">
      <w:pPr>
        <w:ind w:left="2"/>
      </w:pPr>
      <w:r w:rsidRPr="00D5675E">
        <w:rPr>
          <w:u w:val="single"/>
        </w:rPr>
        <w:t>Neoplasm bronho-pulmonar altul decât cel cu celule mici (NSCLC)</w:t>
      </w:r>
    </w:p>
    <w:p w:rsidR="001D6450" w:rsidRPr="00885DAE" w:rsidRDefault="00A97A51" w:rsidP="001D6450">
      <w:pPr>
        <w:spacing w:line="281" w:lineRule="auto"/>
        <w:ind w:left="2" w:right="126"/>
      </w:pPr>
      <w:r>
        <w:t>Fokleros</w:t>
      </w:r>
      <w:r w:rsidR="001D6450" w:rsidRPr="00D5675E">
        <w:t xml:space="preserve"> este indicat ca tratament de primă linie la pacienţii cu neoplasm bronho-pulmonar altul decât cel cu celule mici local avansat sau metastazat (NSCLC) cu mutaţii activatoare ale EGFR.</w:t>
      </w:r>
    </w:p>
    <w:p w:rsidR="001D6450" w:rsidRPr="00885DAE" w:rsidRDefault="001D6450" w:rsidP="001D6450">
      <w:pPr>
        <w:spacing w:line="200" w:lineRule="exact"/>
      </w:pPr>
    </w:p>
    <w:p w:rsidR="001D6450" w:rsidRPr="00885DAE" w:rsidRDefault="00A97A51" w:rsidP="001D6450">
      <w:pPr>
        <w:spacing w:line="260" w:lineRule="auto"/>
        <w:ind w:right="66"/>
      </w:pPr>
      <w:bookmarkStart w:id="0" w:name="page3"/>
      <w:bookmarkEnd w:id="0"/>
      <w:r>
        <w:t>Fokleros</w:t>
      </w:r>
      <w:r w:rsidR="001D6450" w:rsidRPr="00D5675E">
        <w:t xml:space="preserve"> este indicat, de asemenea, ca tratament de menţinere la pacienţii cu NSCLC local avansat sau metastazat, cu mutaţii activatoare ale EGFR şi cu boală stabilă, după tratamentul chimioterapic de primă linie.</w:t>
      </w:r>
    </w:p>
    <w:p w:rsidR="001D6450" w:rsidRPr="00885DAE" w:rsidRDefault="001D6450" w:rsidP="001D6450">
      <w:pPr>
        <w:spacing w:line="190" w:lineRule="exact"/>
      </w:pPr>
    </w:p>
    <w:p w:rsidR="001D6450" w:rsidRPr="00885DAE" w:rsidRDefault="00A97A51" w:rsidP="001D6450">
      <w:pPr>
        <w:spacing w:line="253" w:lineRule="auto"/>
        <w:ind w:right="166"/>
      </w:pPr>
      <w:r>
        <w:t>Fokleros</w:t>
      </w:r>
      <w:r w:rsidR="001D6450" w:rsidRPr="00D5675E">
        <w:t xml:space="preserve"> este indicat, de asemenea, pentru tratamentul pacienţilor cu NSCLC local avansat sau metastazat, după eşecul terapeutic al cel puţin unui regim de chimioterapie anterior. La pacienţii cu tumori fără mutaţii activatoare ale EGFR, </w:t>
      </w:r>
      <w:r>
        <w:t>Fokleros</w:t>
      </w:r>
      <w:r w:rsidR="001D6450" w:rsidRPr="00D5675E">
        <w:t xml:space="preserve"> este indicat doar când alte opţiuni de tratament nu sunt considerate potrivite.</w:t>
      </w:r>
    </w:p>
    <w:p w:rsidR="001D6450" w:rsidRPr="00885DAE" w:rsidRDefault="001D6450" w:rsidP="001D6450">
      <w:pPr>
        <w:spacing w:line="198" w:lineRule="exact"/>
      </w:pPr>
    </w:p>
    <w:p w:rsidR="001D6450" w:rsidRPr="00885DAE" w:rsidRDefault="001D6450" w:rsidP="001D6450">
      <w:pPr>
        <w:spacing w:line="281" w:lineRule="auto"/>
        <w:ind w:right="866"/>
      </w:pPr>
      <w:r w:rsidRPr="00D5675E">
        <w:t xml:space="preserve">Când se prescrie </w:t>
      </w:r>
      <w:r w:rsidR="00A97A51">
        <w:t>Fokleros</w:t>
      </w:r>
      <w:r w:rsidRPr="00D5675E">
        <w:t>, trebuie avuţi în vedere factorii asociaţi cu prelungirea perioadei de supravieţuire.</w:t>
      </w:r>
    </w:p>
    <w:p w:rsidR="001D6450" w:rsidRPr="00885DAE" w:rsidRDefault="001D6450" w:rsidP="001D6450">
      <w:pPr>
        <w:spacing w:line="166" w:lineRule="exact"/>
      </w:pPr>
    </w:p>
    <w:p w:rsidR="001D6450" w:rsidRPr="00885DAE" w:rsidRDefault="001D6450" w:rsidP="001D6450">
      <w:pPr>
        <w:spacing w:line="281" w:lineRule="auto"/>
        <w:ind w:right="266"/>
      </w:pPr>
      <w:r w:rsidRPr="00D5675E">
        <w:t>Nu s-a demonstrat creşterea perioadei de supravieţuire sau alte efecte relevante clinic la pacienţii cu tumori EGFR (receptorul factorului de creştere epidermal) -IHC negative (vezi pct. 5.1).</w:t>
      </w:r>
    </w:p>
    <w:p w:rsidR="001D6450" w:rsidRPr="00885DAE" w:rsidRDefault="001D6450" w:rsidP="001D6450">
      <w:pPr>
        <w:spacing w:line="168" w:lineRule="exact"/>
      </w:pPr>
    </w:p>
    <w:p w:rsidR="001D6450" w:rsidRPr="00885DAE" w:rsidRDefault="001D6450" w:rsidP="001D6450">
      <w:r w:rsidRPr="00D5675E">
        <w:rPr>
          <w:u w:val="single"/>
        </w:rPr>
        <w:t>Neoplasm pancreatic</w:t>
      </w:r>
    </w:p>
    <w:p w:rsidR="001D6450" w:rsidRPr="00885DAE" w:rsidRDefault="00A97A51" w:rsidP="001D6450">
      <w:pPr>
        <w:spacing w:line="279" w:lineRule="auto"/>
        <w:ind w:right="106"/>
      </w:pPr>
      <w:r>
        <w:t>Fokleros</w:t>
      </w:r>
      <w:r w:rsidR="001D6450" w:rsidRPr="00D5675E">
        <w:t xml:space="preserve"> în asociere cu gemcitabină este indicat pentru tratamentul pacienţilor cu neoplasm pancreatic metastatic.</w:t>
      </w:r>
    </w:p>
    <w:p w:rsidR="001D6450" w:rsidRPr="00885DAE" w:rsidRDefault="001D6450" w:rsidP="001D6450">
      <w:pPr>
        <w:spacing w:line="170" w:lineRule="exact"/>
      </w:pPr>
    </w:p>
    <w:p w:rsidR="001D6450" w:rsidRPr="00885DAE" w:rsidRDefault="001D6450" w:rsidP="001D6450">
      <w:pPr>
        <w:spacing w:line="281" w:lineRule="auto"/>
        <w:ind w:right="466"/>
      </w:pPr>
      <w:r w:rsidRPr="00D5675E">
        <w:t xml:space="preserve">Când se prescrie </w:t>
      </w:r>
      <w:r w:rsidR="00A97A51">
        <w:t>Fokleros</w:t>
      </w:r>
      <w:r w:rsidRPr="00D5675E">
        <w:t xml:space="preserve"> trebuie luaţi în considerare factorii asociaţi cu prelungirea supravieţuirii (vezi pct. 4.2 şi 5.1).</w:t>
      </w:r>
    </w:p>
    <w:p w:rsidR="001D6450" w:rsidRPr="00885DAE" w:rsidRDefault="001D6450" w:rsidP="001D6450">
      <w:pPr>
        <w:spacing w:line="166" w:lineRule="exact"/>
      </w:pPr>
    </w:p>
    <w:p w:rsidR="001D6450" w:rsidRPr="00885DAE" w:rsidRDefault="001D6450" w:rsidP="001D6450">
      <w:pPr>
        <w:spacing w:line="281" w:lineRule="auto"/>
        <w:ind w:right="486"/>
      </w:pPr>
      <w:r w:rsidRPr="00D5675E">
        <w:t>Nu s-a putut demonstra niciun avantaj în ceea ce priveşte supravieţuirea pentru pacienţii cu boală avansată local.</w:t>
      </w:r>
    </w:p>
    <w:p w:rsidR="001D6450" w:rsidRPr="00885DAE" w:rsidRDefault="001D6450" w:rsidP="001D6450">
      <w:pPr>
        <w:spacing w:line="170" w:lineRule="exact"/>
      </w:pPr>
    </w:p>
    <w:p w:rsidR="001D6450" w:rsidRPr="00885DAE" w:rsidRDefault="001D6450" w:rsidP="001D6450">
      <w:pPr>
        <w:tabs>
          <w:tab w:val="left" w:pos="540"/>
        </w:tabs>
      </w:pPr>
      <w:r w:rsidRPr="00D5675E">
        <w:rPr>
          <w:b/>
          <w:bCs/>
        </w:rPr>
        <w:t>4.2</w:t>
      </w:r>
      <w:r w:rsidRPr="00885DAE">
        <w:tab/>
      </w:r>
      <w:r w:rsidRPr="00D5675E">
        <w:rPr>
          <w:b/>
          <w:bCs/>
        </w:rPr>
        <w:t>Doze şi mod de administrare</w:t>
      </w:r>
    </w:p>
    <w:p w:rsidR="001D6450" w:rsidRPr="00885DAE" w:rsidRDefault="001D6450" w:rsidP="001D6450">
      <w:pPr>
        <w:spacing w:line="252" w:lineRule="exact"/>
      </w:pPr>
    </w:p>
    <w:p w:rsidR="001D6450" w:rsidRPr="00885DAE" w:rsidRDefault="001D6450" w:rsidP="001D6450">
      <w:pPr>
        <w:spacing w:line="279" w:lineRule="auto"/>
        <w:ind w:right="506"/>
      </w:pPr>
      <w:r w:rsidRPr="00D5675E">
        <w:t xml:space="preserve">Tratamentul cu </w:t>
      </w:r>
      <w:r w:rsidR="00A97A51">
        <w:t>Fokleros</w:t>
      </w:r>
      <w:r w:rsidRPr="00D5675E">
        <w:t xml:space="preserve"> trebuie să fie supravegheat de către un medic cu experienţă în efectuarea tratamentelor antineoplazice.</w:t>
      </w:r>
    </w:p>
    <w:p w:rsidR="001D6450" w:rsidRPr="00885DAE" w:rsidRDefault="001D6450" w:rsidP="001D6450">
      <w:pPr>
        <w:spacing w:line="170" w:lineRule="exact"/>
      </w:pPr>
    </w:p>
    <w:p w:rsidR="001D6450" w:rsidRPr="00885DAE" w:rsidRDefault="001D6450" w:rsidP="001D6450">
      <w:r w:rsidRPr="00D5675E">
        <w:rPr>
          <w:u w:val="single"/>
        </w:rPr>
        <w:t>Pacienţi cu neoplasm bronho-pulmonar altul decât cel cu celule mici</w:t>
      </w:r>
    </w:p>
    <w:p w:rsidR="001D6450" w:rsidRPr="00885DAE" w:rsidRDefault="001D6450" w:rsidP="001D6450">
      <w:pPr>
        <w:spacing w:line="281" w:lineRule="auto"/>
        <w:ind w:right="586"/>
      </w:pPr>
      <w:r w:rsidRPr="00D5675E">
        <w:t>Testarea statusului mutaţiei EGFR trebuie efectuată în conformitate cu indicaţiile aprobate (vezi pct.4.1)</w:t>
      </w:r>
    </w:p>
    <w:p w:rsidR="001D6450" w:rsidRPr="00885DAE" w:rsidRDefault="001D6450" w:rsidP="001D6450">
      <w:pPr>
        <w:spacing w:line="166" w:lineRule="exact"/>
      </w:pPr>
    </w:p>
    <w:p w:rsidR="001D6450" w:rsidRPr="00885DAE" w:rsidRDefault="001D6450" w:rsidP="001D6450">
      <w:pPr>
        <w:spacing w:line="281" w:lineRule="auto"/>
        <w:ind w:right="146"/>
      </w:pPr>
      <w:r w:rsidRPr="00D5675E">
        <w:t xml:space="preserve">Doza zilnică recomandată de </w:t>
      </w:r>
      <w:r w:rsidR="00A97A51">
        <w:t>Fokleros</w:t>
      </w:r>
      <w:r w:rsidRPr="00D5675E">
        <w:t xml:space="preserve"> este de 150 mg administrată cu cel puţin o oră înainte sau două ore după ingestia de alimente.</w:t>
      </w:r>
    </w:p>
    <w:p w:rsidR="001D6450" w:rsidRPr="00885DAE" w:rsidRDefault="001D6450" w:rsidP="001D6450">
      <w:pPr>
        <w:spacing w:line="168" w:lineRule="exact"/>
      </w:pPr>
    </w:p>
    <w:p w:rsidR="001D6450" w:rsidRPr="00885DAE" w:rsidRDefault="001D6450" w:rsidP="001D6450">
      <w:r w:rsidRPr="00D5675E">
        <w:rPr>
          <w:u w:val="single"/>
        </w:rPr>
        <w:t>Pacienţi cu neoplasm pancreatic</w:t>
      </w:r>
    </w:p>
    <w:p w:rsidR="001D6450" w:rsidRPr="00885DAE" w:rsidRDefault="001D6450" w:rsidP="001D6450">
      <w:pPr>
        <w:spacing w:line="250" w:lineRule="auto"/>
        <w:ind w:right="146"/>
      </w:pPr>
      <w:r w:rsidRPr="00D5675E">
        <w:t xml:space="preserve">Doza zilnică recomandată de </w:t>
      </w:r>
      <w:r w:rsidR="00A97A51">
        <w:t>Fokleros</w:t>
      </w:r>
      <w:r w:rsidRPr="00D5675E">
        <w:t xml:space="preserve"> este de 100 mg administrată cu cel puţin o oră înainte sau două ore după ingestia de alimente, în asociere cu gemcitabină (vezi rezumatul caracteristicilor produsului pentru gemcitabină pentru indicaţia de neoplasm pancreatic). Trebuie reevaluată continuarea tratamentului cu </w:t>
      </w:r>
      <w:r w:rsidR="00A97A51">
        <w:t>Fokleros</w:t>
      </w:r>
      <w:r w:rsidRPr="00D5675E">
        <w:t>, la pacienţii care nu prezintă erupţii cutanate tranzitorii în primele 4-8 săptămâni de tratament (vezi pct. 5.1).</w:t>
      </w:r>
    </w:p>
    <w:p w:rsidR="001D6450" w:rsidRPr="00885DAE" w:rsidRDefault="001D6450" w:rsidP="001D6450">
      <w:pPr>
        <w:spacing w:line="199" w:lineRule="exact"/>
      </w:pPr>
    </w:p>
    <w:p w:rsidR="001D6450" w:rsidRPr="00885DAE" w:rsidRDefault="001D6450" w:rsidP="001D6450">
      <w:r w:rsidRPr="00D5675E">
        <w:t>Când este necesară ajustarea dozei, aceasta trebuie scăzută cu câte 50 mg (vezi pct. 4.4).</w:t>
      </w:r>
    </w:p>
    <w:p w:rsidR="001D6450" w:rsidRPr="00885DAE" w:rsidRDefault="00A97A51" w:rsidP="001D6450">
      <w:r>
        <w:t>Fokleros</w:t>
      </w:r>
      <w:r w:rsidR="001D6450" w:rsidRPr="00D5675E">
        <w:t xml:space="preserve"> este disponibil în concentraţii de 25 mg, 100 mg şi 150 mg.</w:t>
      </w:r>
    </w:p>
    <w:p w:rsidR="001D6450" w:rsidRPr="00885DAE" w:rsidRDefault="001D6450" w:rsidP="001D6450">
      <w:pPr>
        <w:spacing w:line="281" w:lineRule="auto"/>
        <w:ind w:right="6"/>
      </w:pPr>
      <w:r w:rsidRPr="00D5675E">
        <w:t>Utilizarea concomitentă a substanţelor care reprezintă substraturi sau modulatori ai activităţii CYP3A4 poate face necesară ajustarea dozei (vezi pct. 4.5).</w:t>
      </w:r>
    </w:p>
    <w:p w:rsidR="001D6450" w:rsidRPr="00885DAE" w:rsidRDefault="001D6450" w:rsidP="001D6450">
      <w:pPr>
        <w:spacing w:line="167" w:lineRule="exact"/>
      </w:pPr>
    </w:p>
    <w:p w:rsidR="001D6450" w:rsidRPr="00885DAE" w:rsidRDefault="001D6450" w:rsidP="001D6450">
      <w:pPr>
        <w:rPr>
          <w:u w:val="single"/>
        </w:rPr>
      </w:pPr>
      <w:r w:rsidRPr="00885DAE">
        <w:rPr>
          <w:u w:val="single"/>
        </w:rPr>
        <w:t>Insuficienţă hepatică</w:t>
      </w:r>
    </w:p>
    <w:p w:rsidR="001D6450" w:rsidRPr="00885DAE" w:rsidRDefault="001D6450" w:rsidP="00885DAE">
      <w:pPr>
        <w:spacing w:line="246" w:lineRule="auto"/>
        <w:ind w:right="6"/>
      </w:pPr>
      <w:r w:rsidRPr="00D5675E">
        <w:t xml:space="preserve">Erlotinibul se elimină prin metabolizare hepatică şi excreţie biliară. Deşi expunerea la erlotinib a fost similară la pacienţii cu insuficienţă hepatică moderată (scor Child-Pugh 7-9) comparativ cu pacienţii cu funcţie hepatică normală, se recomandă prudenţă când se administrează </w:t>
      </w:r>
      <w:r w:rsidR="00A97A51">
        <w:t>Fokleros</w:t>
      </w:r>
      <w:r w:rsidRPr="00D5675E">
        <w:t xml:space="preserve"> la pacienţii cu insuficienţă hepatică. Dacă apar reacţii adverse severe, trebuie luate în considerare reducerea dozei sau întreruperea tratamentului cu </w:t>
      </w:r>
      <w:r w:rsidR="00A97A51">
        <w:t>Fokleros</w:t>
      </w:r>
      <w:r w:rsidRPr="00D5675E">
        <w:t xml:space="preserve">. Nu s-au studiat siguranţa şi eficacitatea administrării erlotinibului la pacienţii cu disfuncţie hepatică severă (AST/ TGO şi ALT/TGP &gt; 5 x LSVN). Nu este recomandată utilizarea </w:t>
      </w:r>
      <w:r w:rsidR="00A97A51">
        <w:t>Fokleros</w:t>
      </w:r>
      <w:r w:rsidRPr="00D5675E">
        <w:t xml:space="preserve"> la pacienţii cu disfuncţie hepatică severă (vezi pct. 5.2).</w:t>
      </w:r>
    </w:p>
    <w:p w:rsidR="001D6450" w:rsidRPr="00885DAE" w:rsidRDefault="001D6450" w:rsidP="001D6450">
      <w:pPr>
        <w:rPr>
          <w:u w:val="single"/>
        </w:rPr>
      </w:pPr>
      <w:bookmarkStart w:id="1" w:name="page4"/>
      <w:bookmarkEnd w:id="1"/>
      <w:r w:rsidRPr="00885DAE">
        <w:rPr>
          <w:u w:val="single"/>
        </w:rPr>
        <w:t>Insuficienţă renală</w:t>
      </w:r>
    </w:p>
    <w:p w:rsidR="001D6450" w:rsidRPr="00885DAE" w:rsidRDefault="001D6450" w:rsidP="001D6450">
      <w:pPr>
        <w:spacing w:line="269" w:lineRule="auto"/>
        <w:ind w:right="60"/>
      </w:pPr>
      <w:r w:rsidRPr="00885DAE">
        <w:t xml:space="preserve">Nu s-au studiat siguranţa şi eficacitatea administrării erlotinibului la pacienţii cu insuficienţă renală (concentraţie plasmatică a creatininei &gt; 1,5 ori limita superioară normală). Conform datelor de farmacocinetică, nu par să fie necesare ajustări ale dozei la pacienţii cu insuficienţă renală uşoară sau moderată (vezi pct. 5.2). Nu se recomandă utilizarea </w:t>
      </w:r>
      <w:r w:rsidR="00A97A51">
        <w:t>Fokleros</w:t>
      </w:r>
      <w:r w:rsidRPr="00885DAE">
        <w:t xml:space="preserve"> la pacienţii cu insuficienţă renală severă.</w:t>
      </w:r>
    </w:p>
    <w:p w:rsidR="001D6450" w:rsidRPr="00885DAE" w:rsidRDefault="001D6450" w:rsidP="001D6450">
      <w:pPr>
        <w:spacing w:line="183" w:lineRule="exact"/>
      </w:pPr>
    </w:p>
    <w:p w:rsidR="001D6450" w:rsidRPr="00885DAE" w:rsidRDefault="001D6450" w:rsidP="001D6450">
      <w:pPr>
        <w:rPr>
          <w:u w:val="single"/>
        </w:rPr>
      </w:pPr>
      <w:r w:rsidRPr="00885DAE">
        <w:rPr>
          <w:u w:val="single"/>
        </w:rPr>
        <w:t>Copii şi adolescenţi</w:t>
      </w:r>
    </w:p>
    <w:p w:rsidR="001D6450" w:rsidRPr="00885DAE" w:rsidRDefault="001D6450" w:rsidP="001D6450">
      <w:pPr>
        <w:spacing w:line="279" w:lineRule="auto"/>
        <w:ind w:right="80"/>
      </w:pPr>
      <w:r w:rsidRPr="00D5675E">
        <w:t xml:space="preserve">Siguranţa şi eficacitatea administrării erlotinibului în cadrul indicaţiilor aprobate nu au fost stabilite la pacienţii cu vârstă sub 18 ani. Nu se recomandă utilizarea </w:t>
      </w:r>
      <w:r w:rsidR="00A97A51">
        <w:t>Fokleros</w:t>
      </w:r>
      <w:r w:rsidRPr="00D5675E">
        <w:t xml:space="preserve"> la copii şi adolescenţi.</w:t>
      </w:r>
    </w:p>
    <w:p w:rsidR="001D6450" w:rsidRPr="00885DAE" w:rsidRDefault="001D6450" w:rsidP="001D6450">
      <w:pPr>
        <w:spacing w:line="169" w:lineRule="exact"/>
      </w:pPr>
    </w:p>
    <w:p w:rsidR="001D6450" w:rsidRPr="00885DAE" w:rsidRDefault="001D6450" w:rsidP="001D6450">
      <w:pPr>
        <w:rPr>
          <w:u w:val="single"/>
        </w:rPr>
      </w:pPr>
      <w:r w:rsidRPr="00885DAE">
        <w:rPr>
          <w:u w:val="single"/>
        </w:rPr>
        <w:t>Fumători</w:t>
      </w:r>
    </w:p>
    <w:p w:rsidR="001D6450" w:rsidRPr="00885DAE" w:rsidRDefault="001D6450" w:rsidP="001D6450">
      <w:pPr>
        <w:spacing w:line="245" w:lineRule="auto"/>
        <w:ind w:right="40"/>
      </w:pPr>
      <w:r w:rsidRPr="00D5675E">
        <w:t>S-a demonstrat că fumatul ţigărilor reduce expunerea la erlotinib cu 50-60%. Doza maximă tolerată la pacienţii fumători cu NSCLC a fost de 300 mg. Administrarea dozei de 300 mg în tratamentul de linia a doua după eşecul terapeutic al regimului de chimioterapie nu a demonstrat o îmbunătăţire a eficacităţii comparativ cu doza recomandată de 150 mg la pacienţii care continuă să fumeze. Datele cu privire la siguranţă pentru dozele de 300 mg şi 150 mg au fost comparabile; cu toate acestea, la pacienţii trataţi cu doza mai mare de erlotinib a existat o creştere numerică a cazurilor de erupţie cutanată tranzitorie, boală pulmonară interstițială şi diaree. Pacienţii fumători trebuie sfătuiţi să întrerupă fumatul (vezi pct. 4.4, 4.5, 5.1 şi 5.2).</w:t>
      </w:r>
    </w:p>
    <w:p w:rsidR="001D6450" w:rsidRPr="00885DAE" w:rsidRDefault="001D6450" w:rsidP="001D6450">
      <w:pPr>
        <w:spacing w:line="212" w:lineRule="exact"/>
      </w:pPr>
    </w:p>
    <w:p w:rsidR="001D6450" w:rsidRPr="00885DAE" w:rsidRDefault="001D6450" w:rsidP="001D6450">
      <w:pPr>
        <w:tabs>
          <w:tab w:val="left" w:pos="540"/>
        </w:tabs>
      </w:pPr>
      <w:r w:rsidRPr="00D5675E">
        <w:rPr>
          <w:b/>
          <w:bCs/>
        </w:rPr>
        <w:t>4.3</w:t>
      </w:r>
      <w:r w:rsidRPr="00885DAE">
        <w:tab/>
      </w:r>
      <w:r w:rsidRPr="00885DAE">
        <w:rPr>
          <w:b/>
          <w:bCs/>
        </w:rPr>
        <w:t>Contraindicaţii</w:t>
      </w:r>
    </w:p>
    <w:p w:rsidR="001D6450" w:rsidRPr="00885DAE" w:rsidRDefault="001D6450" w:rsidP="001D6450">
      <w:pPr>
        <w:spacing w:line="252" w:lineRule="exact"/>
      </w:pPr>
    </w:p>
    <w:p w:rsidR="001D6450" w:rsidRPr="00885DAE" w:rsidRDefault="001D6450" w:rsidP="001D6450">
      <w:r w:rsidRPr="00D5675E">
        <w:t>Hipersensibilitate la erlotinib sau la oricare dintre excipienţii enumeraţi la pct. 6.1.</w:t>
      </w:r>
    </w:p>
    <w:p w:rsidR="001D6450" w:rsidRPr="00885DAE" w:rsidRDefault="001D6450" w:rsidP="001D6450">
      <w:pPr>
        <w:spacing w:line="255" w:lineRule="exact"/>
      </w:pPr>
    </w:p>
    <w:p w:rsidR="001D6450" w:rsidRPr="00885DAE" w:rsidRDefault="001D6450" w:rsidP="001D6450">
      <w:pPr>
        <w:tabs>
          <w:tab w:val="left" w:pos="540"/>
        </w:tabs>
      </w:pPr>
      <w:r w:rsidRPr="00D5675E">
        <w:rPr>
          <w:b/>
          <w:bCs/>
        </w:rPr>
        <w:t>4.4</w:t>
      </w:r>
      <w:r w:rsidRPr="00885DAE">
        <w:tab/>
      </w:r>
      <w:r w:rsidRPr="00885DAE">
        <w:rPr>
          <w:b/>
          <w:bCs/>
        </w:rPr>
        <w:t>Atenţionări şi precauţii speciale pentru utilizare</w:t>
      </w:r>
    </w:p>
    <w:p w:rsidR="001D6450" w:rsidRPr="00885DAE" w:rsidRDefault="001D6450" w:rsidP="001D6450">
      <w:pPr>
        <w:spacing w:line="252" w:lineRule="exact"/>
      </w:pPr>
    </w:p>
    <w:p w:rsidR="001D6450" w:rsidRPr="00885DAE" w:rsidRDefault="001D6450" w:rsidP="001D6450">
      <w:r w:rsidRPr="00D5675E">
        <w:rPr>
          <w:u w:val="single"/>
        </w:rPr>
        <w:t>Evaluarea statusului mutaţiei EGFR</w:t>
      </w:r>
    </w:p>
    <w:p w:rsidR="001D6450" w:rsidRPr="00885DAE" w:rsidRDefault="001D6450" w:rsidP="001D6450">
      <w:pPr>
        <w:spacing w:line="260" w:lineRule="auto"/>
        <w:ind w:right="440"/>
      </w:pPr>
      <w:r w:rsidRPr="00D5675E">
        <w:t xml:space="preserve">Atunci când se ia în considerare utilizarea </w:t>
      </w:r>
      <w:r w:rsidR="00A97A51">
        <w:t>Fokleros</w:t>
      </w:r>
      <w:r w:rsidRPr="00D5675E">
        <w:t xml:space="preserve"> ca tratament de primă linie sau ca tratament de menţinere în cazul NSCLC avansat local sau metastazat, este important să se determine statusul mutaţiei EGFR a pacientului.</w:t>
      </w:r>
    </w:p>
    <w:p w:rsidR="001D6450" w:rsidRPr="00885DAE" w:rsidRDefault="001D6450" w:rsidP="001D6450">
      <w:pPr>
        <w:spacing w:line="190" w:lineRule="exact"/>
      </w:pPr>
    </w:p>
    <w:p w:rsidR="001D6450" w:rsidRPr="00885DAE" w:rsidRDefault="001D6450" w:rsidP="001D6450">
      <w:pPr>
        <w:spacing w:line="249" w:lineRule="auto"/>
        <w:ind w:right="240"/>
      </w:pPr>
      <w:r w:rsidRPr="00D5675E">
        <w:t>Pentru determinarea statusului mutaţiei EGFR trebuie să se utilizeze, conform practicii medicale, un test validat, robust, de încredere şi sensibil, cu o valoare prag pre-specificată de pozitivitate şi cu utilitate demonstrată în determinarea statusului mutaţiei EGFR, utilizând fie ADN tumoral prelevat dintr-o probă de ţesut, fie ADN tumoral liber circulant (ADNlc) obţinut dintr-o probă de sânge (plasmă).</w:t>
      </w:r>
    </w:p>
    <w:p w:rsidR="001D6450" w:rsidRPr="00885DAE" w:rsidRDefault="001D6450" w:rsidP="001D6450">
      <w:pPr>
        <w:spacing w:line="204" w:lineRule="exact"/>
      </w:pPr>
    </w:p>
    <w:p w:rsidR="001D6450" w:rsidRPr="00885DAE" w:rsidRDefault="001D6450" w:rsidP="001D6450">
      <w:pPr>
        <w:spacing w:line="260" w:lineRule="auto"/>
        <w:ind w:right="60"/>
      </w:pPr>
      <w:r w:rsidRPr="00D5675E">
        <w:t>Dacă se utilizează testarea ADNlc , cu o probă din plasmă, iar rezultatul pentru mutaţii activatoare este negativ, se recomandă, ori de câte ori este posibil, repetarea cu un test tisular, deoarece există posibilitatea apariţiei rezultatelor fals negative la testele cu probă din plasma.</w:t>
      </w:r>
    </w:p>
    <w:p w:rsidR="001D6450" w:rsidRPr="00885DAE" w:rsidRDefault="001D6450" w:rsidP="001D6450">
      <w:pPr>
        <w:spacing w:line="190" w:lineRule="exact"/>
      </w:pPr>
    </w:p>
    <w:p w:rsidR="001D6450" w:rsidRPr="00885DAE" w:rsidRDefault="001D6450" w:rsidP="001D6450">
      <w:r w:rsidRPr="00D5675E">
        <w:rPr>
          <w:u w:val="single"/>
        </w:rPr>
        <w:t>Fumători</w:t>
      </w:r>
    </w:p>
    <w:p w:rsidR="001D6450" w:rsidRPr="00885DAE" w:rsidRDefault="001D6450" w:rsidP="001D6450">
      <w:pPr>
        <w:spacing w:line="260" w:lineRule="auto"/>
        <w:ind w:right="100"/>
      </w:pPr>
      <w:r w:rsidRPr="00D5675E">
        <w:t>Fumătorii trebuie sfătuiţi să renunţe la fumat, deoarece concentraţiile plasmatice de erlotinib la subiecţii fumători sunt reduse comparativ cu cei nefumători. Gradul de reducere pare a fi semnificativ din punct de vedere clinic (vezi pct. 4.2, 4.5, 5.1 şi 5.2).</w:t>
      </w:r>
    </w:p>
    <w:p w:rsidR="001D6450" w:rsidRPr="00885DAE" w:rsidRDefault="001D6450" w:rsidP="001D6450">
      <w:pPr>
        <w:spacing w:line="190" w:lineRule="exact"/>
      </w:pPr>
    </w:p>
    <w:p w:rsidR="001D6450" w:rsidRPr="00885DAE" w:rsidRDefault="001D6450" w:rsidP="001D6450">
      <w:r w:rsidRPr="00D5675E">
        <w:rPr>
          <w:u w:val="single"/>
        </w:rPr>
        <w:t>Boală pulmonară interstiţială</w:t>
      </w:r>
    </w:p>
    <w:p w:rsidR="001D6450" w:rsidRPr="00885DAE" w:rsidRDefault="001D6450" w:rsidP="001D6450">
      <w:r w:rsidRPr="00885DAE">
        <w:t xml:space="preserve">Mai puţin frecvent, s-au raportat cazuri asemănătoare bolii pulmonare interstiţiale (BPI), inclusiv decese, la pacienţii la care s-a administrat </w:t>
      </w:r>
      <w:r w:rsidR="00230783">
        <w:t>erlotinib</w:t>
      </w:r>
      <w:r w:rsidRPr="00885DAE">
        <w:t xml:space="preserve"> pentru tratamentul neoplasmului pulmonar cu alte tipuri de celule decât cele mici (NSCLC), neoplasm pancreatic sau alte tumori solide avansate. În studiul pivot BR.21 efectuat la pacienţi cu NSCLC, incidenţa BPI (0,8%) a fost aceeaşi atât la grupul pacienţilor trataţi cu </w:t>
      </w:r>
      <w:r w:rsidR="00230783" w:rsidRPr="00230783">
        <w:t>erlotinib</w:t>
      </w:r>
      <w:r w:rsidRPr="00885DAE">
        <w:t xml:space="preserve">, cât şi la grupul pacienţilor la care s-a administrat placebo. Într -o meta-analiză a studiilor clinice randomizate controlate NSCLC (excluzând studiile clinice de fază I şi studiile clinice de fază II cu un singur braţ de tratament, din cauza lipsei grupurilor de control), incidenţa evenimentelor asemănătoare BPI a fost de 0,9% la pacienţii trataţi cu </w:t>
      </w:r>
      <w:r w:rsidR="00230783" w:rsidRPr="00230783">
        <w:t>erlotinib</w:t>
      </w:r>
      <w:r w:rsidRPr="00885DAE">
        <w:t>, comparativ cu 0,4% la pacienţii din braţele de control. Într-un studiu efectuat la pacienţii cu neoplasm pancreatic, în</w:t>
      </w:r>
      <w:r w:rsidR="00D5675E" w:rsidRPr="00885DAE">
        <w:t xml:space="preserve"> </w:t>
      </w:r>
      <w:bookmarkStart w:id="2" w:name="page5"/>
      <w:bookmarkEnd w:id="2"/>
      <w:r w:rsidR="00930956">
        <w:t>a</w:t>
      </w:r>
      <w:r w:rsidRPr="00D5675E">
        <w:t>sociere cu gemcitabină, incidenţa evenimentelor asemănătoare BPI a fost de 2,5% în grupul cu</w:t>
      </w:r>
      <w:r w:rsidR="00D5675E" w:rsidRPr="00D5675E">
        <w:t xml:space="preserve"> </w:t>
      </w:r>
      <w:r w:rsidR="00230783" w:rsidRPr="00230783">
        <w:t>erlotinib</w:t>
      </w:r>
      <w:r w:rsidRPr="00D5675E">
        <w:t xml:space="preserve"> în asociere cu gemcitabină comparativ cu 0,4% în grupul placebo în asociere cu gemcitabină.</w:t>
      </w:r>
    </w:p>
    <w:p w:rsidR="001D6450" w:rsidRPr="00885DAE" w:rsidRDefault="001D6450" w:rsidP="001D6450">
      <w:r w:rsidRPr="00D5675E">
        <w:t>Diagnosticele raportate la pacienţii suspectaţi de a avea evenimente asemănătoare BPI au inclus</w:t>
      </w:r>
    </w:p>
    <w:p w:rsidR="001D6450" w:rsidRPr="00885DAE" w:rsidRDefault="001D6450" w:rsidP="001D6450">
      <w:r w:rsidRPr="00D5675E">
        <w:t>pneumonită, pneumonită postradioterapie, pneumonită de hipersensibilizare, pneumonie interstiţială,</w:t>
      </w:r>
    </w:p>
    <w:p w:rsidR="001D6450" w:rsidRPr="00885DAE" w:rsidRDefault="001D6450" w:rsidP="001D6450">
      <w:r w:rsidRPr="00D5675E">
        <w:t>boală pulmonară interstiţială, bronşiolită obstructivă, fibroză pulmonară, sindrom de detresă</w:t>
      </w:r>
    </w:p>
    <w:p w:rsidR="001D6450" w:rsidRPr="00885DAE" w:rsidRDefault="001D6450" w:rsidP="001D6450">
      <w:r w:rsidRPr="00D5675E">
        <w:t>respiratorie acută (SDRA), alveolită şi infiltrare pulmonară. Simptomele apar la câteva zile sau luni</w:t>
      </w:r>
    </w:p>
    <w:p w:rsidR="001D6450" w:rsidRPr="00885DAE" w:rsidRDefault="001D6450" w:rsidP="001D6450">
      <w:pPr>
        <w:spacing w:line="239" w:lineRule="auto"/>
      </w:pPr>
      <w:r w:rsidRPr="00D5675E">
        <w:t xml:space="preserve">după iniţierea terapiei cu </w:t>
      </w:r>
      <w:r w:rsidR="00230783" w:rsidRPr="00230783">
        <w:t>erlotinib</w:t>
      </w:r>
      <w:r w:rsidRPr="00D5675E">
        <w:t>. Factorii alteranţi sau favorizanţi precum curele de chimioterapie</w:t>
      </w:r>
    </w:p>
    <w:p w:rsidR="001D6450" w:rsidRPr="00885DAE" w:rsidRDefault="001D6450" w:rsidP="001D6450">
      <w:r w:rsidRPr="00D5675E">
        <w:t>concomitente sau anterioare, curele de radioterapie anterioare, boala pulmonară parenchimatoasă</w:t>
      </w:r>
    </w:p>
    <w:p w:rsidR="001D6450" w:rsidRPr="00885DAE" w:rsidRDefault="001D6450" w:rsidP="001D6450">
      <w:r w:rsidRPr="00D5675E">
        <w:t>preexistentă, boala pulmonară metastatică sau infecţiile pulmonare, au fost frecvenţi. La pacienţii din</w:t>
      </w:r>
    </w:p>
    <w:p w:rsidR="001D6450" w:rsidRPr="00885DAE" w:rsidRDefault="001D6450" w:rsidP="001D6450">
      <w:r w:rsidRPr="00D5675E">
        <w:t>studiile realizate în Japonia este observată o incidenţă mai mare a BPI (aproximativ 5%, cu o rată a</w:t>
      </w:r>
    </w:p>
    <w:p w:rsidR="001D6450" w:rsidRPr="00885DAE" w:rsidRDefault="001D6450" w:rsidP="001D6450">
      <w:pPr>
        <w:spacing w:line="1" w:lineRule="exact"/>
      </w:pPr>
    </w:p>
    <w:p w:rsidR="001D6450" w:rsidRPr="00885DAE" w:rsidRDefault="001D6450" w:rsidP="001D6450">
      <w:r w:rsidRPr="00D5675E">
        <w:t>mortalităţii de 1,5%).</w:t>
      </w:r>
    </w:p>
    <w:p w:rsidR="001D6450" w:rsidRPr="00885DAE" w:rsidRDefault="001D6450" w:rsidP="001D6450">
      <w:pPr>
        <w:spacing w:line="251" w:lineRule="exact"/>
      </w:pPr>
    </w:p>
    <w:p w:rsidR="001D6450" w:rsidRPr="00885DAE" w:rsidRDefault="001D6450" w:rsidP="001D6450">
      <w:pPr>
        <w:spacing w:line="250" w:lineRule="auto"/>
        <w:ind w:right="260"/>
      </w:pPr>
      <w:r w:rsidRPr="00D5675E">
        <w:t xml:space="preserve">La pacienţii la care apar acut simptome pulmonare inexplicabile noi şi/sau progresive cum sunt dispneea, tusea şi febra, tratamentul cu </w:t>
      </w:r>
      <w:r w:rsidR="00230783" w:rsidRPr="00230783">
        <w:t>erlotinib</w:t>
      </w:r>
      <w:r w:rsidRPr="00D5675E">
        <w:t xml:space="preserve"> trebuie întrerupt până se face evaluarea diagnostică. Pacienţii trataţi concomitent cu erlotinib şi gemcitabină trebuie monitorizaţi cu atenţie din cauza posibilităţii dezvoltării toxicităţii asemănătoare BPI. Dacă este diagnosticată BPI, administrarea de </w:t>
      </w:r>
      <w:r w:rsidR="00A97A51">
        <w:t>Fokleros</w:t>
      </w:r>
      <w:r w:rsidRPr="00D5675E">
        <w:t xml:space="preserve"> trebuie întreruptă şi, dacă este necesar, se iniţiază tratament adecvat (vezi pct. 4.8).</w:t>
      </w:r>
    </w:p>
    <w:p w:rsidR="003F4941" w:rsidRDefault="003F4941" w:rsidP="001D6450">
      <w:pPr>
        <w:rPr>
          <w:u w:val="single"/>
        </w:rPr>
      </w:pPr>
    </w:p>
    <w:p w:rsidR="001D6450" w:rsidRPr="00885DAE" w:rsidRDefault="001D6450" w:rsidP="001D6450">
      <w:r w:rsidRPr="00D5675E">
        <w:rPr>
          <w:u w:val="single"/>
        </w:rPr>
        <w:t>Diaree, deshidratare, dezechilibru electrolitic şi insuficienţă renală</w:t>
      </w:r>
    </w:p>
    <w:p w:rsidR="001D6450" w:rsidRPr="00885DAE" w:rsidRDefault="001D6450" w:rsidP="001D6450">
      <w:pPr>
        <w:spacing w:line="243" w:lineRule="auto"/>
      </w:pPr>
      <w:r w:rsidRPr="00D5675E">
        <w:t xml:space="preserve">La aproximativ 50 % dintre pacienţii trataţi cu </w:t>
      </w:r>
      <w:r w:rsidR="00230783" w:rsidRPr="00230783">
        <w:t>erlotinib</w:t>
      </w:r>
      <w:r w:rsidRPr="00D5675E">
        <w:t xml:space="preserve">a apărut diaree (incluzând cazuri foarte rare cu evoluţie spre deces), diareea moderată sau severă trebuind tratată, de exemplu, cu loperamidă. În unele cazuri poate fi necesară reducerea dozei. În studiile clinice, dozele au fost reduse cu câte 50 mg. Nu s-au studiat reducerile dozelor cu câte 25 mg. În cazul în care apar diaree severă şi persistentă, greaţă, anorexie sau vărsături asociate cu deshidratare, tratamentul cu </w:t>
      </w:r>
      <w:r w:rsidR="00230783" w:rsidRPr="00230783">
        <w:t>erlotinib</w:t>
      </w:r>
      <w:r w:rsidRPr="00D5675E">
        <w:t xml:space="preserve"> trebuie întrerupt şi trebuie luate măsurile adecvate pentru tratamentul deshidratării (vezi pct. 4.8). S-au raportat rar hipokaliemie şi insuficienţă renală (inclusiv deces) . În unele cazuri, acestea au apărut secundar deshidratării severe, datorită diareei, vărsăturilor şi/sau anorexiei, iar în alte cazuri au fost determinate de chimioterapia asociată. În cazuri mai severe sau persistente de diaree sau cazuri care duc la deshidratare, în special la grupurile de pacienţi cu factori de risc agravanţi (în special administrarea concomitentă a chimioterapiei şi a altor medicaţii, simptome sau boli sau alte condiţii predispozante inclusiv vârstă înaintată), terapia cu </w:t>
      </w:r>
      <w:r w:rsidR="00230783" w:rsidRPr="00230783">
        <w:t>erlotinib</w:t>
      </w:r>
      <w:r w:rsidRPr="00D5675E">
        <w:t xml:space="preserve"> trebuie întreruptă şi trebuie luate măsurile adecvate pentru rehidratarea intensă, intravenoasă a pacienţilor. În plus, funcţia renală şi electroliţii plasmatici inclusiv potasiu, trebuie monitorizaţi la pacienţii cu risc de deshidratare.</w:t>
      </w:r>
    </w:p>
    <w:p w:rsidR="001D6450" w:rsidRPr="00885DAE" w:rsidRDefault="001D6450" w:rsidP="001D6450">
      <w:pPr>
        <w:spacing w:line="208" w:lineRule="exact"/>
      </w:pPr>
    </w:p>
    <w:p w:rsidR="001D6450" w:rsidRPr="00885DAE" w:rsidRDefault="001D6450" w:rsidP="001D6450">
      <w:r w:rsidRPr="00D5675E">
        <w:rPr>
          <w:u w:val="single"/>
        </w:rPr>
        <w:t>Hepatită, insuficienţă hepatică</w:t>
      </w:r>
    </w:p>
    <w:p w:rsidR="001D6450" w:rsidRPr="00885DAE" w:rsidRDefault="001D6450" w:rsidP="001D6450">
      <w:pPr>
        <w:spacing w:line="1" w:lineRule="exact"/>
      </w:pPr>
    </w:p>
    <w:p w:rsidR="001D6450" w:rsidRPr="00885DAE" w:rsidRDefault="001D6450" w:rsidP="001D6450">
      <w:pPr>
        <w:spacing w:line="248" w:lineRule="auto"/>
        <w:ind w:right="200"/>
      </w:pPr>
      <w:r w:rsidRPr="00D5675E">
        <w:t xml:space="preserve">Cazuri rare de insuficienţă hepatică (inclusiv deces) au fost raportate în timpul tratamentului cu </w:t>
      </w:r>
      <w:r w:rsidR="00230783" w:rsidRPr="00230783">
        <w:t>erlotinib</w:t>
      </w:r>
      <w:r w:rsidRPr="00D5675E">
        <w:t xml:space="preserve">. Factorii de risc includ boală hepatică pre-existentă sau administrare concomitentă de medicamente hepatotoxice. Prin urmare, la aceşti pacienţi trebuie luată în considerare evaluarea periodică a funcţiei hepatice. Administrarea de </w:t>
      </w:r>
      <w:r w:rsidR="00230783" w:rsidRPr="00230783">
        <w:t>erlotinib</w:t>
      </w:r>
      <w:r w:rsidRPr="00D5675E">
        <w:t xml:space="preserve"> trebuie întreruptă dacă modificările funcţiei hepatice sunt severe (vezi pct. 4.8). Nu este recomandată utilizarea </w:t>
      </w:r>
      <w:r w:rsidR="00230783" w:rsidRPr="00230783">
        <w:t>erlotinib</w:t>
      </w:r>
      <w:r w:rsidRPr="00D5675E">
        <w:t xml:space="preserve"> la pacienţii cu disfuncţie hepatică severă.</w:t>
      </w:r>
    </w:p>
    <w:p w:rsidR="001D6450" w:rsidRPr="00885DAE" w:rsidRDefault="001D6450" w:rsidP="001D6450">
      <w:pPr>
        <w:spacing w:line="202" w:lineRule="exact"/>
      </w:pPr>
    </w:p>
    <w:p w:rsidR="001D6450" w:rsidRPr="00885DAE" w:rsidRDefault="001D6450" w:rsidP="001D6450">
      <w:r w:rsidRPr="00D5675E">
        <w:rPr>
          <w:u w:val="single"/>
        </w:rPr>
        <w:t>Perforaţia gastro-intestinală</w:t>
      </w:r>
    </w:p>
    <w:p w:rsidR="001D6450" w:rsidRPr="00885DAE" w:rsidRDefault="001D6450" w:rsidP="001D6450">
      <w:pPr>
        <w:spacing w:line="248" w:lineRule="auto"/>
      </w:pPr>
      <w:r w:rsidRPr="00D5675E">
        <w:t xml:space="preserve">Pacienţii trataţi cu </w:t>
      </w:r>
      <w:r w:rsidR="00230783" w:rsidRPr="00230783">
        <w:t>erlotinib</w:t>
      </w:r>
      <w:r w:rsidRPr="00D5675E">
        <w:t xml:space="preserve"> prezintă un risc crescut de apariţie a perforaţiei gastrointestinale, care a fost observată mai puţin frecvent (incluzând unele cazuri cu evoluţie spre deces). Riscul este crescut la pacienţii trataţi concomitent cu medicamente anti-angiogenice, corticosteroizi, medicamente AINS, şi/sau chimioterapie pe bază de taxani, sau la cei care prezintă antecendente de ulcer gastro-duodenal sau diverticulită. Tratamentul trebuie întrerupt definitiv la pacienţii care prezintă perforaţie gastrointestinală (vezi pct. 4.8).</w:t>
      </w:r>
    </w:p>
    <w:p w:rsidR="001D6450" w:rsidRPr="00885DAE" w:rsidRDefault="001D6450" w:rsidP="001D6450">
      <w:pPr>
        <w:spacing w:line="202" w:lineRule="exact"/>
      </w:pPr>
    </w:p>
    <w:p w:rsidR="001D6450" w:rsidRPr="00885DAE" w:rsidRDefault="001D6450" w:rsidP="001D6450">
      <w:r w:rsidRPr="00D5675E">
        <w:rPr>
          <w:u w:val="single"/>
        </w:rPr>
        <w:t>Afecţiuni cutanate buloase şi exfoliative</w:t>
      </w:r>
    </w:p>
    <w:p w:rsidR="00D5675E" w:rsidRDefault="001D6450" w:rsidP="001D6450">
      <w:pPr>
        <w:rPr>
          <w:u w:val="single"/>
        </w:rPr>
      </w:pPr>
      <w:r w:rsidRPr="00D5675E">
        <w:t xml:space="preserve">Au fost raportate afecţiuni cutanate exfoliative, buloase şi pustuloase, inclusiv cazuri foarte rare, sugestive de sindrom Stevens-Johnson/necroliză epidermică toxică, care în anumite cazuri au fost letale (vezi pct. 4.8). Tratamentul cu </w:t>
      </w:r>
      <w:r w:rsidR="00230783" w:rsidRPr="00230783">
        <w:t>erlotinib</w:t>
      </w:r>
      <w:r w:rsidRPr="00D5675E">
        <w:t xml:space="preserve"> trebuie întrerupt temporar sau definitiv dacă pacienţii prezintă manifestări cutanate exfoliative, buloase şi pustuloase severe. Pacienţ ii cu afecţ iuni cutanate buloase şi exfoliative trebuie testaţi în vederea identificării infecţiilor cutanate şi trebuie trataţi în conformitate cu ghidurile locale de tratament.</w:t>
      </w:r>
      <w:bookmarkStart w:id="3" w:name="page6"/>
      <w:bookmarkEnd w:id="3"/>
    </w:p>
    <w:p w:rsidR="00D5675E" w:rsidRDefault="00D5675E" w:rsidP="001D6450">
      <w:pPr>
        <w:rPr>
          <w:u w:val="single"/>
        </w:rPr>
      </w:pPr>
    </w:p>
    <w:p w:rsidR="001D6450" w:rsidRPr="00885DAE" w:rsidRDefault="001D6450" w:rsidP="001D6450">
      <w:r w:rsidRPr="00D5675E">
        <w:rPr>
          <w:u w:val="single"/>
        </w:rPr>
        <w:t>Tulburări oculare</w:t>
      </w:r>
    </w:p>
    <w:p w:rsidR="001D6450" w:rsidRPr="00885DAE" w:rsidRDefault="001D6450" w:rsidP="001D6450">
      <w:pPr>
        <w:spacing w:line="245" w:lineRule="auto"/>
        <w:ind w:right="26"/>
      </w:pPr>
      <w:r w:rsidRPr="00D5675E">
        <w:t xml:space="preserve">Pacienţii care prezintă semne şi simptome sugestive de keratită, cum sunt următoarele afecţiuni acute sau în curs de agravare: inflama ţia ochilor, lăcrimare, sensibilitate la lumină, vedere înceţoşată, durere oculară şi/sau înroşirea ochilor, trebuie să se adreseze urgent unui specialist oftalmolog. Dacă diagnosticul de keratită ulcerativă este confirmat, tratamentul cu </w:t>
      </w:r>
      <w:r w:rsidR="00230783" w:rsidRPr="00230783">
        <w:t>erlotinib</w:t>
      </w:r>
      <w:r w:rsidRPr="00D5675E">
        <w:t xml:space="preserve"> trebuie întrerupt temporar sau definitiv. Dacă keratita este diagnosticată, beneficiile şi riscurile continuării tratamentului trebuie să fie atent luate în considerare. </w:t>
      </w:r>
      <w:r w:rsidR="00230783" w:rsidRPr="00230783">
        <w:t>erlotinib</w:t>
      </w:r>
      <w:r w:rsidRPr="00D5675E">
        <w:t xml:space="preserve"> trebuie administrat cu precauţie la pacienţii care prezintă antecendente de keratită, keratită ulcerativă sau xeroftalmie severă. Utilizarea lentilelor de contact este de asemenea un factor de risc pentru keratită şi ulceraţie. Au fost raportate cazuri foarte rare de perforaţie corneană sau ulceraţie în timpul tratamentului cu </w:t>
      </w:r>
      <w:r w:rsidR="00230783" w:rsidRPr="00230783">
        <w:t>erlotinib</w:t>
      </w:r>
      <w:r w:rsidRPr="00D5675E">
        <w:t xml:space="preserve"> (vezi pct. 4.8).</w:t>
      </w:r>
    </w:p>
    <w:p w:rsidR="001D6450" w:rsidRPr="00885DAE" w:rsidRDefault="001D6450" w:rsidP="001D6450">
      <w:pPr>
        <w:spacing w:line="205" w:lineRule="exact"/>
      </w:pPr>
    </w:p>
    <w:p w:rsidR="001D6450" w:rsidRPr="00885DAE" w:rsidRDefault="001D6450" w:rsidP="001D6450">
      <w:r w:rsidRPr="00D5675E">
        <w:rPr>
          <w:u w:val="single"/>
        </w:rPr>
        <w:t>Interacţiuni cu alte medicamente</w:t>
      </w:r>
    </w:p>
    <w:p w:rsidR="001D6450" w:rsidRPr="00885DAE" w:rsidRDefault="001D6450" w:rsidP="001D6450">
      <w:pPr>
        <w:spacing w:line="1" w:lineRule="exact"/>
      </w:pPr>
    </w:p>
    <w:p w:rsidR="001D6450" w:rsidRPr="00885DAE" w:rsidRDefault="001D6450" w:rsidP="001D6450">
      <w:pPr>
        <w:spacing w:line="260" w:lineRule="auto"/>
        <w:ind w:right="26"/>
        <w:jc w:val="both"/>
      </w:pPr>
      <w:r w:rsidRPr="00D5675E">
        <w:t>Inductorii puternici ai CYP3A4 pot reduce eficacitatea erlotinibului, în timp ce inhibitorii puternici ai CYP3A4 pot determina creşterea toxicităţii. Tratamentul concomitent cu aceste tipuri de medicamente trebuie evitat (vezi pct. 4.5).</w:t>
      </w:r>
    </w:p>
    <w:p w:rsidR="00D5675E" w:rsidRPr="00885DAE" w:rsidRDefault="00D5675E" w:rsidP="001D6450">
      <w:pPr>
        <w:spacing w:line="188" w:lineRule="exact"/>
      </w:pPr>
    </w:p>
    <w:p w:rsidR="001D6450" w:rsidRPr="00885DAE" w:rsidRDefault="001D6450" w:rsidP="001D6450">
      <w:r w:rsidRPr="00D5675E">
        <w:rPr>
          <w:u w:val="single"/>
        </w:rPr>
        <w:t>Alte forme de interacţiune</w:t>
      </w:r>
    </w:p>
    <w:p w:rsidR="001D6450" w:rsidRPr="00885DAE" w:rsidRDefault="001D6450" w:rsidP="001D6450">
      <w:pPr>
        <w:spacing w:line="1" w:lineRule="exact"/>
      </w:pPr>
    </w:p>
    <w:p w:rsidR="001D6450" w:rsidRPr="00885DAE" w:rsidRDefault="001D6450" w:rsidP="001D6450">
      <w:pPr>
        <w:spacing w:line="244" w:lineRule="auto"/>
        <w:ind w:right="66"/>
      </w:pPr>
      <w:r w:rsidRPr="00D5675E">
        <w:t>Erlotinibul se caracterizează printr -o scădere a solubilităţii la pH peste 5. Medicamentele care modifică pH-ul la nivelul tractului gastrointestinal (GI) superior, cum sunt inhibitorii pompei de protoni, antagoniştii H</w:t>
      </w:r>
      <w:r w:rsidRPr="00885DAE">
        <w:t>2</w:t>
      </w:r>
      <w:r w:rsidRPr="00D5675E">
        <w:t xml:space="preserve"> şi antiacidele, pot afecta solubilitatea erlotinibului şi consecutiv, biodisponibilitatea acestuia. Când </w:t>
      </w:r>
      <w:r w:rsidR="00230783" w:rsidRPr="00230783">
        <w:t>erlotinib</w:t>
      </w:r>
      <w:r w:rsidRPr="00D5675E">
        <w:t xml:space="preserve"> este administrată concomitent cu astfel de medicamente, este puţin probabil să se compenseze reducerea expunerii prin creşterea dozei. Asocierea erlotinibului cu inhibitorii pompei de protoni trebuie evitată. Nu se cunoaşte efectul administrării concomitente a erlotinibului cu antagoniştii H</w:t>
      </w:r>
      <w:r w:rsidRPr="00885DAE">
        <w:t>2</w:t>
      </w:r>
      <w:r w:rsidRPr="00D5675E">
        <w:t xml:space="preserve"> şi antiacidele; cu toate acestea, reducerea biodisponibilităţii este de aşteptat. Ca urmare, administrarea concomitentă a acestor asocieri trebuie evitată (vezi pct. 4.5). Dacă utilizarea antiacidelor este considerată necesară în timpul tratamentului cu </w:t>
      </w:r>
      <w:r w:rsidR="00230783" w:rsidRPr="00230783">
        <w:t>erlotinib</w:t>
      </w:r>
      <w:r w:rsidRPr="00D5675E">
        <w:t xml:space="preserve">, acestea trebuie administrate cu cel puţin 4 ore înainte sau 2 ore după administrarea dozei zilnice de </w:t>
      </w:r>
      <w:r w:rsidR="00230783" w:rsidRPr="00230783">
        <w:t>erlotinib</w:t>
      </w:r>
      <w:r w:rsidRPr="00D5675E">
        <w:t>.</w:t>
      </w:r>
    </w:p>
    <w:p w:rsidR="001D6450" w:rsidRPr="00885DAE" w:rsidRDefault="001D6450" w:rsidP="001D6450">
      <w:pPr>
        <w:spacing w:line="209" w:lineRule="exact"/>
      </w:pPr>
    </w:p>
    <w:p w:rsidR="001D6450" w:rsidRPr="00885DAE" w:rsidRDefault="001D6450" w:rsidP="001D6450">
      <w:r w:rsidRPr="00D5675E">
        <w:rPr>
          <w:u w:val="single"/>
        </w:rPr>
        <w:t xml:space="preserve">Excipienți </w:t>
      </w:r>
    </w:p>
    <w:p w:rsidR="001D6450" w:rsidRPr="00885DAE" w:rsidRDefault="001D6450" w:rsidP="001D6450">
      <w:pPr>
        <w:spacing w:line="2" w:lineRule="exact"/>
      </w:pPr>
    </w:p>
    <w:p w:rsidR="001D6450" w:rsidRPr="00885DAE" w:rsidRDefault="001D6450" w:rsidP="001D6450">
      <w:pPr>
        <w:spacing w:line="260" w:lineRule="auto"/>
        <w:ind w:right="286"/>
      </w:pPr>
      <w:r w:rsidRPr="00D5675E">
        <w:t>Comprimatele conţin lactoză</w:t>
      </w:r>
      <w:r w:rsidR="00613344" w:rsidRPr="00D5675E">
        <w:t xml:space="preserve"> monohidrat</w:t>
      </w:r>
      <w:r w:rsidRPr="00D5675E">
        <w:t>. Pacienţii cu afecţiuni ereditare rare de intoleranţă la galactoză, deficit total de lactază sau sindrom de malabsorbţie la glucoză-galactoză nu trebuie să utilizeze acest medicament.</w:t>
      </w:r>
    </w:p>
    <w:p w:rsidR="001D6450" w:rsidRPr="00885DAE" w:rsidRDefault="001D6450" w:rsidP="001D6450">
      <w:pPr>
        <w:spacing w:line="188" w:lineRule="exact"/>
      </w:pPr>
    </w:p>
    <w:p w:rsidR="001D6450" w:rsidRPr="00885DAE" w:rsidRDefault="001D6450" w:rsidP="001D6450">
      <w:pPr>
        <w:spacing w:line="281" w:lineRule="auto"/>
        <w:ind w:right="266"/>
      </w:pPr>
      <w:r w:rsidRPr="00D5675E">
        <w:t>Acest medicament conţine sodiu mai puţin de 1 mmol (23 mg) per conprimat, adică practic „nu conţine sodiu”.</w:t>
      </w:r>
    </w:p>
    <w:p w:rsidR="001D6450" w:rsidRPr="00885DAE" w:rsidRDefault="001D6450" w:rsidP="001D6450">
      <w:pPr>
        <w:spacing w:line="170" w:lineRule="exact"/>
      </w:pPr>
    </w:p>
    <w:p w:rsidR="00074AED" w:rsidRDefault="001D6450" w:rsidP="001D6450">
      <w:pPr>
        <w:spacing w:line="399" w:lineRule="auto"/>
        <w:ind w:right="2706"/>
      </w:pPr>
      <w:r w:rsidRPr="00D5675E">
        <w:rPr>
          <w:b/>
          <w:bCs/>
        </w:rPr>
        <w:t>4.5 Interacţiuni cu alte medicamente şi alte forme de interacţiune</w:t>
      </w:r>
      <w:r w:rsidRPr="00D5675E">
        <w:t xml:space="preserve"> </w:t>
      </w:r>
    </w:p>
    <w:p w:rsidR="00613344" w:rsidRPr="00D5675E" w:rsidRDefault="001D6450" w:rsidP="001D6450">
      <w:pPr>
        <w:spacing w:line="399" w:lineRule="auto"/>
        <w:ind w:right="2706"/>
        <w:rPr>
          <w:u w:val="single"/>
        </w:rPr>
      </w:pPr>
      <w:r w:rsidRPr="00D5675E">
        <w:t>S-au efectuat studii privind interacţiunile numai la adulţi.</w:t>
      </w:r>
    </w:p>
    <w:p w:rsidR="001D6450" w:rsidRPr="00885DAE" w:rsidRDefault="001D6450" w:rsidP="001D6450">
      <w:pPr>
        <w:spacing w:line="399" w:lineRule="auto"/>
        <w:ind w:right="2706"/>
      </w:pPr>
      <w:r w:rsidRPr="00D5675E">
        <w:rPr>
          <w:u w:val="single"/>
        </w:rPr>
        <w:t>Erlotinib şi alte substraturi pentru CYP</w:t>
      </w:r>
    </w:p>
    <w:p w:rsidR="001D6450" w:rsidRPr="00885DAE" w:rsidRDefault="001D6450" w:rsidP="001D6450">
      <w:pPr>
        <w:spacing w:line="2" w:lineRule="exact"/>
      </w:pPr>
    </w:p>
    <w:p w:rsidR="001D6450" w:rsidRPr="00885DAE" w:rsidRDefault="001D6450" w:rsidP="001D6450">
      <w:pPr>
        <w:spacing w:line="239" w:lineRule="auto"/>
        <w:ind w:right="506"/>
      </w:pPr>
      <w:r w:rsidRPr="00D5675E">
        <w:t xml:space="preserve">Erlotinibul este un inhibitor puternic al CYP1A1 şi un inhibitor moderat al CYP3A4 şi CYP2C8, precum şi un inhibitor puternic </w:t>
      </w:r>
      <w:r w:rsidRPr="00D5675E">
        <w:rPr>
          <w:i/>
          <w:iCs/>
        </w:rPr>
        <w:t>in vitro</w:t>
      </w:r>
      <w:r w:rsidRPr="00D5675E">
        <w:t xml:space="preserve"> al glucuronidării realizate de către UGT1A1.</w:t>
      </w:r>
    </w:p>
    <w:p w:rsidR="001D6450" w:rsidRPr="00885DAE" w:rsidRDefault="001D6450" w:rsidP="001D6450">
      <w:pPr>
        <w:spacing w:line="281" w:lineRule="auto"/>
        <w:ind w:right="66"/>
      </w:pPr>
      <w:r w:rsidRPr="00D5675E">
        <w:t>Importanţa fiziologică a inhibiţiei puternice a CYP1A1 nu este cunoscută din cauza expresiei reduse a CYP1A1 în ţesuturile umane.</w:t>
      </w:r>
    </w:p>
    <w:p w:rsidR="001D6450" w:rsidRPr="00885DAE" w:rsidRDefault="001D6450" w:rsidP="001D6450">
      <w:pPr>
        <w:spacing w:line="168" w:lineRule="exact"/>
      </w:pPr>
    </w:p>
    <w:p w:rsidR="001D6450" w:rsidRPr="00885DAE" w:rsidRDefault="001D6450" w:rsidP="001D6450">
      <w:pPr>
        <w:spacing w:line="246" w:lineRule="auto"/>
        <w:ind w:right="26"/>
      </w:pPr>
      <w:r w:rsidRPr="00D5675E">
        <w:t>Când erlotinib a fost administrat concomitent cu ciprofloxacina, un inhibitor moderat al CYP1A2, expunerea la erlotinib [ASC] a crescut semnificativ, cu 39%, în timp ce nicio modificare semnificativă statistic a C</w:t>
      </w:r>
      <w:r w:rsidRPr="00885DAE">
        <w:t>max</w:t>
      </w:r>
      <w:r w:rsidRPr="00D5675E">
        <w:t xml:space="preserve"> nu a fost observată. Similar, expunerea la metabolitul activ a crescut ASC cu aproximativ 60%, respectiv C</w:t>
      </w:r>
      <w:r w:rsidRPr="00885DAE">
        <w:t>max</w:t>
      </w:r>
      <w:r w:rsidRPr="00D5675E">
        <w:t xml:space="preserve"> cu 48%. Relevanţa clinică a acestei creşteri nu a fost stabilită. Se recomandă precauţie la asocierea erlotinibului cu ciprofloxacină sau cu inhibitori potenţi ai CYP1A2 (de exemplu fluvoxamină). Dacă se observă reacţii adverse asociate administrării de erlotinib, doza de erlotinib poate fi redusă.</w:t>
      </w:r>
    </w:p>
    <w:p w:rsidR="001D6450" w:rsidRPr="00885DAE" w:rsidRDefault="001D6450" w:rsidP="001D6450">
      <w:pPr>
        <w:spacing w:line="208" w:lineRule="exact"/>
      </w:pPr>
    </w:p>
    <w:p w:rsidR="001D6450" w:rsidRPr="00885DAE" w:rsidRDefault="001D6450" w:rsidP="001D6450">
      <w:pPr>
        <w:spacing w:line="254" w:lineRule="auto"/>
        <w:ind w:right="240"/>
      </w:pPr>
      <w:r w:rsidRPr="00D5675E">
        <w:t xml:space="preserve">Tratamentul anterior sau administrarea concomitentă de </w:t>
      </w:r>
      <w:r w:rsidR="00230783" w:rsidRPr="00230783">
        <w:t>erlotinib</w:t>
      </w:r>
      <w:r w:rsidRPr="00D5675E">
        <w:t xml:space="preserve"> nu modifică clearance-ul substraturilor tipice pentru CYP3A4, midazolam şi eritromicină, dar se pare că scade</w:t>
      </w:r>
      <w:bookmarkStart w:id="4" w:name="page7"/>
      <w:bookmarkEnd w:id="4"/>
      <w:r w:rsidR="00D5675E">
        <w:t xml:space="preserve"> </w:t>
      </w:r>
      <w:r w:rsidRPr="00D5675E">
        <w:t>biodisponibilitatea pentru midazolamul administrat oral, cu până la 24%. Într-un alt studiu clinic s-a demonstrat că erlotinibul nu afectează farmacocinetica paclitaxelului, substrat al CYP3A4/2C8, administrat concomitent. Interacţiuni semnificative cu clearance-ul altor substraturi pentru CYP3A4 sunt puţin probabile.</w:t>
      </w:r>
    </w:p>
    <w:p w:rsidR="001D6450" w:rsidRPr="00885DAE" w:rsidRDefault="001D6450" w:rsidP="001D6450">
      <w:pPr>
        <w:spacing w:line="196" w:lineRule="exact"/>
      </w:pPr>
    </w:p>
    <w:p w:rsidR="001D6450" w:rsidRPr="00885DAE" w:rsidRDefault="001D6450" w:rsidP="001D6450">
      <w:pPr>
        <w:spacing w:line="253" w:lineRule="auto"/>
        <w:ind w:right="20"/>
      </w:pPr>
      <w:r w:rsidRPr="00D5675E">
        <w:t>Inhibiţia glucuronidării poate determina interacţiuni cu medicamente care sunt substraturi ale UGT1A1 şi care se elimină exclusiv pe această cale. Pacienţii cu nivele scăzute ale expresiei UGT1A1 sau tulburări genetice ale glucuronidării (de exemplu boală Gilbert) pot prezenta concentraţii plasmatice crescute ale bilirubinei şi trebuie trataţi cu precauţie.</w:t>
      </w:r>
    </w:p>
    <w:p w:rsidR="001D6450" w:rsidRPr="00885DAE" w:rsidRDefault="001D6450" w:rsidP="001D6450">
      <w:pPr>
        <w:spacing w:line="198" w:lineRule="exact"/>
      </w:pPr>
    </w:p>
    <w:p w:rsidR="001D6450" w:rsidRPr="00885DAE" w:rsidRDefault="001D6450" w:rsidP="001D6450">
      <w:pPr>
        <w:spacing w:line="249" w:lineRule="auto"/>
      </w:pPr>
      <w:r w:rsidRPr="00D5675E">
        <w:t>La om, erlotinibul se metabolizează în ficat la nivelul citocromilor hepatici, în principal CYP3A4 şi, în mai mică măsură, CYP1A2. Metabolizarea extrahepatică la nivelul CYP3A4 în intestin, CYP1A1 în plămâni şi CYP1B1 în ţesutul tumoral poate contribui, de asemenea, la eliminarea erlotinibului prin metabolizare. Pot să apară interacţiuni potenţiale cu substanţe active care sunt metabolizate de către aceste enzime sau care sunt inhibitori sau inductori ale acestora.</w:t>
      </w:r>
    </w:p>
    <w:p w:rsidR="001D6450" w:rsidRPr="00885DAE" w:rsidRDefault="001D6450" w:rsidP="001D6450">
      <w:pPr>
        <w:spacing w:line="204" w:lineRule="exact"/>
      </w:pPr>
    </w:p>
    <w:p w:rsidR="001D6450" w:rsidRPr="00885DAE" w:rsidRDefault="001D6450" w:rsidP="001D6450">
      <w:pPr>
        <w:spacing w:line="246" w:lineRule="auto"/>
        <w:ind w:right="220"/>
      </w:pPr>
      <w:r w:rsidRPr="00D5675E">
        <w:t>Inhibitorii puternici ai activităţii CYP3A4 reduc metabolizarea erlotinibului şi cresc concentraţiile plasmatice ale acestuia. Într-un studiu clinic, utilizarea concomitentă a erlotinibului cu ketoconazol (200 mg administrate de 2 ori pe zi pe cale orală, timp de 5 zile), un inhibitor puternic al CYP3A4, a determinat o creştere a expunerii la erlotinib (86% din ASC şi 69% din C</w:t>
      </w:r>
      <w:r w:rsidRPr="00885DAE">
        <w:t>max</w:t>
      </w:r>
      <w:r w:rsidRPr="00D5675E">
        <w:t>). De aceea, asocierea erlotinibului cu un inhibitor puternic al CYP3A4, de exemplu: antifungice azolice (ketoconazol, itraconazol, voriconazol), inhibitori ai proteazelor, eritromicină sau claritromicină, trebuie făcută cu precauţie. Dacă este necesar, doza de erlotinib trebuie redusă, în special dacă se observă toxicitate.</w:t>
      </w:r>
    </w:p>
    <w:p w:rsidR="001D6450" w:rsidRPr="00885DAE" w:rsidRDefault="001D6450" w:rsidP="001D6450">
      <w:pPr>
        <w:spacing w:line="209" w:lineRule="exact"/>
      </w:pPr>
    </w:p>
    <w:p w:rsidR="001D6450" w:rsidRPr="00885DAE" w:rsidRDefault="001D6450" w:rsidP="001D6450">
      <w:pPr>
        <w:spacing w:line="242" w:lineRule="auto"/>
      </w:pPr>
      <w:r w:rsidRPr="00D5675E">
        <w:t xml:space="preserve">Inductorii puternici ai activităţii CYP3A4 intensifică metabolizarea erlotinibului şi reduc semnificativ concentraţiile plasmatice ale acestuia. Într-un studiu clinic, utilizarea concomitentă a erlotinibului şi rifampicinei (600 mg administrate o dată pe zi pe cale orală, timp de 7 zile), un puternic inductor al CYP3A4, a determinat o reducere cu 69% a valorii mediane a ASC a erlotinibului. Administrarea concomitentă a unei singure doze de 450 mg de </w:t>
      </w:r>
      <w:r w:rsidR="00230783" w:rsidRPr="00230783">
        <w:t>erlotinib</w:t>
      </w:r>
      <w:r w:rsidRPr="00D5675E">
        <w:t xml:space="preserve"> cu rifampicină a determinat o expunere medie la erlotinib (ASC) de 57,5% faţă de cea obţinută după administrarea unei singure doze de 150 mg </w:t>
      </w:r>
      <w:r w:rsidR="00230783" w:rsidRPr="00230783">
        <w:t>erlotinib</w:t>
      </w:r>
      <w:r w:rsidRPr="00D5675E">
        <w:t xml:space="preserve">, în absenţa tratamentului cu rifampicină. Prin urmare, administrarea concomitentă de </w:t>
      </w:r>
      <w:r w:rsidR="00230783" w:rsidRPr="00230783">
        <w:t>erlotinib</w:t>
      </w:r>
      <w:r w:rsidRPr="00D5675E">
        <w:t xml:space="preserve"> cu inductori CYP3A4 trebuie evitată. Pentru pacienţii care necesită tratament concomitent cu </w:t>
      </w:r>
      <w:r w:rsidR="00230783" w:rsidRPr="00230783">
        <w:t>erlotinib</w:t>
      </w:r>
      <w:r w:rsidRPr="00D5675E">
        <w:t xml:space="preserve"> şi inductori puternici ai CYP3A4, cum este rifampicina, trebuie luată în considerare o creştere a dozei de până la 300 mg, cu monitorizarea atentă a siguranţei administrării (inclusiv a funcţiilor hepatice şi renale şi electroliţilor plasmatici), şi dacă este bine tolerată mai mult de 2 săptămâni, poate fi luată în considerare o creştere suplimentară a dozei de până la 450 mg, cu monitorizarea atentă a siguranţei administrării. Expunerea redusă poate să apară şi în cazul utilizării altor inductori, de exemplu fenitoină, carbamazepină, barbiturice sau sunătoare (</w:t>
      </w:r>
      <w:r w:rsidRPr="00D5675E">
        <w:rPr>
          <w:i/>
          <w:iCs/>
        </w:rPr>
        <w:t>Hypericum perforatum</w:t>
      </w:r>
      <w:r w:rsidRPr="00D5675E">
        <w:t>). Asocierea acestor substanţe active cu erlotinib trebuie făcută cu precauţie. Trebuie avute în vedere alte tratamente lipsite de activitate inductoare puternică a CYP3A4, atunci când este posibil.</w:t>
      </w:r>
    </w:p>
    <w:p w:rsidR="001D6450" w:rsidRPr="00885DAE" w:rsidRDefault="001D6450" w:rsidP="001D6450">
      <w:pPr>
        <w:spacing w:line="220" w:lineRule="exact"/>
      </w:pPr>
    </w:p>
    <w:p w:rsidR="001D6450" w:rsidRPr="00885DAE" w:rsidRDefault="001D6450" w:rsidP="001D6450">
      <w:r w:rsidRPr="00D5675E">
        <w:rPr>
          <w:u w:val="single"/>
        </w:rPr>
        <w:t>Erlotinib şi anticoagulantele de tip derivaţi de cumarină</w:t>
      </w:r>
    </w:p>
    <w:p w:rsidR="001D6450" w:rsidRPr="00885DAE" w:rsidRDefault="001D6450" w:rsidP="001D6450">
      <w:pPr>
        <w:spacing w:line="1" w:lineRule="exact"/>
      </w:pPr>
    </w:p>
    <w:p w:rsidR="001D6450" w:rsidRPr="00885DAE" w:rsidRDefault="001D6450" w:rsidP="001D6450">
      <w:pPr>
        <w:spacing w:line="249" w:lineRule="auto"/>
        <w:ind w:right="60"/>
      </w:pPr>
      <w:r w:rsidRPr="00D5675E">
        <w:t xml:space="preserve">La pacienţii trataţi cu </w:t>
      </w:r>
      <w:r w:rsidR="00230783" w:rsidRPr="00230783">
        <w:t>erlotinib</w:t>
      </w:r>
      <w:r w:rsidRPr="00D5675E">
        <w:t xml:space="preserve"> s-au raportat interacţiuni cu anticoagulante de tip derivaţi de cumarină, incluzând warfarină, care au determinat creşterea International Normalized Ratio (INR) şi episoade de sângerare, care în unele cazuri au avut evoluţie letală. Pacienţii trataţi cu anticoagulante de tip derivaţi de cumarină trebuie monitorizaţi periodic pentru a observa orice modificări ale timpului de protrombină sau ale INR.</w:t>
      </w:r>
    </w:p>
    <w:p w:rsidR="001D6450" w:rsidRPr="00885DAE" w:rsidRDefault="001D6450" w:rsidP="001D6450">
      <w:pPr>
        <w:spacing w:line="203" w:lineRule="exact"/>
      </w:pPr>
    </w:p>
    <w:p w:rsidR="001D6450" w:rsidRPr="00885DAE" w:rsidRDefault="001D6450" w:rsidP="001D6450">
      <w:r w:rsidRPr="00D5675E">
        <w:rPr>
          <w:u w:val="single"/>
        </w:rPr>
        <w:t>Erlotinib şi statinele</w:t>
      </w:r>
    </w:p>
    <w:p w:rsidR="001D6450" w:rsidRPr="00885DAE" w:rsidRDefault="001D6450" w:rsidP="001D6450">
      <w:pPr>
        <w:spacing w:line="281" w:lineRule="auto"/>
        <w:ind w:right="240"/>
      </w:pPr>
      <w:r w:rsidRPr="00D5675E">
        <w:t xml:space="preserve">Administrarea concomitentă de </w:t>
      </w:r>
      <w:r w:rsidR="00230783" w:rsidRPr="00230783">
        <w:t>erlotinib</w:t>
      </w:r>
      <w:r w:rsidRPr="00D5675E">
        <w:t xml:space="preserve"> cu o statină poate creşte posibilitatea de apariţie a miopatiei indusă de statine, incluzând rabdomioliză, care a fost observată rar.</w:t>
      </w:r>
    </w:p>
    <w:p w:rsidR="001D6450" w:rsidRPr="00885DAE" w:rsidRDefault="001D6450" w:rsidP="001D6450">
      <w:pPr>
        <w:spacing w:line="167" w:lineRule="exact"/>
      </w:pPr>
    </w:p>
    <w:p w:rsidR="001D6450" w:rsidRPr="00885DAE" w:rsidRDefault="001D6450" w:rsidP="001D6450">
      <w:r w:rsidRPr="00D5675E">
        <w:rPr>
          <w:u w:val="single"/>
        </w:rPr>
        <w:t>Erlotinib şi fumătorii</w:t>
      </w:r>
    </w:p>
    <w:p w:rsidR="001D6450" w:rsidRPr="00885DAE" w:rsidRDefault="001D6450" w:rsidP="00930956">
      <w:pPr>
        <w:spacing w:line="253" w:lineRule="auto"/>
        <w:ind w:right="180"/>
      </w:pPr>
      <w:r w:rsidRPr="00D5675E">
        <w:t>Rezultatele studiilor de interacţiune farmacocinetică, au evidenţiat reduceri de 2,8, 1,5 şi 9 ori pentru ASC</w:t>
      </w:r>
      <w:r w:rsidRPr="00885DAE">
        <w:t>inf</w:t>
      </w:r>
      <w:r w:rsidRPr="00D5675E">
        <w:t xml:space="preserve"> , C</w:t>
      </w:r>
      <w:r w:rsidRPr="00885DAE">
        <w:t>max</w:t>
      </w:r>
      <w:r w:rsidRPr="00D5675E">
        <w:t xml:space="preserve"> şi respectiv, concentraţia plasmatică la 24 ore, după administrarea </w:t>
      </w:r>
      <w:r w:rsidR="00230783" w:rsidRPr="00230783">
        <w:t>erlotinib</w:t>
      </w:r>
      <w:r w:rsidRPr="00D5675E">
        <w:t xml:space="preserve"> la fumători comparativ cu nefumători. Ca urmare, pacienţii care încă fumează trebuie încurajaţi să renunţe la fumat cât mai curând posibil, înainte de iniţierea tratamentului cu </w:t>
      </w:r>
      <w:r w:rsidR="00230783" w:rsidRPr="00230783">
        <w:t>erlotinib</w:t>
      </w:r>
      <w:r w:rsidRPr="00D5675E">
        <w:t xml:space="preserve"> deoarece, în caz contrar,</w:t>
      </w:r>
      <w:r w:rsidR="00D5675E">
        <w:t xml:space="preserve"> </w:t>
      </w:r>
      <w:bookmarkStart w:id="5" w:name="page8"/>
      <w:bookmarkEnd w:id="5"/>
      <w:r w:rsidR="00930956">
        <w:t>c</w:t>
      </w:r>
      <w:r w:rsidRPr="00D5675E">
        <w:t>oncentraţiile plasmatice sunt reduse. Pe baza datelor din studiul CURRENTS, nu s-a înregistrat nicio dovadă a vreunui beneficiu al dozei mai mari de 300 mg de erlotinib prin comparaţie cu doza recomandată de 150 mg la fumătorii activi. Datele cu privire la siguranţă pentru dozele de 300 mg şi 150 mg au fost comparabile; cu toate acestea, la pacienţii trataţi cu doza mai mare de erlotinib a existat o creştere numerică a cazurilor de erupţie cutanată tranzitorie, boală pulmonară interstițială şi diaree (vezi pct. 4.2, 4.5, 5.1 şi 5.2).</w:t>
      </w:r>
    </w:p>
    <w:p w:rsidR="001D6450" w:rsidRPr="00885DAE" w:rsidRDefault="001D6450" w:rsidP="001D6450">
      <w:pPr>
        <w:spacing w:line="203" w:lineRule="exact"/>
      </w:pPr>
    </w:p>
    <w:p w:rsidR="001D6450" w:rsidRPr="00885DAE" w:rsidRDefault="001D6450" w:rsidP="001D6450">
      <w:r w:rsidRPr="00D5675E">
        <w:rPr>
          <w:u w:val="single"/>
        </w:rPr>
        <w:t>Erlotinib şi inhibitorii glicoproteinei P</w:t>
      </w:r>
    </w:p>
    <w:p w:rsidR="001D6450" w:rsidRPr="00885DAE" w:rsidRDefault="001D6450" w:rsidP="001D6450">
      <w:pPr>
        <w:spacing w:line="1" w:lineRule="exact"/>
      </w:pPr>
    </w:p>
    <w:p w:rsidR="001D6450" w:rsidRPr="00885DAE" w:rsidRDefault="001D6450" w:rsidP="001D6450">
      <w:pPr>
        <w:spacing w:line="253" w:lineRule="auto"/>
        <w:ind w:right="20"/>
      </w:pPr>
      <w:r w:rsidRPr="00D5675E">
        <w:t>Erlotinibul este un substrat al glicoproteinei P, transportor al substanţelor active. Administrarea concomitentă de inhibitori ai Pgp, de exemplu ciclosporină şi verapamil, pot determina afectarea distribuţiei şi/sau a eliminării erlotinibului. Consecinţele acestei interacţiuni, de exemplu toxicitatea de la nivelul SNC, nu au fost stabilite. În astfel de situaţii, trebuie luate măsuri de precauţie.</w:t>
      </w:r>
    </w:p>
    <w:p w:rsidR="001D6450" w:rsidRPr="00885DAE" w:rsidRDefault="001D6450" w:rsidP="001D6450">
      <w:pPr>
        <w:spacing w:line="197" w:lineRule="exact"/>
      </w:pPr>
    </w:p>
    <w:p w:rsidR="001D6450" w:rsidRPr="00885DAE" w:rsidRDefault="001D6450" w:rsidP="001D6450">
      <w:r w:rsidRPr="00D5675E">
        <w:rPr>
          <w:u w:val="single"/>
        </w:rPr>
        <w:t>Erlotinib şi medicamentele care modifică pH-ul</w:t>
      </w:r>
    </w:p>
    <w:p w:rsidR="001D6450" w:rsidRPr="00885DAE" w:rsidRDefault="001D6450" w:rsidP="001D6450">
      <w:r w:rsidRPr="00D5675E">
        <w:t>Erlotinibul se caracterizează printr-o scădere a solubilităţii la pH peste 5. Medicamentele care</w:t>
      </w:r>
    </w:p>
    <w:p w:rsidR="001D6450" w:rsidRPr="00885DAE" w:rsidRDefault="001D6450" w:rsidP="001D6450">
      <w:pPr>
        <w:spacing w:line="1" w:lineRule="exact"/>
      </w:pPr>
    </w:p>
    <w:p w:rsidR="001D6450" w:rsidRPr="00885DAE" w:rsidRDefault="001D6450" w:rsidP="001D6450">
      <w:pPr>
        <w:spacing w:line="242" w:lineRule="auto"/>
      </w:pPr>
      <w:r w:rsidRPr="00D5675E">
        <w:t>modifică pH-ul la nivelul tractului gastrointestinal (GI) superior, pot afecta solubilitatea erlotinibului şi consecutiv, biodisponibilitatea acestuia. Administrarea concomitentă de erlotinib şi omeprazol, un inhibitor al pompei de protoni (IPP), a scăzut expunerea la erlotinib [ASC] şi concentraţia maximă (C</w:t>
      </w:r>
      <w:r w:rsidRPr="00885DAE">
        <w:t>max</w:t>
      </w:r>
      <w:r w:rsidRPr="00D5675E">
        <w:t>) cu 46%, respectiv 61%. T</w:t>
      </w:r>
      <w:r w:rsidRPr="00885DAE">
        <w:t>max</w:t>
      </w:r>
      <w:r w:rsidRPr="00D5675E">
        <w:t xml:space="preserve"> sau timpul de înjumătăţire plasmatică nu s-au modificat. Administrarea concomitentă de </w:t>
      </w:r>
      <w:r w:rsidR="00230783" w:rsidRPr="00230783">
        <w:t>erlotinib</w:t>
      </w:r>
      <w:r w:rsidRPr="00D5675E">
        <w:t xml:space="preserve"> cu 300 mg ranitidină, un blocant al receptorilor H2, a scăzut expunerea la erlotinib [ASC] şi concentraţia plasmatică maximă [C</w:t>
      </w:r>
      <w:r w:rsidRPr="00885DAE">
        <w:t>max</w:t>
      </w:r>
      <w:r w:rsidRPr="00D5675E">
        <w:t xml:space="preserve">] cu 33% şi respectiv 54%. Când </w:t>
      </w:r>
      <w:r w:rsidR="00230783" w:rsidRPr="00230783">
        <w:t>erlotinib</w:t>
      </w:r>
      <w:r w:rsidRPr="00D5675E">
        <w:t xml:space="preserve"> este administrat concomitent cu astfel de medicamente, este puţin probabil să se compenseze reducerea expunerii prin creşterea dozei. Cu toate acestea, atunci când </w:t>
      </w:r>
      <w:r w:rsidR="00230783" w:rsidRPr="00230783">
        <w:t>erlotinib</w:t>
      </w:r>
      <w:r w:rsidRPr="00D5675E">
        <w:t xml:space="preserve"> a fost administrat într-o manieră eşalonată, cu 2 ore înainte sau 10 ore după administrarea de ranitidină 150 mg de două ori pe zi, expunerea la erlotinib [ASC] şi concentraţia plasmatică maximă [C</w:t>
      </w:r>
      <w:r w:rsidRPr="00885DAE">
        <w:t>max</w:t>
      </w:r>
      <w:r w:rsidRPr="00D5675E">
        <w:t xml:space="preserve">] au scăzut doar cu 15% şi respectiv 17%. Efectul antiacidelor asupra absorbţiei erlotinib nu a fost studiat dar absorbţia poate fi afectată, determinând concentraţii plasmatice mai scăzute. În concluzie, asocierea erlotinibului cu inhibitori ai pompei de protoni trebuie evitată. Dacă utilizarea antiacidelor este considerată necesară în timpul tratamentului cu </w:t>
      </w:r>
      <w:r w:rsidR="00230783" w:rsidRPr="00230783">
        <w:t>erlotinib</w:t>
      </w:r>
      <w:r w:rsidRPr="00D5675E">
        <w:t xml:space="preserve">, acestea trebuie administrate cu cel puţin 4 ore înainte sau 2 ore după administrarea dozei zilnice de </w:t>
      </w:r>
      <w:r w:rsidR="00230783" w:rsidRPr="00230783">
        <w:t>erlotinib</w:t>
      </w:r>
      <w:r w:rsidRPr="00D5675E">
        <w:t xml:space="preserve">. Dacă utilizarea ranitidinei este considerată necesară, aceasta trebuie administrată într-o manieră eşalonată, de exemplu </w:t>
      </w:r>
      <w:r w:rsidR="00817A39">
        <w:t>Fokleros</w:t>
      </w:r>
      <w:r w:rsidRPr="00D5675E">
        <w:t xml:space="preserve"> trebuie luată cu cel puţin 2 ore înainte sau 10 ore după doza de ranitidină.</w:t>
      </w:r>
    </w:p>
    <w:p w:rsidR="001D6450" w:rsidRPr="00885DAE" w:rsidRDefault="001D6450" w:rsidP="001D6450">
      <w:pPr>
        <w:spacing w:line="215" w:lineRule="exact"/>
      </w:pPr>
    </w:p>
    <w:p w:rsidR="001D6450" w:rsidRPr="00885DAE" w:rsidRDefault="001D6450" w:rsidP="001D6450">
      <w:r w:rsidRPr="00D5675E">
        <w:rPr>
          <w:u w:val="single"/>
        </w:rPr>
        <w:t>Erlotinib şi gemcitabina</w:t>
      </w:r>
    </w:p>
    <w:p w:rsidR="001D6450" w:rsidRPr="00885DAE" w:rsidRDefault="001D6450" w:rsidP="001D6450">
      <w:pPr>
        <w:spacing w:line="260" w:lineRule="auto"/>
        <w:ind w:right="520"/>
      </w:pPr>
      <w:r w:rsidRPr="00D5675E">
        <w:t>Într-un studiu de fază Ib, nu s -au observat efecte semnificative ale gemcitabinei asupra farmacocineticii erlotinibului şi nici efecte semnificative ale erlotinibului asupra farmacocineticii gemcitabinei.</w:t>
      </w:r>
    </w:p>
    <w:p w:rsidR="001D6450" w:rsidRPr="00885DAE" w:rsidRDefault="001D6450" w:rsidP="001D6450">
      <w:pPr>
        <w:spacing w:line="190" w:lineRule="exact"/>
      </w:pPr>
    </w:p>
    <w:p w:rsidR="001D6450" w:rsidRPr="00885DAE" w:rsidRDefault="001D6450" w:rsidP="001D6450">
      <w:r w:rsidRPr="00D5675E">
        <w:rPr>
          <w:u w:val="single"/>
        </w:rPr>
        <w:t>Erlotinib şi carboplatina/paclitaxel</w:t>
      </w:r>
    </w:p>
    <w:p w:rsidR="001D6450" w:rsidRPr="00885DAE" w:rsidRDefault="001D6450" w:rsidP="001D6450">
      <w:pPr>
        <w:spacing w:line="248" w:lineRule="auto"/>
      </w:pPr>
      <w:r w:rsidRPr="00D5675E">
        <w:t>Erlotinib creşte concentraţiile plasmatice ale sărurilor de platină. Într-un studiu clinic, administrarea concomitentă de erlotinib, carboplatină şi paclitaxel a dus la creşterea cu 10,6% a ASC</w:t>
      </w:r>
      <w:r w:rsidRPr="00885DAE">
        <w:t>0-48</w:t>
      </w:r>
      <w:r w:rsidRPr="00D5675E">
        <w:t xml:space="preserve"> totale pentru sarea de platină. Deşi această diferenţă este semnificativ statistică, nu este considerată relevantă clinic. În practica clinică, pot fi alţi factori asociaţi care să determine o expunere crescută la carboplatină, cum este insuficienţa renală. Carboplatina sau paclitaxelul nu determină efecte semnificative asupra farmacocineticii erlotinibului.</w:t>
      </w:r>
    </w:p>
    <w:p w:rsidR="001D6450" w:rsidRPr="00885DAE" w:rsidRDefault="001D6450" w:rsidP="001D6450">
      <w:pPr>
        <w:spacing w:line="203" w:lineRule="exact"/>
      </w:pPr>
    </w:p>
    <w:p w:rsidR="001D6450" w:rsidRPr="00885DAE" w:rsidRDefault="001D6450" w:rsidP="001D6450">
      <w:r w:rsidRPr="00D5675E">
        <w:rPr>
          <w:u w:val="single"/>
        </w:rPr>
        <w:t>Erlotinib şi capecitabina</w:t>
      </w:r>
    </w:p>
    <w:p w:rsidR="001D6450" w:rsidRPr="00885DAE" w:rsidRDefault="001D6450" w:rsidP="001D6450">
      <w:pPr>
        <w:spacing w:line="1" w:lineRule="exact"/>
      </w:pPr>
    </w:p>
    <w:p w:rsidR="001D6450" w:rsidRPr="00885DAE" w:rsidRDefault="001D6450" w:rsidP="001D6450">
      <w:pPr>
        <w:spacing w:line="249" w:lineRule="auto"/>
        <w:ind w:right="200"/>
      </w:pPr>
      <w:r w:rsidRPr="00D5675E">
        <w:t>Capecitabina poate creşte concentraţiile plasmatice ale erlotinibului. În cazul administrării erlotinibului în asociere cu capecitabina, există o creştere semnificativă a ASC pentru erlotinib şi o creştere la limita superioară a valorilor normale a C</w:t>
      </w:r>
      <w:r w:rsidRPr="00885DAE">
        <w:t>max</w:t>
      </w:r>
      <w:r w:rsidRPr="00D5675E">
        <w:t xml:space="preserve"> comparativ cu valorile observate în alt studiu, în care erlotinibul este administrat în monoterapie. Erlotinibul nu determină efecte semnificative asupra farmacocineticii capecitabinei.</w:t>
      </w:r>
    </w:p>
    <w:p w:rsidR="001D6450" w:rsidRPr="00885DAE" w:rsidRDefault="00930956" w:rsidP="001D6450">
      <w:bookmarkStart w:id="6" w:name="page9"/>
      <w:bookmarkEnd w:id="6"/>
      <w:r>
        <w:rPr>
          <w:u w:val="single"/>
        </w:rPr>
        <w:t>E</w:t>
      </w:r>
      <w:r w:rsidR="001D6450" w:rsidRPr="00D5675E">
        <w:rPr>
          <w:u w:val="single"/>
        </w:rPr>
        <w:t>rlotinib şi inhibitorii proteazomali</w:t>
      </w:r>
    </w:p>
    <w:p w:rsidR="001D6450" w:rsidRPr="00885DAE" w:rsidRDefault="001D6450" w:rsidP="001D6450">
      <w:pPr>
        <w:spacing w:line="1" w:lineRule="exact"/>
      </w:pPr>
    </w:p>
    <w:p w:rsidR="001D6450" w:rsidRPr="00885DAE" w:rsidRDefault="001D6450" w:rsidP="001D6450">
      <w:pPr>
        <w:spacing w:line="260" w:lineRule="auto"/>
        <w:jc w:val="both"/>
      </w:pPr>
      <w:r w:rsidRPr="00D5675E">
        <w:t>Din cauza mecanismului de acţiune, inhibitorii proteazomali, inclusiv bortezomib, pot influenţa efectul inhibitorilor EGFR, inclusiv al erlotinibului. Acest fapt este susţinut de date clinice limitate şi de studii preclinice, care demonstrează degradarea EGFR prin intermediul proteazomului.</w:t>
      </w:r>
    </w:p>
    <w:p w:rsidR="001D6450" w:rsidRPr="00885DAE" w:rsidRDefault="001D6450" w:rsidP="001D6450">
      <w:pPr>
        <w:spacing w:line="192" w:lineRule="exact"/>
      </w:pPr>
    </w:p>
    <w:p w:rsidR="001D6450" w:rsidRPr="00885DAE" w:rsidRDefault="001D6450" w:rsidP="001D6450">
      <w:pPr>
        <w:tabs>
          <w:tab w:val="left" w:pos="540"/>
        </w:tabs>
      </w:pPr>
      <w:r w:rsidRPr="00D5675E">
        <w:rPr>
          <w:b/>
          <w:bCs/>
        </w:rPr>
        <w:t>4.6</w:t>
      </w:r>
      <w:r w:rsidRPr="00885DAE">
        <w:tab/>
      </w:r>
      <w:r w:rsidRPr="00D5675E">
        <w:rPr>
          <w:b/>
          <w:bCs/>
        </w:rPr>
        <w:t>Fertilitatea, sarcina şi alăptarea</w:t>
      </w:r>
    </w:p>
    <w:p w:rsidR="001D6450" w:rsidRPr="00885DAE" w:rsidRDefault="001D6450" w:rsidP="001D6450">
      <w:pPr>
        <w:spacing w:line="250" w:lineRule="exact"/>
      </w:pPr>
    </w:p>
    <w:p w:rsidR="001D6450" w:rsidRPr="00885DAE" w:rsidRDefault="001D6450" w:rsidP="001D6450">
      <w:r w:rsidRPr="00D5675E">
        <w:rPr>
          <w:u w:val="single"/>
        </w:rPr>
        <w:t>Sarcina</w:t>
      </w:r>
    </w:p>
    <w:p w:rsidR="001D6450" w:rsidRPr="00885DAE" w:rsidRDefault="001D6450" w:rsidP="001D6450">
      <w:pPr>
        <w:spacing w:line="1" w:lineRule="exact"/>
      </w:pPr>
    </w:p>
    <w:p w:rsidR="001D6450" w:rsidRPr="00885DAE" w:rsidRDefault="001D6450" w:rsidP="001D6450">
      <w:pPr>
        <w:spacing w:line="253" w:lineRule="auto"/>
        <w:ind w:right="160"/>
      </w:pPr>
      <w:r w:rsidRPr="00D5675E">
        <w:t>Nu există date adecvate privind administrarea erlotinib la gravide. Studiile efectuate la animale nu au evidenţiat efecte teratogene sau parturiţie anormală. Cu toate acestea, nu pot fi excluse efectele adverse asupra sarcinii ţinând cont de faptul că studiile efectuate la şobolan şi iepure au demonstrat creşterea mortalităţii embrionare/fetale (vezi pct. 5.3). Riscul potenţial la om nu este cunoscut.</w:t>
      </w:r>
    </w:p>
    <w:p w:rsidR="001D6450" w:rsidRPr="00885DAE" w:rsidRDefault="001D6450" w:rsidP="001D6450">
      <w:pPr>
        <w:spacing w:line="197" w:lineRule="exact"/>
      </w:pPr>
    </w:p>
    <w:p w:rsidR="001D6450" w:rsidRPr="00885DAE" w:rsidRDefault="001D6450" w:rsidP="001D6450">
      <w:r w:rsidRPr="00D5675E">
        <w:rPr>
          <w:u w:val="single"/>
        </w:rPr>
        <w:t>Femeile de vârstă fertilă</w:t>
      </w:r>
    </w:p>
    <w:p w:rsidR="001D6450" w:rsidRPr="00885DAE" w:rsidRDefault="001D6450" w:rsidP="001D6450">
      <w:pPr>
        <w:spacing w:line="253" w:lineRule="auto"/>
        <w:ind w:right="340"/>
      </w:pPr>
      <w:r w:rsidRPr="00D5675E">
        <w:t xml:space="preserve">Femeile de vârstă fertilă trebuie sfătuite să nu devină gravide în timpul utilizării </w:t>
      </w:r>
      <w:r w:rsidR="00230783" w:rsidRPr="00230783">
        <w:t>erlotinib</w:t>
      </w:r>
      <w:r w:rsidRPr="00D5675E">
        <w:t>. Trebuie utilizate măsuri contraceptive adecvate în timpul tratamentului şi încă 2 săptămâni după terminarea acestuia. La gravide, tratamentul trebuie continuat doar dacă beneficiul potenţial matern depăşeşte riscul fetal.</w:t>
      </w:r>
    </w:p>
    <w:p w:rsidR="001D6450" w:rsidRPr="00885DAE" w:rsidRDefault="001D6450" w:rsidP="001D6450">
      <w:pPr>
        <w:spacing w:line="198" w:lineRule="exact"/>
      </w:pPr>
    </w:p>
    <w:p w:rsidR="001D6450" w:rsidRPr="00885DAE" w:rsidRDefault="001D6450" w:rsidP="001D6450">
      <w:r w:rsidRPr="00D5675E">
        <w:rPr>
          <w:u w:val="single"/>
        </w:rPr>
        <w:t>Alăptarea</w:t>
      </w:r>
    </w:p>
    <w:p w:rsidR="001D6450" w:rsidRPr="00885DAE" w:rsidRDefault="001D6450" w:rsidP="001D6450">
      <w:pPr>
        <w:spacing w:line="1" w:lineRule="exact"/>
      </w:pPr>
    </w:p>
    <w:p w:rsidR="001D6450" w:rsidRPr="00885DAE" w:rsidRDefault="001D6450" w:rsidP="001D6450">
      <w:pPr>
        <w:spacing w:line="249" w:lineRule="auto"/>
        <w:ind w:right="260"/>
      </w:pPr>
      <w:r w:rsidRPr="00D5675E">
        <w:t xml:space="preserve">La om, nu se cunoaşte dacă erlotinibul se excretează în lapte. Nu au fost efectuate studii pentru evaluarea impactului </w:t>
      </w:r>
      <w:r w:rsidR="00230783" w:rsidRPr="00230783">
        <w:t>erlotinib</w:t>
      </w:r>
      <w:r w:rsidRPr="00D5675E">
        <w:t xml:space="preserve"> asupra producţiei de lapte sau a prezenţei medicamentului în laptele matern. Întrucât nu se cunosc posibilele efecte dăunătoare la sugar, mamele trebuie sfătuite să nu alăpteze în timpul tratamentului cu </w:t>
      </w:r>
      <w:r w:rsidR="00230783" w:rsidRPr="00230783">
        <w:t>erlotinib</w:t>
      </w:r>
      <w:r w:rsidRPr="00D5675E">
        <w:t xml:space="preserve"> şi încă cel puţin 2 săptămâni după administrarea ultimei doze.</w:t>
      </w:r>
    </w:p>
    <w:p w:rsidR="001D6450" w:rsidRDefault="001D6450" w:rsidP="001D6450">
      <w:pPr>
        <w:spacing w:line="204" w:lineRule="exact"/>
      </w:pPr>
    </w:p>
    <w:p w:rsidR="00D5675E" w:rsidRPr="00885DAE" w:rsidRDefault="00D5675E" w:rsidP="001D6450">
      <w:pPr>
        <w:spacing w:line="204" w:lineRule="exact"/>
      </w:pPr>
    </w:p>
    <w:p w:rsidR="001D6450" w:rsidRPr="00885DAE" w:rsidRDefault="001D6450" w:rsidP="001D6450">
      <w:r w:rsidRPr="00D5675E">
        <w:rPr>
          <w:u w:val="single"/>
        </w:rPr>
        <w:t>Fertilitatea</w:t>
      </w:r>
    </w:p>
    <w:p w:rsidR="001D6450" w:rsidRPr="00885DAE" w:rsidRDefault="001D6450" w:rsidP="001D6450">
      <w:pPr>
        <w:spacing w:line="1" w:lineRule="exact"/>
      </w:pPr>
    </w:p>
    <w:p w:rsidR="001D6450" w:rsidRPr="00885DAE" w:rsidRDefault="001D6450" w:rsidP="001D6450">
      <w:pPr>
        <w:spacing w:line="277" w:lineRule="auto"/>
        <w:ind w:right="260"/>
        <w:jc w:val="both"/>
      </w:pPr>
      <w:r w:rsidRPr="00885DAE">
        <w:t>Studiile efectuate la animale nu au evidenţiat afectarea fertilităţii. Cu toate acestea, nu pot fi excluse efectele adverse asupra fertilităţii ţinând cont de faptul că studiile efectuate la animale au demostrat efecte asupra parametrilor reproductivi (vezi pct. 5.3). Riscul potenţial la om nu este cunoscut.</w:t>
      </w:r>
    </w:p>
    <w:p w:rsidR="001D6450" w:rsidRPr="00885DAE" w:rsidRDefault="001D6450" w:rsidP="001D6450">
      <w:pPr>
        <w:spacing w:line="175" w:lineRule="exact"/>
      </w:pPr>
    </w:p>
    <w:p w:rsidR="001D6450" w:rsidRPr="00885DAE" w:rsidRDefault="001D6450" w:rsidP="001D6450">
      <w:pPr>
        <w:tabs>
          <w:tab w:val="left" w:pos="540"/>
        </w:tabs>
      </w:pPr>
      <w:r w:rsidRPr="00D5675E">
        <w:rPr>
          <w:b/>
          <w:bCs/>
        </w:rPr>
        <w:t>4.7</w:t>
      </w:r>
      <w:r w:rsidRPr="00885DAE">
        <w:tab/>
      </w:r>
      <w:r w:rsidRPr="00D5675E">
        <w:rPr>
          <w:b/>
          <w:bCs/>
        </w:rPr>
        <w:t>Efecte asupra capacităţii de a conduce vehicule şi de a folosi utilaje</w:t>
      </w:r>
    </w:p>
    <w:p w:rsidR="001D6450" w:rsidRPr="00885DAE" w:rsidRDefault="001D6450" w:rsidP="001D6450">
      <w:pPr>
        <w:spacing w:line="252" w:lineRule="exact"/>
      </w:pPr>
    </w:p>
    <w:p w:rsidR="001D6450" w:rsidRPr="00885DAE" w:rsidRDefault="001D6450" w:rsidP="001D6450">
      <w:pPr>
        <w:spacing w:line="279" w:lineRule="auto"/>
        <w:ind w:right="60"/>
      </w:pPr>
      <w:r w:rsidRPr="00D5675E">
        <w:t>Nu s-au efectuat studii privind efectele asupra capacităţii de a conduce vehicule sau de a folosi utilaje; totuşi, erlotinibul nu s-a asociat cu afectarea capacităţii mentale.</w:t>
      </w:r>
    </w:p>
    <w:p w:rsidR="001D6450" w:rsidRPr="00885DAE" w:rsidRDefault="001D6450" w:rsidP="001D6450">
      <w:pPr>
        <w:spacing w:line="171" w:lineRule="exact"/>
      </w:pPr>
    </w:p>
    <w:p w:rsidR="001D6450" w:rsidRPr="00885DAE" w:rsidRDefault="001D6450" w:rsidP="001D6450">
      <w:pPr>
        <w:tabs>
          <w:tab w:val="left" w:pos="540"/>
        </w:tabs>
      </w:pPr>
      <w:r w:rsidRPr="00D5675E">
        <w:rPr>
          <w:b/>
          <w:bCs/>
        </w:rPr>
        <w:t>4.8</w:t>
      </w:r>
      <w:r w:rsidRPr="00885DAE">
        <w:tab/>
      </w:r>
      <w:r w:rsidRPr="00D5675E">
        <w:rPr>
          <w:b/>
          <w:bCs/>
        </w:rPr>
        <w:t>Reacţii adverse</w:t>
      </w:r>
    </w:p>
    <w:p w:rsidR="001D6450" w:rsidRPr="00885DAE" w:rsidRDefault="001D6450" w:rsidP="001D6450">
      <w:pPr>
        <w:spacing w:line="252" w:lineRule="exact"/>
      </w:pPr>
    </w:p>
    <w:p w:rsidR="001D6450" w:rsidRPr="00885DAE" w:rsidRDefault="001D6450" w:rsidP="001D6450">
      <w:pPr>
        <w:spacing w:line="260" w:lineRule="auto"/>
        <w:ind w:right="220"/>
      </w:pPr>
      <w:r w:rsidRPr="00D5675E">
        <w:t xml:space="preserve">Evaluarea siguranţei utilizării </w:t>
      </w:r>
      <w:r w:rsidR="00230783" w:rsidRPr="00230783">
        <w:t>erlotinib</w:t>
      </w:r>
      <w:r w:rsidRPr="00D5675E">
        <w:t xml:space="preserve"> se bazează pe datele provenite de la peste 1500 de pacienţi trataţi cu cel puţin o doză de 150 mg de </w:t>
      </w:r>
      <w:r w:rsidR="00230783" w:rsidRPr="00230783">
        <w:t>erlotinib</w:t>
      </w:r>
      <w:r w:rsidRPr="00D5675E">
        <w:t xml:space="preserve"> în monoterapie şi de la peste 300 de pacienţi la care s-a administrat </w:t>
      </w:r>
      <w:r w:rsidR="00230783" w:rsidRPr="00230783">
        <w:t>erlotinib</w:t>
      </w:r>
      <w:r w:rsidRPr="00D5675E">
        <w:t xml:space="preserve"> 100 mg sau 150 mg în asociere cu gemcitabină.</w:t>
      </w:r>
    </w:p>
    <w:p w:rsidR="001D6450" w:rsidRPr="00885DAE" w:rsidRDefault="001D6450" w:rsidP="001D6450">
      <w:pPr>
        <w:spacing w:line="190" w:lineRule="exact"/>
      </w:pPr>
    </w:p>
    <w:p w:rsidR="001D6450" w:rsidRPr="00885DAE" w:rsidRDefault="001D6450" w:rsidP="001D6450">
      <w:pPr>
        <w:spacing w:line="246" w:lineRule="auto"/>
        <w:ind w:right="120"/>
      </w:pPr>
      <w:r w:rsidRPr="00D5675E">
        <w:t xml:space="preserve">Frecvenţa reacţiilor adverse medicamentoase (RAM) în cadrul studiilor clinice, raportate pentru </w:t>
      </w:r>
      <w:r w:rsidR="00230783" w:rsidRPr="00230783">
        <w:t>erlotinib</w:t>
      </w:r>
      <w:r w:rsidRPr="00D5675E">
        <w:t xml:space="preserve"> în monoterapie sau în asociere cu chimioterapie sunt rezumate în tabelul 1 în funcţie de gradele de severitate conform Criteriilor Comune de Toxicitate ale Institutului Naţional de Oncologie (NCI-CTC). RAM enumerate au fost cele raportate la minimum 10% (în grupul tratat cu </w:t>
      </w:r>
      <w:r w:rsidR="00230783" w:rsidRPr="00230783">
        <w:t>erlotinib</w:t>
      </w:r>
      <w:r w:rsidRPr="00D5675E">
        <w:t xml:space="preserve">) dintre pacienţi şi care au apărut mai frecvent (≥3%) la pacienţii trataţi cu </w:t>
      </w:r>
      <w:r w:rsidR="00230783" w:rsidRPr="00230783">
        <w:t>erlotinib</w:t>
      </w:r>
      <w:r w:rsidRPr="00D5675E">
        <w:t xml:space="preserve"> decât în braţul cu medicament comparator. Alte RAM, inclusiv cele din alte studii clinice, sunt prezentate rezumativ în Tabelul 2.</w:t>
      </w:r>
    </w:p>
    <w:p w:rsidR="001D6450" w:rsidRPr="00885DAE" w:rsidRDefault="001D6450" w:rsidP="001D6450">
      <w:pPr>
        <w:spacing w:line="208" w:lineRule="exact"/>
      </w:pPr>
    </w:p>
    <w:p w:rsidR="00D5675E" w:rsidRDefault="001D6450" w:rsidP="001D6450">
      <w:pPr>
        <w:spacing w:line="281" w:lineRule="auto"/>
        <w:ind w:right="226"/>
      </w:pPr>
      <w:r w:rsidRPr="00D5675E">
        <w:t>Reacţiile adverse medicamentoase din cadrul studiilor clinice (tabelul 1) sunt prezentate conform clasificării MedRA de aparate, sisteme şi organe. Categoria de frecvenţă corespunzătoare fiecarei reacţii adverse induse de medicament are la bază convenţia următoare: foarte frecvente (≥1/10), frecvente (≥1/100 şi &lt;1/10), mai puţin frecvente (≥1/1000 şi &lt;1/100), rare (≥1/10000 şi &lt;1/100), foarte rare (&lt;1/10000).</w:t>
      </w:r>
      <w:bookmarkStart w:id="7" w:name="page10"/>
      <w:bookmarkEnd w:id="7"/>
    </w:p>
    <w:p w:rsidR="001D6450" w:rsidRPr="00885DAE" w:rsidRDefault="001D6450" w:rsidP="001D6450">
      <w:pPr>
        <w:spacing w:line="281" w:lineRule="auto"/>
        <w:ind w:right="226"/>
      </w:pPr>
      <w:r w:rsidRPr="00D5675E">
        <w:t>În cadrul fiecărei categorii de frecvenţă, reacţiile adverse sunt prezentate în ordinea descrescătoare a gravităţii.</w:t>
      </w:r>
    </w:p>
    <w:p w:rsidR="001D6450" w:rsidRPr="00885DAE" w:rsidRDefault="001D6450" w:rsidP="001D6450">
      <w:pPr>
        <w:spacing w:line="168" w:lineRule="exact"/>
      </w:pPr>
    </w:p>
    <w:p w:rsidR="001D6450" w:rsidRPr="00885DAE" w:rsidRDefault="001D6450" w:rsidP="001D6450">
      <w:r w:rsidRPr="00D5675E">
        <w:rPr>
          <w:u w:val="single"/>
        </w:rPr>
        <w:t>Neoplasm pulmonar cu alte tipuri de celule decât cele mici (</w:t>
      </w:r>
      <w:r w:rsidR="000279EE" w:rsidRPr="00D5675E">
        <w:rPr>
          <w:u w:val="single"/>
        </w:rPr>
        <w:t>erlotinib</w:t>
      </w:r>
      <w:r w:rsidRPr="00D5675E">
        <w:rPr>
          <w:u w:val="single"/>
        </w:rPr>
        <w:t xml:space="preserve"> administrat în monoterapie)</w:t>
      </w:r>
      <w:r w:rsidRPr="00D5675E">
        <w:t>:</w:t>
      </w:r>
    </w:p>
    <w:p w:rsidR="001D6450" w:rsidRPr="00885DAE" w:rsidRDefault="001D6450" w:rsidP="001D6450">
      <w:pPr>
        <w:spacing w:line="257" w:lineRule="exact"/>
      </w:pPr>
    </w:p>
    <w:p w:rsidR="001D6450" w:rsidRPr="00885DAE" w:rsidRDefault="001D6450" w:rsidP="001D6450">
      <w:r w:rsidRPr="00D5675E">
        <w:rPr>
          <w:i/>
          <w:iCs/>
          <w:u w:val="single"/>
        </w:rPr>
        <w:t>Tratamentul de linia întâi al pacienţilor cu mutaţii EGFR</w:t>
      </w:r>
    </w:p>
    <w:p w:rsidR="001D6450" w:rsidRPr="00885DAE" w:rsidRDefault="001D6450" w:rsidP="001D6450">
      <w:pPr>
        <w:spacing w:line="247" w:lineRule="exact"/>
      </w:pPr>
    </w:p>
    <w:p w:rsidR="001D6450" w:rsidRDefault="001D6450" w:rsidP="001D6450">
      <w:pPr>
        <w:ind w:right="186"/>
      </w:pPr>
      <w:r w:rsidRPr="00D5675E">
        <w:t xml:space="preserve">În cadrul unui studiu clinic de fază III, randomizat, deschis, ML20650, efectuat la 154 de pacienţi, profilul de siguranţă al </w:t>
      </w:r>
      <w:r w:rsidR="00230783" w:rsidRPr="00230783">
        <w:t>erlotinib</w:t>
      </w:r>
      <w:r w:rsidRPr="00D5675E">
        <w:t xml:space="preserve"> ca tratament de linia întâi al pacienţilor cu NSCLC cu mutaţii activatoare la nivel EGFR a fost evaluat la 75 de pacienţi; nu au fost înregistrate semnale noi privind siguranţa la aceşti pacienţi.</w:t>
      </w:r>
    </w:p>
    <w:p w:rsidR="00D5675E" w:rsidRPr="00885DAE" w:rsidRDefault="00D5675E" w:rsidP="001D6450">
      <w:pPr>
        <w:ind w:right="186"/>
      </w:pPr>
    </w:p>
    <w:p w:rsidR="001D6450" w:rsidRPr="00885DAE" w:rsidRDefault="001D6450" w:rsidP="001D6450">
      <w:pPr>
        <w:spacing w:line="1" w:lineRule="exact"/>
      </w:pPr>
    </w:p>
    <w:p w:rsidR="001D6450" w:rsidRPr="00885DAE" w:rsidRDefault="001D6450" w:rsidP="001D6450">
      <w:pPr>
        <w:spacing w:line="245" w:lineRule="auto"/>
        <w:ind w:right="46"/>
      </w:pPr>
      <w:r w:rsidRPr="00D5675E">
        <w:t xml:space="preserve">Cele mai frecvente RAM observate la pacienţii trataţi cu </w:t>
      </w:r>
      <w:r w:rsidR="00230783" w:rsidRPr="00230783">
        <w:t>erlotinib</w:t>
      </w:r>
      <w:r w:rsidRPr="00D5675E">
        <w:t xml:space="preserve"> în studiul ML20650 au fost erupţia cutanată tranzitorie şi diareea (de orice grad, la 80% şi, respectiv, 57% dintre pacienţi). Majoritatea reacţiilor au prezentat severitate de gradul 1/2 şi s-au remis fără intervenţie. Erupţiile cutanate şi diareea cu severitate de gradul 3 au apărut la 9% şi, respectiv, 4% dintre pacienţi. Nu au fost înregistrate cazuri de erupţie cutanată sau diaree de gradul 4. Atât erupţiile cutanate tranzitorii, cât şi diareea au condus la întreruperea tratamentului cu </w:t>
      </w:r>
      <w:r w:rsidR="00230783" w:rsidRPr="00230783">
        <w:t>erlotinib</w:t>
      </w:r>
      <w:r w:rsidRPr="00D5675E">
        <w:t xml:space="preserve"> la 1% dintre pacienţi. La 11% şi, respectiv, 7% dintre pacienţi s-au impus modificări ale dozei (întreruperi sau reduceri) din cauza erupţiilor cutanate sau diareei.</w:t>
      </w:r>
    </w:p>
    <w:p w:rsidR="001D6450" w:rsidRPr="00885DAE" w:rsidRDefault="001D6450" w:rsidP="001D6450">
      <w:pPr>
        <w:spacing w:line="216" w:lineRule="exact"/>
      </w:pPr>
    </w:p>
    <w:p w:rsidR="001D6450" w:rsidRPr="00885DAE" w:rsidRDefault="001D6450" w:rsidP="001D6450">
      <w:r w:rsidRPr="00D5675E">
        <w:rPr>
          <w:i/>
          <w:iCs/>
          <w:u w:val="single"/>
        </w:rPr>
        <w:t>Tratamentul de întreţinere</w:t>
      </w:r>
    </w:p>
    <w:p w:rsidR="001D6450" w:rsidRPr="00885DAE" w:rsidRDefault="001D6450" w:rsidP="001D6450">
      <w:pPr>
        <w:spacing w:line="247" w:lineRule="exact"/>
      </w:pPr>
    </w:p>
    <w:p w:rsidR="001D6450" w:rsidRPr="00885DAE" w:rsidRDefault="001D6450" w:rsidP="001D6450">
      <w:pPr>
        <w:spacing w:line="248" w:lineRule="auto"/>
        <w:ind w:right="6"/>
      </w:pPr>
      <w:r w:rsidRPr="00D5675E">
        <w:t xml:space="preserve">În cadrul altor două studii clinice de fază III, randomizate, cu design dublu-orb, controlate cu placebo, BO18192 (SATURN) şi BO25460 (IUNO), </w:t>
      </w:r>
      <w:r w:rsidR="00230783" w:rsidRPr="00230783">
        <w:t>erlotinib</w:t>
      </w:r>
      <w:r w:rsidRPr="00D5675E">
        <w:t xml:space="preserve"> a fost administrat ca tratament de întreţinere după chimioterapie în linia întâi de tratament. Aceste studii au fost derulate la un număr total de 1532 de pacienţi cu NSCLC avansat, recurent sau metastazat după tratamentul standard de linia întâi cu chimioterapie pe bază de săruri de platină; nu au fost identificate semnale noi în ceea ce priveşte siguranţa.</w:t>
      </w:r>
    </w:p>
    <w:p w:rsidR="001D6450" w:rsidRPr="00885DAE" w:rsidRDefault="001D6450" w:rsidP="001D6450">
      <w:pPr>
        <w:spacing w:line="202" w:lineRule="exact"/>
      </w:pPr>
    </w:p>
    <w:p w:rsidR="001D6450" w:rsidRPr="00885DAE" w:rsidRDefault="001D6450" w:rsidP="001D6450">
      <w:pPr>
        <w:spacing w:line="244" w:lineRule="auto"/>
        <w:ind w:right="66"/>
      </w:pPr>
      <w:r w:rsidRPr="00D5675E">
        <w:t xml:space="preserve">Cele mai frecvente RAM observate la pacienţii trataţi cu </w:t>
      </w:r>
      <w:r w:rsidR="00230783" w:rsidRPr="00230783">
        <w:t>erlotinib</w:t>
      </w:r>
      <w:r w:rsidRPr="00D5675E">
        <w:t xml:space="preserve"> în studiile BO18192 şi BO25460 au fost erupţiile cutanate tranzitorii (BO18192: toate gradele de severitate – 49,2%, gradul 3 – 6,0%; BO25460: toate gradele – 39,4%, gradul 3 – 5,0%) şi diareea (BO18192: toate gradele de severitate – 20,3%, gradul 3 – 1,8%; BO25460: toate gradele – 24,2%, gradul 3 – 2,5%). Nu au fost înregistrate cazuri de erupţie cutanată sau diaree de gradul 4 în niciunul dintre studii. Erupţiile cutanate şi diareea au determinat întreruperea tratamentului cu </w:t>
      </w:r>
      <w:r w:rsidR="00230783" w:rsidRPr="00230783">
        <w:t>erlotinib</w:t>
      </w:r>
      <w:r w:rsidRPr="00D5675E">
        <w:t xml:space="preserve"> la 1% şi, respectiv, &lt;1% dintre pacienţi în studiul BO18192, în timp ce în studiul BO25460 niciunul dintre pacienţi nu a întrerupt tratamentul din cauza erupţiei cutanate sau a diareei. Au fost necesare modificări ale dozei (întreruperi sau reduceri) din cauza erupţiilor cutanate şi a diareei la 8,3% şi, respectiv, 3% dintre pacienţi în</w:t>
      </w:r>
      <w:r w:rsidR="00D937BF">
        <w:t xml:space="preserve"> cadrul studiului BO18192 şi l </w:t>
      </w:r>
      <w:r w:rsidRPr="00D5675E">
        <w:t>5,6% şi, respectiv, 2,8% dintre pacienţi în cadrul studiului BO25460.</w:t>
      </w:r>
    </w:p>
    <w:p w:rsidR="001D6450" w:rsidRPr="00885DAE" w:rsidRDefault="001D6450" w:rsidP="001D6450">
      <w:pPr>
        <w:spacing w:line="216" w:lineRule="exact"/>
      </w:pPr>
    </w:p>
    <w:p w:rsidR="001D6450" w:rsidRPr="00885DAE" w:rsidRDefault="001D6450" w:rsidP="001D6450">
      <w:r w:rsidRPr="00D5675E">
        <w:rPr>
          <w:i/>
          <w:iCs/>
          <w:u w:val="single"/>
        </w:rPr>
        <w:t>Tratamentul de linia a doua</w:t>
      </w:r>
    </w:p>
    <w:p w:rsidR="001D6450" w:rsidRPr="00885DAE" w:rsidRDefault="001D6450" w:rsidP="001D6450">
      <w:pPr>
        <w:spacing w:line="250" w:lineRule="exact"/>
      </w:pPr>
    </w:p>
    <w:p w:rsidR="001D6450" w:rsidRPr="00885DAE" w:rsidRDefault="001D6450" w:rsidP="001D6450">
      <w:pPr>
        <w:spacing w:line="245" w:lineRule="auto"/>
        <w:ind w:right="26"/>
      </w:pPr>
      <w:r w:rsidRPr="00D5675E">
        <w:t xml:space="preserve">În cadrul unui studiu clinic randomizat, dublu-orb (BR.21; </w:t>
      </w:r>
      <w:r w:rsidR="00230783" w:rsidRPr="00230783">
        <w:t>erlotinib</w:t>
      </w:r>
      <w:r w:rsidRPr="00D5675E">
        <w:t xml:space="preserve"> administrat ca terapie de linia a doua), cele mai frecvente reacţii adverse medicamentoase raportate au fost erupţiile cutanate (75%) şi diareea (54%). Majoritatea au prezentat severitate de gradul 1/2 şi s-au remis fără intervenţie. Erupţii cutanate şi diaree cu severitate de gradul 3/4 au apărut la 9%, respectiv 6% dintre pacienţii trataţi cu </w:t>
      </w:r>
      <w:r w:rsidR="00817A39" w:rsidRPr="00817A39">
        <w:t>Fokleros</w:t>
      </w:r>
      <w:r w:rsidRPr="00D5675E">
        <w:t xml:space="preserve"> şi au determinat excluderea din studiu a 1% din pacienţi. La 6% şi, respectiv, 1% din pacienţi a fost necesară reducerea dozei din cauza apariţiei erupţiilor cutanate şi diareei. În studiul BR.21 timpul median de apariţie a erupţiilor cutanate a fost de 8 zile, iar timpul median de apariţie a diareei a fost de 12 zile.</w:t>
      </w:r>
    </w:p>
    <w:p w:rsidR="001D6450" w:rsidRPr="00885DAE" w:rsidRDefault="001D6450" w:rsidP="001D6450">
      <w:pPr>
        <w:spacing w:line="209" w:lineRule="exact"/>
      </w:pPr>
    </w:p>
    <w:p w:rsidR="00D5675E" w:rsidRDefault="001D6450" w:rsidP="00D937BF">
      <w:pPr>
        <w:rPr>
          <w:u w:val="single"/>
        </w:rPr>
      </w:pPr>
      <w:r w:rsidRPr="00D5675E">
        <w:t>În general, erupţiile cutanate se manifestă ca forme uşoare sau moderate de erupţii cutanate eritematoase sau papulo-pustuloase, care pot să apară sau să se agraveze la nivelul zonelor expuse la soare. Pacienţilor care se expun la soare li se recomandă folosirea unor haine de protecţie şi/sau a cremelor cu factor de protecţie solară (de exemplu, creme pe bază de filtre minerale).</w:t>
      </w:r>
      <w:bookmarkStart w:id="8" w:name="page11"/>
      <w:bookmarkEnd w:id="8"/>
    </w:p>
    <w:p w:rsidR="00D5675E" w:rsidRDefault="00D5675E" w:rsidP="00D937BF">
      <w:pPr>
        <w:rPr>
          <w:u w:val="single"/>
        </w:rPr>
      </w:pPr>
    </w:p>
    <w:p w:rsidR="001D6450" w:rsidRPr="00885DAE" w:rsidRDefault="001D6450" w:rsidP="00D937BF">
      <w:r w:rsidRPr="00D5675E">
        <w:rPr>
          <w:u w:val="single"/>
        </w:rPr>
        <w:t>Cancer pancreatic (</w:t>
      </w:r>
      <w:r w:rsidR="00230783" w:rsidRPr="00230783">
        <w:rPr>
          <w:u w:val="single"/>
        </w:rPr>
        <w:t>erlotinib</w:t>
      </w:r>
      <w:r w:rsidRPr="00D5675E">
        <w:rPr>
          <w:u w:val="single"/>
        </w:rPr>
        <w:t xml:space="preserve"> administrat concomitent cu gemcitabină)</w:t>
      </w:r>
    </w:p>
    <w:p w:rsidR="001D6450" w:rsidRPr="00885DAE" w:rsidRDefault="001D6450" w:rsidP="00D937BF">
      <w:pPr>
        <w:spacing w:line="253" w:lineRule="exact"/>
      </w:pPr>
    </w:p>
    <w:p w:rsidR="001D6450" w:rsidRPr="00885DAE" w:rsidRDefault="001D6450" w:rsidP="00D937BF">
      <w:pPr>
        <w:spacing w:line="246" w:lineRule="auto"/>
        <w:ind w:right="160"/>
      </w:pPr>
      <w:r w:rsidRPr="00D5675E">
        <w:t xml:space="preserve">Cele mai frecvente reacţii adverse raportate în studiul pivot PA.3 la pacienţii cu diagnostic de cancer pancreatic trataţi cu </w:t>
      </w:r>
      <w:r w:rsidR="00230783" w:rsidRPr="00230783">
        <w:t>erlotinib</w:t>
      </w:r>
      <w:r w:rsidRPr="00D5675E">
        <w:t xml:space="preserve">100 mg în asociere cu gemcitabină au fost fatigabilitatea, erupţia cutanată tranzitorie şi diareea. În braţul de tratament cu </w:t>
      </w:r>
      <w:r w:rsidR="00230783" w:rsidRPr="00230783">
        <w:t>erlotinib</w:t>
      </w:r>
      <w:r w:rsidRPr="00D5675E">
        <w:t xml:space="preserve"> în asociere cu gemcitabină, erupţiile cutanate şi diareea cu severitate de gradul 3/4 au fost raportate la câte 5% dintre pacienţi. Intervalul de timp median până la apariţia reacţiilor cutanate şi a diareei a fost de 10 şi, respectiv, 15 zile. Aceleaşi reacţii au impus reduceri ale dozei la 2% dintre pacienţi şi au condus la întreruperea participării la studiu în cazul a până la 1% dintre pacienţii care au primit </w:t>
      </w:r>
      <w:r w:rsidR="00230783" w:rsidRPr="00230783">
        <w:t>erlotinib</w:t>
      </w:r>
      <w:r w:rsidRPr="00D5675E">
        <w:t xml:space="preserve"> în asociere cu gemcitabină.</w:t>
      </w:r>
    </w:p>
    <w:p w:rsidR="001D6450" w:rsidRPr="00885DAE" w:rsidRDefault="001D6450" w:rsidP="00D937BF">
      <w:pPr>
        <w:spacing w:line="210" w:lineRule="exact"/>
      </w:pPr>
    </w:p>
    <w:p w:rsidR="001D6450" w:rsidRDefault="001D6450" w:rsidP="00D937BF">
      <w:pPr>
        <w:spacing w:line="253" w:lineRule="auto"/>
        <w:ind w:right="160"/>
      </w:pPr>
      <w:r w:rsidRPr="00D5675E">
        <w:t xml:space="preserve">Tabelul 1: RAM apărute la ≥ 10% dintre pacienţi în studiile BR.21(trataţi cu </w:t>
      </w:r>
      <w:r w:rsidR="00230783" w:rsidRPr="00230783">
        <w:t>erlotinib</w:t>
      </w:r>
      <w:r w:rsidRPr="00D5675E">
        <w:t xml:space="preserve">) şi PA.3 (trataţi cu </w:t>
      </w:r>
      <w:r w:rsidR="00230783" w:rsidRPr="00230783">
        <w:t>erlotinib</w:t>
      </w:r>
      <w:r w:rsidRPr="00D5675E">
        <w:t xml:space="preserve"> în asociere cu gemcitabină) şi RAM cu frecvenţă mai mare (≥ 3%) decât în cazul administrării de placebo în studiile BR.21 (trataţi cu </w:t>
      </w:r>
      <w:r w:rsidR="00230783" w:rsidRPr="00230783">
        <w:t>erlotinib</w:t>
      </w:r>
      <w:r w:rsidRPr="00D5675E">
        <w:t xml:space="preserve">) şi PA.3 (trataţi cu </w:t>
      </w:r>
      <w:r w:rsidR="00230783" w:rsidRPr="00230783">
        <w:t>erlotinib</w:t>
      </w:r>
      <w:r w:rsidRPr="00D5675E">
        <w:t xml:space="preserve"> în asociere cu gemcitabină)</w:t>
      </w:r>
    </w:p>
    <w:p w:rsidR="00D937BF" w:rsidRDefault="00D937BF" w:rsidP="00D937BF">
      <w:pPr>
        <w:spacing w:line="253" w:lineRule="auto"/>
        <w:ind w:right="160"/>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993"/>
        <w:gridCol w:w="567"/>
        <w:gridCol w:w="708"/>
        <w:gridCol w:w="993"/>
        <w:gridCol w:w="850"/>
        <w:gridCol w:w="709"/>
        <w:gridCol w:w="1843"/>
      </w:tblGrid>
      <w:tr w:rsidR="00D937BF" w:rsidRPr="00C63689" w:rsidTr="006E6744">
        <w:trPr>
          <w:jc w:val="center"/>
        </w:trPr>
        <w:tc>
          <w:tcPr>
            <w:tcW w:w="3397" w:type="dxa"/>
          </w:tcPr>
          <w:p w:rsidR="00D937BF" w:rsidRPr="00947656" w:rsidRDefault="00D937BF" w:rsidP="006E6744">
            <w:pPr>
              <w:suppressAutoHyphens/>
              <w:adjustRightInd w:val="0"/>
            </w:pPr>
          </w:p>
        </w:tc>
        <w:tc>
          <w:tcPr>
            <w:tcW w:w="2268" w:type="dxa"/>
            <w:gridSpan w:val="3"/>
          </w:tcPr>
          <w:p w:rsidR="00D937BF" w:rsidRPr="00C63689" w:rsidRDefault="00D937BF" w:rsidP="006E6744">
            <w:pPr>
              <w:suppressAutoHyphens/>
              <w:adjustRightInd w:val="0"/>
              <w:rPr>
                <w:b/>
              </w:rPr>
            </w:pPr>
            <w:r>
              <w:rPr>
                <w:b/>
              </w:rPr>
              <w:t xml:space="preserve">  </w:t>
            </w:r>
            <w:r w:rsidR="00230783">
              <w:rPr>
                <w:b/>
              </w:rPr>
              <w:t>E</w:t>
            </w:r>
            <w:r w:rsidR="00230783" w:rsidRPr="00230783">
              <w:rPr>
                <w:b/>
              </w:rPr>
              <w:t>rlotinib</w:t>
            </w:r>
            <w:r w:rsidR="00230783" w:rsidRPr="00230783" w:rsidDel="00230783">
              <w:rPr>
                <w:b/>
              </w:rPr>
              <w:t xml:space="preserve"> </w:t>
            </w:r>
            <w:r w:rsidRPr="00C63689">
              <w:rPr>
                <w:b/>
              </w:rPr>
              <w:t>(BR.21)</w:t>
            </w:r>
          </w:p>
          <w:p w:rsidR="00D937BF" w:rsidRPr="00C63689" w:rsidRDefault="00D937BF" w:rsidP="006E6744">
            <w:pPr>
              <w:suppressAutoHyphens/>
              <w:adjustRightInd w:val="0"/>
              <w:jc w:val="both"/>
              <w:rPr>
                <w:b/>
              </w:rPr>
            </w:pPr>
            <w:r w:rsidRPr="00C63689">
              <w:rPr>
                <w:b/>
              </w:rPr>
              <w:tab/>
              <w:t>N=485</w:t>
            </w:r>
            <w:r w:rsidRPr="00C63689">
              <w:rPr>
                <w:b/>
              </w:rPr>
              <w:tab/>
            </w:r>
          </w:p>
        </w:tc>
        <w:tc>
          <w:tcPr>
            <w:tcW w:w="2552" w:type="dxa"/>
            <w:gridSpan w:val="3"/>
          </w:tcPr>
          <w:p w:rsidR="00D937BF" w:rsidRPr="00C63689" w:rsidRDefault="00D937BF" w:rsidP="006E6744">
            <w:pPr>
              <w:suppressAutoHyphens/>
              <w:adjustRightInd w:val="0"/>
              <w:jc w:val="center"/>
              <w:rPr>
                <w:b/>
              </w:rPr>
            </w:pPr>
            <w:r w:rsidRPr="00C63689">
              <w:rPr>
                <w:b/>
              </w:rPr>
              <w:t>Placebo (PA.3)</w:t>
            </w:r>
          </w:p>
          <w:p w:rsidR="00D937BF" w:rsidRPr="00C63689" w:rsidRDefault="00D937BF" w:rsidP="006E6744">
            <w:pPr>
              <w:suppressAutoHyphens/>
              <w:adjustRightInd w:val="0"/>
              <w:jc w:val="center"/>
              <w:rPr>
                <w:b/>
              </w:rPr>
            </w:pPr>
            <w:r w:rsidRPr="00C63689">
              <w:rPr>
                <w:b/>
              </w:rPr>
              <w:tab/>
              <w:t>N=259</w:t>
            </w:r>
            <w:r w:rsidRPr="00C63689">
              <w:rPr>
                <w:b/>
              </w:rPr>
              <w:tab/>
            </w:r>
          </w:p>
        </w:tc>
        <w:tc>
          <w:tcPr>
            <w:tcW w:w="1843" w:type="dxa"/>
            <w:vMerge w:val="restart"/>
          </w:tcPr>
          <w:p w:rsidR="00D937BF" w:rsidRPr="00C63689" w:rsidRDefault="00D937BF" w:rsidP="006E6744">
            <w:pPr>
              <w:suppressAutoHyphens/>
              <w:adjustRightInd w:val="0"/>
              <w:jc w:val="center"/>
              <w:rPr>
                <w:b/>
              </w:rPr>
            </w:pPr>
            <w:r w:rsidRPr="00C63689">
              <w:rPr>
                <w:b/>
              </w:rPr>
              <w:t>Categoria de</w:t>
            </w:r>
          </w:p>
          <w:p w:rsidR="00D937BF" w:rsidRPr="00C63689" w:rsidRDefault="00D937BF" w:rsidP="006E6744">
            <w:pPr>
              <w:suppressAutoHyphens/>
              <w:adjustRightInd w:val="0"/>
              <w:jc w:val="center"/>
              <w:rPr>
                <w:b/>
              </w:rPr>
            </w:pPr>
            <w:r w:rsidRPr="00C63689">
              <w:rPr>
                <w:b/>
              </w:rPr>
              <w:t>frecvenţă cu cea mai mare incidenţă</w:t>
            </w:r>
            <w:r w:rsidRPr="00C63689">
              <w:rPr>
                <w:b/>
              </w:rPr>
              <w:tab/>
            </w:r>
          </w:p>
        </w:tc>
      </w:tr>
      <w:tr w:rsidR="00D937BF" w:rsidRPr="00C63689" w:rsidTr="006E6744">
        <w:trPr>
          <w:jc w:val="center"/>
        </w:trPr>
        <w:tc>
          <w:tcPr>
            <w:tcW w:w="3397" w:type="dxa"/>
            <w:shd w:val="clear" w:color="auto" w:fill="auto"/>
          </w:tcPr>
          <w:p w:rsidR="00D937BF" w:rsidRPr="00C63689" w:rsidRDefault="00D937BF" w:rsidP="006E6744">
            <w:pPr>
              <w:suppressAutoHyphens/>
              <w:adjustRightInd w:val="0"/>
              <w:rPr>
                <w:b/>
              </w:rPr>
            </w:pPr>
            <w:r w:rsidRPr="00C63689">
              <w:rPr>
                <w:b/>
                <w:bCs/>
              </w:rPr>
              <w:t>Gradul NCI-CTC</w:t>
            </w:r>
          </w:p>
        </w:tc>
        <w:tc>
          <w:tcPr>
            <w:tcW w:w="993" w:type="dxa"/>
          </w:tcPr>
          <w:p w:rsidR="00D937BF" w:rsidRPr="00C63689" w:rsidRDefault="00D937BF" w:rsidP="006E6744">
            <w:pPr>
              <w:suppressAutoHyphens/>
              <w:adjustRightInd w:val="0"/>
              <w:jc w:val="center"/>
              <w:rPr>
                <w:b/>
              </w:rPr>
            </w:pPr>
            <w:r w:rsidRPr="00C63689">
              <w:rPr>
                <w:rFonts w:eastAsia="MS Mincho"/>
                <w:b/>
              </w:rPr>
              <w:t>Any</w:t>
            </w:r>
          </w:p>
          <w:p w:rsidR="00D937BF" w:rsidRPr="00C63689" w:rsidRDefault="00D937BF" w:rsidP="006E6744">
            <w:pPr>
              <w:suppressAutoHyphens/>
              <w:adjustRightInd w:val="0"/>
              <w:jc w:val="center"/>
              <w:rPr>
                <w:b/>
              </w:rPr>
            </w:pPr>
            <w:r w:rsidRPr="00C63689">
              <w:rPr>
                <w:b/>
              </w:rPr>
              <w:t>Grade</w:t>
            </w:r>
          </w:p>
        </w:tc>
        <w:tc>
          <w:tcPr>
            <w:tcW w:w="567" w:type="dxa"/>
          </w:tcPr>
          <w:p w:rsidR="00D937BF" w:rsidRPr="00C63689" w:rsidRDefault="00D937BF" w:rsidP="006E6744">
            <w:pPr>
              <w:suppressAutoHyphens/>
              <w:adjustRightInd w:val="0"/>
              <w:jc w:val="center"/>
              <w:rPr>
                <w:b/>
              </w:rPr>
            </w:pPr>
            <w:r w:rsidRPr="00C63689">
              <w:rPr>
                <w:b/>
              </w:rPr>
              <w:t>3</w:t>
            </w:r>
          </w:p>
        </w:tc>
        <w:tc>
          <w:tcPr>
            <w:tcW w:w="708" w:type="dxa"/>
          </w:tcPr>
          <w:p w:rsidR="00D937BF" w:rsidRPr="00C63689" w:rsidRDefault="00D937BF" w:rsidP="006E6744">
            <w:pPr>
              <w:suppressAutoHyphens/>
              <w:adjustRightInd w:val="0"/>
              <w:jc w:val="center"/>
              <w:rPr>
                <w:b/>
              </w:rPr>
            </w:pPr>
            <w:r w:rsidRPr="00C63689">
              <w:rPr>
                <w:b/>
              </w:rPr>
              <w:t>4</w:t>
            </w:r>
          </w:p>
        </w:tc>
        <w:tc>
          <w:tcPr>
            <w:tcW w:w="993" w:type="dxa"/>
          </w:tcPr>
          <w:p w:rsidR="00D937BF" w:rsidRPr="00C63689" w:rsidRDefault="00D937BF" w:rsidP="006E6744">
            <w:pPr>
              <w:suppressAutoHyphens/>
              <w:adjustRightInd w:val="0"/>
              <w:jc w:val="center"/>
              <w:rPr>
                <w:b/>
              </w:rPr>
            </w:pPr>
            <w:r w:rsidRPr="00C63689">
              <w:rPr>
                <w:rFonts w:eastAsia="MS Mincho"/>
                <w:b/>
              </w:rPr>
              <w:t>Any</w:t>
            </w:r>
          </w:p>
          <w:p w:rsidR="00D937BF" w:rsidRPr="00C63689" w:rsidRDefault="00D937BF" w:rsidP="006E6744">
            <w:pPr>
              <w:suppressAutoHyphens/>
              <w:adjustRightInd w:val="0"/>
              <w:jc w:val="center"/>
              <w:rPr>
                <w:b/>
              </w:rPr>
            </w:pPr>
            <w:r w:rsidRPr="00C63689">
              <w:rPr>
                <w:b/>
              </w:rPr>
              <w:t>Grade</w:t>
            </w:r>
          </w:p>
        </w:tc>
        <w:tc>
          <w:tcPr>
            <w:tcW w:w="850" w:type="dxa"/>
          </w:tcPr>
          <w:p w:rsidR="00D937BF" w:rsidRPr="00C63689" w:rsidRDefault="00D937BF" w:rsidP="006E6744">
            <w:pPr>
              <w:suppressAutoHyphens/>
              <w:adjustRightInd w:val="0"/>
              <w:jc w:val="center"/>
              <w:rPr>
                <w:b/>
              </w:rPr>
            </w:pPr>
            <w:r w:rsidRPr="00C63689">
              <w:rPr>
                <w:b/>
              </w:rPr>
              <w:t>3</w:t>
            </w:r>
          </w:p>
        </w:tc>
        <w:tc>
          <w:tcPr>
            <w:tcW w:w="709" w:type="dxa"/>
          </w:tcPr>
          <w:p w:rsidR="00D937BF" w:rsidRPr="00C63689" w:rsidRDefault="00D937BF" w:rsidP="006E6744">
            <w:pPr>
              <w:suppressAutoHyphens/>
              <w:adjustRightInd w:val="0"/>
              <w:jc w:val="center"/>
              <w:rPr>
                <w:b/>
              </w:rPr>
            </w:pPr>
            <w:r w:rsidRPr="00C63689">
              <w:rPr>
                <w:b/>
              </w:rPr>
              <w:t>4</w:t>
            </w:r>
          </w:p>
        </w:tc>
        <w:tc>
          <w:tcPr>
            <w:tcW w:w="1843" w:type="dxa"/>
            <w:vMerge/>
          </w:tcPr>
          <w:p w:rsidR="00D937BF" w:rsidRPr="00C63689" w:rsidRDefault="00D937BF" w:rsidP="006E6744">
            <w:pPr>
              <w:suppressAutoHyphens/>
              <w:adjustRightInd w:val="0"/>
              <w:jc w:val="center"/>
              <w:rPr>
                <w:b/>
              </w:rPr>
            </w:pPr>
          </w:p>
        </w:tc>
      </w:tr>
      <w:tr w:rsidR="00D937BF" w:rsidRPr="00C63689" w:rsidTr="006E6744">
        <w:trPr>
          <w:jc w:val="center"/>
        </w:trPr>
        <w:tc>
          <w:tcPr>
            <w:tcW w:w="3397" w:type="dxa"/>
            <w:shd w:val="clear" w:color="auto" w:fill="auto"/>
          </w:tcPr>
          <w:p w:rsidR="00D937BF" w:rsidRPr="00C63689" w:rsidRDefault="00D937BF" w:rsidP="006E6744">
            <w:pPr>
              <w:suppressAutoHyphens/>
              <w:adjustRightInd w:val="0"/>
              <w:rPr>
                <w:b/>
              </w:rPr>
            </w:pPr>
            <w:r w:rsidRPr="00C63689">
              <w:rPr>
                <w:b/>
                <w:bCs/>
              </w:rPr>
              <w:t>Termenul preferat MedDRA</w:t>
            </w:r>
          </w:p>
        </w:tc>
        <w:tc>
          <w:tcPr>
            <w:tcW w:w="993" w:type="dxa"/>
          </w:tcPr>
          <w:p w:rsidR="00D937BF" w:rsidRPr="00C63689" w:rsidRDefault="00D937BF" w:rsidP="006E6744">
            <w:pPr>
              <w:suppressAutoHyphens/>
              <w:adjustRightInd w:val="0"/>
              <w:jc w:val="center"/>
              <w:rPr>
                <w:b/>
              </w:rPr>
            </w:pPr>
            <w:r w:rsidRPr="00C63689">
              <w:rPr>
                <w:rFonts w:eastAsia="MS Mincho"/>
                <w:b/>
              </w:rPr>
              <w:t>%</w:t>
            </w:r>
          </w:p>
        </w:tc>
        <w:tc>
          <w:tcPr>
            <w:tcW w:w="567" w:type="dxa"/>
          </w:tcPr>
          <w:p w:rsidR="00D937BF" w:rsidRPr="00C63689" w:rsidRDefault="00D937BF" w:rsidP="006E6744">
            <w:pPr>
              <w:suppressAutoHyphens/>
              <w:adjustRightInd w:val="0"/>
              <w:jc w:val="center"/>
              <w:rPr>
                <w:b/>
              </w:rPr>
            </w:pPr>
            <w:r w:rsidRPr="00C63689">
              <w:rPr>
                <w:rFonts w:eastAsia="MS Mincho"/>
                <w:b/>
              </w:rPr>
              <w:t>%</w:t>
            </w:r>
          </w:p>
        </w:tc>
        <w:tc>
          <w:tcPr>
            <w:tcW w:w="708" w:type="dxa"/>
          </w:tcPr>
          <w:p w:rsidR="00D937BF" w:rsidRPr="00C63689" w:rsidRDefault="00D937BF" w:rsidP="006E6744">
            <w:pPr>
              <w:suppressAutoHyphens/>
              <w:adjustRightInd w:val="0"/>
              <w:jc w:val="center"/>
              <w:rPr>
                <w:b/>
              </w:rPr>
            </w:pPr>
            <w:r w:rsidRPr="00C63689">
              <w:rPr>
                <w:rFonts w:eastAsia="MS Mincho"/>
                <w:b/>
              </w:rPr>
              <w:t>%</w:t>
            </w:r>
          </w:p>
        </w:tc>
        <w:tc>
          <w:tcPr>
            <w:tcW w:w="993" w:type="dxa"/>
          </w:tcPr>
          <w:p w:rsidR="00D937BF" w:rsidRPr="00C63689" w:rsidRDefault="00D937BF" w:rsidP="006E6744">
            <w:pPr>
              <w:suppressAutoHyphens/>
              <w:adjustRightInd w:val="0"/>
              <w:jc w:val="center"/>
              <w:rPr>
                <w:b/>
              </w:rPr>
            </w:pPr>
            <w:r w:rsidRPr="00C63689">
              <w:rPr>
                <w:rFonts w:eastAsia="MS Mincho"/>
                <w:b/>
              </w:rPr>
              <w:t>%</w:t>
            </w:r>
          </w:p>
        </w:tc>
        <w:tc>
          <w:tcPr>
            <w:tcW w:w="850" w:type="dxa"/>
          </w:tcPr>
          <w:p w:rsidR="00D937BF" w:rsidRPr="00C63689" w:rsidRDefault="00D937BF" w:rsidP="006E6744">
            <w:pPr>
              <w:suppressAutoHyphens/>
              <w:adjustRightInd w:val="0"/>
              <w:jc w:val="center"/>
              <w:rPr>
                <w:b/>
              </w:rPr>
            </w:pPr>
            <w:r w:rsidRPr="00C63689">
              <w:rPr>
                <w:rFonts w:eastAsia="MS Mincho"/>
                <w:b/>
              </w:rPr>
              <w:t>%</w:t>
            </w:r>
          </w:p>
        </w:tc>
        <w:tc>
          <w:tcPr>
            <w:tcW w:w="709" w:type="dxa"/>
          </w:tcPr>
          <w:p w:rsidR="00D937BF" w:rsidRPr="00C63689" w:rsidRDefault="00D937BF" w:rsidP="006E6744">
            <w:pPr>
              <w:suppressAutoHyphens/>
              <w:adjustRightInd w:val="0"/>
              <w:jc w:val="center"/>
              <w:rPr>
                <w:b/>
              </w:rPr>
            </w:pPr>
            <w:r w:rsidRPr="00C63689">
              <w:rPr>
                <w:rFonts w:eastAsia="MS Mincho"/>
                <w:b/>
              </w:rPr>
              <w:t>%</w:t>
            </w:r>
          </w:p>
        </w:tc>
        <w:tc>
          <w:tcPr>
            <w:tcW w:w="1843" w:type="dxa"/>
            <w:vMerge/>
          </w:tcPr>
          <w:p w:rsidR="00D937BF" w:rsidRPr="00C63689" w:rsidRDefault="00D937BF" w:rsidP="006E6744">
            <w:pPr>
              <w:suppressAutoHyphens/>
              <w:adjustRightInd w:val="0"/>
              <w:jc w:val="center"/>
              <w:rPr>
                <w:rFonts w:eastAsia="MS Mincho"/>
                <w:b/>
              </w:rPr>
            </w:pP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Infecţii şi infestări</w:t>
            </w:r>
          </w:p>
          <w:p w:rsidR="00D937BF" w:rsidRPr="00C63689" w:rsidRDefault="00D937BF" w:rsidP="006E6744">
            <w:pPr>
              <w:suppressAutoHyphens/>
              <w:adjustRightInd w:val="0"/>
              <w:ind w:left="720"/>
            </w:pPr>
            <w:r w:rsidRPr="00C63689">
              <w:t>Infecţii*</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24</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4</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0</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31</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rPr>
                <w:rFonts w:eastAsia="MS Mincho"/>
              </w:rPr>
              <w:t>3</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 xml:space="preserve">&lt; </w:t>
            </w:r>
            <w:r w:rsidRPr="00C63689">
              <w:rPr>
                <w:rFonts w:eastAsia="MS Mincho"/>
              </w:rPr>
              <w:t>1</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metabolice şi de</w:t>
            </w:r>
          </w:p>
          <w:p w:rsidR="00D937BF" w:rsidRPr="00C63689" w:rsidRDefault="00D937BF" w:rsidP="006E6744">
            <w:pPr>
              <w:suppressAutoHyphens/>
              <w:adjustRightInd w:val="0"/>
              <w:rPr>
                <w:i/>
              </w:rPr>
            </w:pPr>
            <w:r w:rsidRPr="00C63689">
              <w:rPr>
                <w:i/>
              </w:rPr>
              <w:t>nutriţie</w:t>
            </w:r>
          </w:p>
          <w:p w:rsidR="00D937BF" w:rsidRPr="00C63689" w:rsidRDefault="00D937BF" w:rsidP="006E6744">
            <w:pPr>
              <w:suppressAutoHyphens/>
              <w:adjustRightInd w:val="0"/>
              <w:ind w:left="720"/>
            </w:pPr>
            <w:r w:rsidRPr="00C63689">
              <w:t>Anorexie</w:t>
            </w:r>
          </w:p>
          <w:p w:rsidR="00D937BF" w:rsidRPr="00C63689" w:rsidRDefault="00D937BF" w:rsidP="006E6744">
            <w:pPr>
              <w:suppressAutoHyphens/>
              <w:adjustRightInd w:val="0"/>
              <w:ind w:left="720"/>
              <w:rPr>
                <w:i/>
              </w:rPr>
            </w:pPr>
            <w:r w:rsidRPr="00C63689">
              <w:t>Scăderea în greutate</w:t>
            </w:r>
          </w:p>
        </w:tc>
        <w:tc>
          <w:tcPr>
            <w:tcW w:w="99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52</w:t>
            </w:r>
          </w:p>
          <w:p w:rsidR="00D937BF" w:rsidRPr="00C63689" w:rsidRDefault="00D937BF" w:rsidP="006E6744">
            <w:pPr>
              <w:suppressAutoHyphens/>
              <w:adjustRightInd w:val="0"/>
              <w:jc w:val="center"/>
            </w:pPr>
            <w:r w:rsidRPr="00C63689">
              <w:rPr>
                <w:rFonts w:eastAsia="MS Mincho"/>
              </w:rPr>
              <w:t>-</w:t>
            </w:r>
          </w:p>
        </w:tc>
        <w:tc>
          <w:tcPr>
            <w:tcW w:w="567"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8</w:t>
            </w:r>
          </w:p>
          <w:p w:rsidR="00D937BF" w:rsidRPr="00C63689" w:rsidRDefault="00D937BF" w:rsidP="006E6744">
            <w:pPr>
              <w:suppressAutoHyphens/>
              <w:adjustRightInd w:val="0"/>
              <w:jc w:val="center"/>
            </w:pPr>
            <w:r w:rsidRPr="00C63689">
              <w:rPr>
                <w:rFonts w:eastAsia="MS Mincho"/>
              </w:rPr>
              <w:t>-</w:t>
            </w:r>
          </w:p>
        </w:tc>
        <w:tc>
          <w:tcPr>
            <w:tcW w:w="708"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1</w:t>
            </w:r>
          </w:p>
          <w:p w:rsidR="00D937BF" w:rsidRPr="00C63689" w:rsidRDefault="00D937BF" w:rsidP="006E6744">
            <w:pPr>
              <w:suppressAutoHyphens/>
              <w:adjustRightInd w:val="0"/>
              <w:jc w:val="center"/>
            </w:pPr>
            <w:r w:rsidRPr="00C63689">
              <w:rPr>
                <w:rFonts w:eastAsia="MS Mincho"/>
              </w:rPr>
              <w:t>-</w:t>
            </w:r>
          </w:p>
        </w:tc>
        <w:tc>
          <w:tcPr>
            <w:tcW w:w="99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39</w:t>
            </w:r>
          </w:p>
        </w:tc>
        <w:tc>
          <w:tcPr>
            <w:tcW w:w="850"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2</w:t>
            </w:r>
          </w:p>
        </w:tc>
        <w:tc>
          <w:tcPr>
            <w:tcW w:w="709"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oculare</w:t>
            </w:r>
          </w:p>
          <w:p w:rsidR="00D937BF" w:rsidRPr="00C63689" w:rsidRDefault="00D937BF" w:rsidP="006E6744">
            <w:pPr>
              <w:suppressAutoHyphens/>
              <w:adjustRightInd w:val="0"/>
              <w:ind w:left="720"/>
            </w:pPr>
            <w:r w:rsidRPr="00C63689">
              <w:t>Keratoconjunctivită sicca</w:t>
            </w:r>
          </w:p>
          <w:p w:rsidR="00D937BF" w:rsidRPr="00C63689" w:rsidRDefault="00D937BF" w:rsidP="006E6744">
            <w:pPr>
              <w:suppressAutoHyphens/>
              <w:adjustRightInd w:val="0"/>
              <w:ind w:left="720"/>
              <w:rPr>
                <w:i/>
              </w:rPr>
            </w:pPr>
            <w:r w:rsidRPr="00C63689">
              <w:t>Conjunctivită</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12</w:t>
            </w:r>
          </w:p>
          <w:p w:rsidR="00D937BF" w:rsidRPr="00C63689" w:rsidRDefault="00D937BF" w:rsidP="006E6744">
            <w:pPr>
              <w:suppressAutoHyphens/>
              <w:adjustRightInd w:val="0"/>
              <w:jc w:val="center"/>
            </w:pPr>
            <w:r w:rsidRPr="00C63689">
              <w:rPr>
                <w:rFonts w:eastAsia="MS Mincho"/>
              </w:rPr>
              <w:t>12</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pPr>
            <w:r w:rsidRPr="00C63689">
              <w:rPr>
                <w:rFonts w:eastAsia="MS Mincho"/>
              </w:rPr>
              <w:t>&lt;</w:t>
            </w:r>
            <w:r w:rsidRPr="00C63689">
              <w:t xml:space="preserve"> </w:t>
            </w:r>
            <w:r w:rsidRPr="00C63689">
              <w:rPr>
                <w:rFonts w:eastAsia="MS Mincho"/>
              </w:rPr>
              <w:t>1</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pPr>
            <w:r w:rsidRPr="00C63689">
              <w:rPr>
                <w:rFonts w:eastAsia="MS Mincho"/>
              </w:rPr>
              <w:t>0</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psihice</w:t>
            </w:r>
          </w:p>
          <w:p w:rsidR="00D937BF" w:rsidRPr="00C63689" w:rsidRDefault="00D937BF" w:rsidP="006E6744">
            <w:pPr>
              <w:suppressAutoHyphens/>
              <w:adjustRightInd w:val="0"/>
              <w:ind w:left="720"/>
            </w:pPr>
            <w:r w:rsidRPr="00C63689">
              <w:t>Depresie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19</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2</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ale sistemului nervos</w:t>
            </w:r>
          </w:p>
          <w:p w:rsidR="00D937BF" w:rsidRPr="00C63689" w:rsidRDefault="00D937BF" w:rsidP="006E6744">
            <w:pPr>
              <w:suppressAutoHyphens/>
              <w:adjustRightInd w:val="0"/>
              <w:ind w:left="720"/>
            </w:pPr>
            <w:r w:rsidRPr="00C63689">
              <w:t>Neuropatie</w:t>
            </w:r>
          </w:p>
          <w:p w:rsidR="00D937BF" w:rsidRPr="00C63689" w:rsidRDefault="00D937BF" w:rsidP="006E6744">
            <w:pPr>
              <w:suppressAutoHyphens/>
              <w:adjustRightInd w:val="0"/>
              <w:ind w:left="720"/>
              <w:rPr>
                <w:i/>
              </w:rPr>
            </w:pPr>
            <w:r w:rsidRPr="00C63689">
              <w:t>Cefalee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13</w:t>
            </w:r>
          </w:p>
          <w:p w:rsidR="00D937BF" w:rsidRPr="00C63689" w:rsidRDefault="00D937BF" w:rsidP="006E6744">
            <w:pPr>
              <w:suppressAutoHyphens/>
              <w:adjustRightInd w:val="0"/>
              <w:jc w:val="center"/>
              <w:rPr>
                <w:rFonts w:eastAsia="MS Mincho"/>
              </w:rPr>
            </w:pPr>
            <w:r w:rsidRPr="00C63689">
              <w:rPr>
                <w:rFonts w:eastAsia="MS Mincho"/>
              </w:rPr>
              <w:t>15</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1</w:t>
            </w:r>
          </w:p>
          <w:p w:rsidR="00D937BF" w:rsidRPr="00C63689" w:rsidRDefault="00D937BF" w:rsidP="006E6744">
            <w:pPr>
              <w:suppressAutoHyphens/>
              <w:adjustRightInd w:val="0"/>
              <w:jc w:val="center"/>
            </w:pPr>
            <w:r w:rsidRPr="00C63689">
              <w:t xml:space="preserve">&lt; </w:t>
            </w:r>
            <w:r w:rsidRPr="00C63689">
              <w:rPr>
                <w:rFonts w:eastAsia="MS Mincho"/>
              </w:rPr>
              <w:t>1</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t xml:space="preserve">&lt; </w:t>
            </w:r>
            <w:r w:rsidRPr="00C63689">
              <w:rPr>
                <w:rFonts w:eastAsia="MS Mincho"/>
              </w:rPr>
              <w:t>1</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respiratorii, toracice</w:t>
            </w:r>
          </w:p>
          <w:p w:rsidR="00D937BF" w:rsidRPr="00C63689" w:rsidRDefault="00D937BF" w:rsidP="006E6744">
            <w:pPr>
              <w:suppressAutoHyphens/>
              <w:adjustRightInd w:val="0"/>
              <w:rPr>
                <w:i/>
              </w:rPr>
            </w:pPr>
            <w:r w:rsidRPr="00C63689">
              <w:rPr>
                <w:i/>
              </w:rPr>
              <w:t>şi mediastinale</w:t>
            </w:r>
          </w:p>
          <w:p w:rsidR="00D937BF" w:rsidRPr="00C63689" w:rsidRDefault="00D937BF" w:rsidP="006E6744">
            <w:pPr>
              <w:suppressAutoHyphens/>
              <w:adjustRightInd w:val="0"/>
              <w:ind w:left="720"/>
            </w:pPr>
            <w:r w:rsidRPr="00C63689">
              <w:t>Dispnee</w:t>
            </w:r>
          </w:p>
          <w:p w:rsidR="00D937BF" w:rsidRPr="00C63689" w:rsidRDefault="00D937BF" w:rsidP="006E6744">
            <w:pPr>
              <w:suppressAutoHyphens/>
              <w:adjustRightInd w:val="0"/>
              <w:ind w:left="720"/>
            </w:pPr>
            <w:r w:rsidRPr="00C63689">
              <w:t>Tuse</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41</w:t>
            </w:r>
          </w:p>
          <w:p w:rsidR="00D937BF" w:rsidRPr="00C63689" w:rsidRDefault="00D937BF" w:rsidP="006E6744">
            <w:pPr>
              <w:suppressAutoHyphens/>
              <w:adjustRightInd w:val="0"/>
              <w:jc w:val="center"/>
            </w:pPr>
            <w:r w:rsidRPr="00C63689">
              <w:rPr>
                <w:rFonts w:eastAsia="MS Mincho"/>
              </w:rPr>
              <w:t>33</w:t>
            </w:r>
          </w:p>
        </w:tc>
        <w:tc>
          <w:tcPr>
            <w:tcW w:w="567"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17</w:t>
            </w:r>
          </w:p>
          <w:p w:rsidR="00D937BF" w:rsidRPr="00C63689" w:rsidRDefault="00D937BF" w:rsidP="006E6744">
            <w:pPr>
              <w:suppressAutoHyphens/>
              <w:adjustRightInd w:val="0"/>
              <w:jc w:val="center"/>
            </w:pPr>
            <w:r w:rsidRPr="00C63689">
              <w:rPr>
                <w:rFonts w:eastAsia="MS Mincho"/>
              </w:rPr>
              <w:t>4</w:t>
            </w:r>
          </w:p>
        </w:tc>
        <w:tc>
          <w:tcPr>
            <w:tcW w:w="708"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11</w:t>
            </w:r>
          </w:p>
          <w:p w:rsidR="00D937BF" w:rsidRPr="00C63689" w:rsidRDefault="00D937BF" w:rsidP="006E6744">
            <w:pPr>
              <w:suppressAutoHyphens/>
              <w:adjustRightInd w:val="0"/>
              <w:jc w:val="center"/>
            </w:pPr>
            <w:r w:rsidRPr="00C63689">
              <w:rPr>
                <w:rFonts w:eastAsia="MS Mincho"/>
              </w:rPr>
              <w:t>0</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16</w:t>
            </w:r>
          </w:p>
        </w:tc>
        <w:tc>
          <w:tcPr>
            <w:tcW w:w="850"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0</w:t>
            </w:r>
          </w:p>
        </w:tc>
        <w:tc>
          <w:tcPr>
            <w:tcW w:w="709"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t>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Tulburări gastrointestinale</w:t>
            </w:r>
          </w:p>
          <w:p w:rsidR="00D937BF" w:rsidRPr="00C63689" w:rsidRDefault="00D937BF" w:rsidP="006E6744">
            <w:pPr>
              <w:suppressAutoHyphens/>
              <w:adjustRightInd w:val="0"/>
              <w:ind w:left="720"/>
            </w:pPr>
            <w:r w:rsidRPr="00C63689">
              <w:t>Diaree**</w:t>
            </w:r>
          </w:p>
          <w:p w:rsidR="00D937BF" w:rsidRPr="00C63689" w:rsidRDefault="00D937BF" w:rsidP="006E6744">
            <w:pPr>
              <w:suppressAutoHyphens/>
              <w:adjustRightInd w:val="0"/>
              <w:ind w:left="720"/>
            </w:pPr>
            <w:r w:rsidRPr="00C63689">
              <w:t>Greaţă</w:t>
            </w:r>
          </w:p>
          <w:p w:rsidR="00D937BF" w:rsidRPr="00C63689" w:rsidRDefault="00D937BF" w:rsidP="006E6744">
            <w:pPr>
              <w:suppressAutoHyphens/>
              <w:adjustRightInd w:val="0"/>
              <w:ind w:left="720"/>
            </w:pPr>
            <w:r w:rsidRPr="00C63689">
              <w:t>Vărsături</w:t>
            </w:r>
          </w:p>
          <w:p w:rsidR="00D937BF" w:rsidRPr="00C63689" w:rsidRDefault="00D937BF" w:rsidP="006E6744">
            <w:pPr>
              <w:suppressAutoHyphens/>
              <w:adjustRightInd w:val="0"/>
              <w:ind w:left="720"/>
            </w:pPr>
            <w:r w:rsidRPr="00C63689">
              <w:t>Stomatită</w:t>
            </w:r>
          </w:p>
          <w:p w:rsidR="00D937BF" w:rsidRPr="00C63689" w:rsidRDefault="00D937BF" w:rsidP="006E6744">
            <w:pPr>
              <w:suppressAutoHyphens/>
              <w:adjustRightInd w:val="0"/>
              <w:ind w:left="720"/>
            </w:pPr>
            <w:r w:rsidRPr="00C63689">
              <w:t>Dureri abdominală</w:t>
            </w:r>
          </w:p>
          <w:p w:rsidR="00D937BF" w:rsidRPr="00C63689" w:rsidRDefault="00D937BF" w:rsidP="006E6744">
            <w:pPr>
              <w:suppressAutoHyphens/>
              <w:adjustRightInd w:val="0"/>
              <w:ind w:left="720"/>
            </w:pPr>
            <w:r w:rsidRPr="00C63689">
              <w:t>Dispepsie</w:t>
            </w:r>
          </w:p>
          <w:p w:rsidR="00D937BF" w:rsidRPr="00C63689" w:rsidRDefault="00D937BF" w:rsidP="006E6744">
            <w:pPr>
              <w:suppressAutoHyphens/>
              <w:adjustRightInd w:val="0"/>
              <w:ind w:left="720"/>
              <w:rPr>
                <w:i/>
              </w:rPr>
            </w:pPr>
            <w:r w:rsidRPr="00C63689">
              <w:t>Flatulenţă</w:t>
            </w:r>
          </w:p>
        </w:tc>
        <w:tc>
          <w:tcPr>
            <w:tcW w:w="993"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54</w:t>
            </w:r>
          </w:p>
          <w:p w:rsidR="00D937BF" w:rsidRPr="00C63689" w:rsidRDefault="00D937BF" w:rsidP="006E6744">
            <w:pPr>
              <w:suppressAutoHyphens/>
              <w:adjustRightInd w:val="0"/>
              <w:jc w:val="center"/>
              <w:rPr>
                <w:rFonts w:eastAsia="MS Mincho"/>
              </w:rPr>
            </w:pPr>
            <w:r w:rsidRPr="00C63689">
              <w:rPr>
                <w:rFonts w:eastAsia="MS Mincho"/>
              </w:rPr>
              <w:t>33</w:t>
            </w:r>
          </w:p>
          <w:p w:rsidR="00D937BF" w:rsidRPr="00C63689" w:rsidRDefault="00D937BF" w:rsidP="006E6744">
            <w:pPr>
              <w:suppressAutoHyphens/>
              <w:adjustRightInd w:val="0"/>
              <w:jc w:val="center"/>
              <w:rPr>
                <w:rFonts w:eastAsia="MS Mincho"/>
              </w:rPr>
            </w:pPr>
            <w:r w:rsidRPr="00C63689">
              <w:rPr>
                <w:rFonts w:eastAsia="MS Mincho"/>
              </w:rPr>
              <w:t>23</w:t>
            </w:r>
          </w:p>
          <w:p w:rsidR="00D937BF" w:rsidRPr="00C63689" w:rsidRDefault="00D937BF" w:rsidP="006E6744">
            <w:pPr>
              <w:suppressAutoHyphens/>
              <w:adjustRightInd w:val="0"/>
              <w:jc w:val="center"/>
              <w:rPr>
                <w:rFonts w:eastAsia="MS Mincho"/>
              </w:rPr>
            </w:pPr>
            <w:r w:rsidRPr="00C63689">
              <w:rPr>
                <w:rFonts w:eastAsia="MS Mincho"/>
              </w:rPr>
              <w:t>17</w:t>
            </w:r>
          </w:p>
          <w:p w:rsidR="00D937BF" w:rsidRPr="00C63689" w:rsidRDefault="00D937BF" w:rsidP="006E6744">
            <w:pPr>
              <w:suppressAutoHyphens/>
              <w:adjustRightInd w:val="0"/>
              <w:jc w:val="center"/>
              <w:rPr>
                <w:rFonts w:eastAsia="MS Mincho"/>
              </w:rPr>
            </w:pPr>
            <w:r w:rsidRPr="00C63689">
              <w:rPr>
                <w:rFonts w:eastAsia="MS Mincho"/>
              </w:rPr>
              <w:t>11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6</w:t>
            </w:r>
          </w:p>
          <w:p w:rsidR="00D937BF" w:rsidRPr="00C63689" w:rsidRDefault="00D937BF" w:rsidP="006E6744">
            <w:pPr>
              <w:suppressAutoHyphens/>
              <w:adjustRightInd w:val="0"/>
              <w:jc w:val="center"/>
              <w:rPr>
                <w:rFonts w:eastAsia="MS Mincho"/>
              </w:rPr>
            </w:pPr>
            <w:r w:rsidRPr="00C63689">
              <w:rPr>
                <w:rFonts w:eastAsia="MS Mincho"/>
              </w:rPr>
              <w:t>3</w:t>
            </w:r>
          </w:p>
          <w:p w:rsidR="00D937BF" w:rsidRPr="00C63689" w:rsidRDefault="00D937BF" w:rsidP="006E6744">
            <w:pPr>
              <w:suppressAutoHyphens/>
              <w:adjustRightInd w:val="0"/>
              <w:jc w:val="center"/>
              <w:rPr>
                <w:rFonts w:eastAsia="MS Mincho"/>
              </w:rPr>
            </w:pPr>
            <w:r w:rsidRPr="00C63689">
              <w:rPr>
                <w:rFonts w:eastAsia="MS Mincho"/>
              </w:rPr>
              <w:t>2</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2</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708"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rPr>
                <w:rFonts w:eastAsia="MS Mincho"/>
              </w:rPr>
              <w:t>-</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48</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rPr>
                <w:rFonts w:eastAsia="MS Mincho"/>
              </w:rPr>
            </w:pPr>
            <w:r w:rsidRPr="00C63689">
              <w:rPr>
                <w:rFonts w:eastAsia="MS Mincho"/>
              </w:rPr>
              <w:t>22</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17</w:t>
            </w:r>
          </w:p>
          <w:p w:rsidR="00D937BF" w:rsidRPr="00C63689" w:rsidRDefault="00D937BF" w:rsidP="006E6744">
            <w:pPr>
              <w:suppressAutoHyphens/>
              <w:adjustRightInd w:val="0"/>
              <w:jc w:val="center"/>
              <w:rPr>
                <w:rFonts w:eastAsia="MS Mincho"/>
              </w:rPr>
            </w:pPr>
            <w:r w:rsidRPr="00C63689">
              <w:rPr>
                <w:rFonts w:eastAsia="MS Mincho"/>
              </w:rPr>
              <w:t>13</w:t>
            </w:r>
          </w:p>
        </w:tc>
        <w:tc>
          <w:tcPr>
            <w:tcW w:w="850" w:type="dxa"/>
          </w:tcPr>
          <w:p w:rsidR="00D937BF" w:rsidRPr="00C63689" w:rsidRDefault="00D937BF" w:rsidP="006E6744">
            <w:pPr>
              <w:suppressAutoHyphens/>
              <w:adjustRightInd w:val="0"/>
              <w:jc w:val="center"/>
              <w:rPr>
                <w:rFonts w:eastAsia="MS Mincho"/>
              </w:rPr>
            </w:pPr>
          </w:p>
          <w:p w:rsidR="00D937BF" w:rsidRPr="00C63689" w:rsidRDefault="00D937BF" w:rsidP="006E6744">
            <w:pPr>
              <w:suppressAutoHyphens/>
              <w:adjustRightInd w:val="0"/>
              <w:jc w:val="center"/>
              <w:rPr>
                <w:rFonts w:eastAsia="MS Mincho"/>
              </w:rPr>
            </w:pPr>
            <w:r w:rsidRPr="00C63689">
              <w:rPr>
                <w:rFonts w:eastAsia="MS Mincho"/>
              </w:rPr>
              <w:t>5</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pPr>
            <w:r w:rsidRPr="00C63689">
              <w:rPr>
                <w:rFonts w:eastAsia="MS Mincho"/>
              </w:rPr>
              <w:t>0</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rPr>
                <w:rFonts w:eastAsia="MS Mincho"/>
              </w:rPr>
            </w:pPr>
            <w:r w:rsidRPr="00C63689">
              <w:rPr>
                <w:rFonts w:eastAsia="MS Mincho"/>
              </w:rPr>
              <w:t>&lt;</w:t>
            </w:r>
            <w:r w:rsidRPr="00C63689">
              <w:t xml:space="preserve"> </w:t>
            </w:r>
            <w:r w:rsidRPr="00C63689">
              <w:rPr>
                <w:rFonts w:eastAsia="MS Mincho"/>
              </w:rPr>
              <w:t>1</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rPr>
                <w:rFonts w:eastAsia="MS Mincho"/>
              </w:rPr>
            </w:pPr>
            <w:r w:rsidRPr="00C63689">
              <w:rPr>
                <w:rFonts w:eastAsia="MS Mincho"/>
              </w:rPr>
              <w:t>-</w:t>
            </w:r>
          </w:p>
          <w:p w:rsidR="00D937BF" w:rsidRPr="00C63689" w:rsidRDefault="00D937BF" w:rsidP="006E6744">
            <w:pPr>
              <w:suppressAutoHyphens/>
              <w:adjustRightInd w:val="0"/>
              <w:jc w:val="center"/>
              <w:rPr>
                <w:rFonts w:eastAsia="MS Mincho"/>
              </w:rPr>
            </w:pPr>
            <w:r w:rsidRPr="00C63689">
              <w:rPr>
                <w:rFonts w:eastAsia="MS Mincho"/>
              </w:rPr>
              <w:t>0</w:t>
            </w:r>
          </w:p>
          <w:p w:rsidR="00D937BF" w:rsidRPr="00C63689" w:rsidRDefault="00D937BF" w:rsidP="006E6744">
            <w:pPr>
              <w:suppressAutoHyphens/>
              <w:adjustRightInd w:val="0"/>
              <w:jc w:val="center"/>
            </w:pPr>
            <w:r w:rsidRPr="00C63689">
              <w:rPr>
                <w:rFonts w:eastAsia="MS Mincho"/>
              </w:rPr>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 foarte frecvente foarte frecvente foarte frecvente foarte frecvente foarte frecvente</w:t>
            </w:r>
          </w:p>
        </w:tc>
      </w:tr>
      <w:tr w:rsidR="00D937BF" w:rsidRPr="00C63689" w:rsidTr="006E6744">
        <w:trPr>
          <w:jc w:val="center"/>
        </w:trPr>
        <w:tc>
          <w:tcPr>
            <w:tcW w:w="3397" w:type="dxa"/>
          </w:tcPr>
          <w:p w:rsidR="00D937BF" w:rsidRPr="00C63689" w:rsidRDefault="00D937BF" w:rsidP="006E6744">
            <w:pPr>
              <w:suppressAutoHyphens/>
              <w:adjustRightInd w:val="0"/>
              <w:rPr>
                <w:i/>
              </w:rPr>
            </w:pPr>
            <w:r w:rsidRPr="00C63689">
              <w:rPr>
                <w:i/>
              </w:rPr>
              <w:t>Afecţiuni cutanate şi ale</w:t>
            </w:r>
          </w:p>
          <w:p w:rsidR="00D937BF" w:rsidRPr="00C63689" w:rsidRDefault="00D937BF" w:rsidP="006E6744">
            <w:pPr>
              <w:suppressAutoHyphens/>
              <w:adjustRightInd w:val="0"/>
              <w:rPr>
                <w:i/>
              </w:rPr>
            </w:pPr>
            <w:r w:rsidRPr="00C63689">
              <w:rPr>
                <w:i/>
              </w:rPr>
              <w:t>ţesutului subcutanat</w:t>
            </w:r>
          </w:p>
          <w:p w:rsidR="00D937BF" w:rsidRPr="00C63689" w:rsidRDefault="00D937BF" w:rsidP="006E6744">
            <w:pPr>
              <w:suppressAutoHyphens/>
              <w:adjustRightInd w:val="0"/>
              <w:ind w:left="720"/>
            </w:pPr>
            <w:r w:rsidRPr="00C63689">
              <w:t>Erupţii cutanate***</w:t>
            </w:r>
          </w:p>
          <w:p w:rsidR="00D937BF" w:rsidRPr="00C63689" w:rsidRDefault="00D937BF" w:rsidP="006E6744">
            <w:pPr>
              <w:suppressAutoHyphens/>
              <w:adjustRightInd w:val="0"/>
              <w:ind w:left="720"/>
            </w:pPr>
            <w:r w:rsidRPr="00C63689">
              <w:t>Prurit</w:t>
            </w:r>
          </w:p>
          <w:p w:rsidR="00D937BF" w:rsidRPr="00C63689" w:rsidRDefault="00D937BF" w:rsidP="006E6744">
            <w:pPr>
              <w:suppressAutoHyphens/>
              <w:adjustRightInd w:val="0"/>
              <w:ind w:left="720"/>
            </w:pPr>
            <w:r w:rsidRPr="00C63689">
              <w:t>Piele uscată</w:t>
            </w:r>
          </w:p>
          <w:p w:rsidR="00D937BF" w:rsidRPr="00C63689" w:rsidRDefault="00D937BF" w:rsidP="006E6744">
            <w:pPr>
              <w:suppressAutoHyphens/>
              <w:adjustRightInd w:val="0"/>
              <w:ind w:left="720"/>
            </w:pPr>
            <w:r w:rsidRPr="00C63689">
              <w:t>Alopecie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75</w:t>
            </w:r>
          </w:p>
          <w:p w:rsidR="00D937BF" w:rsidRPr="00C63689" w:rsidRDefault="00D937BF" w:rsidP="006E6744">
            <w:pPr>
              <w:suppressAutoHyphens/>
              <w:adjustRightInd w:val="0"/>
              <w:jc w:val="center"/>
            </w:pPr>
            <w:r w:rsidRPr="00C63689">
              <w:t>13</w:t>
            </w:r>
          </w:p>
          <w:p w:rsidR="00D937BF" w:rsidRPr="00C63689" w:rsidRDefault="00D937BF" w:rsidP="006E6744">
            <w:pPr>
              <w:suppressAutoHyphens/>
              <w:adjustRightInd w:val="0"/>
              <w:jc w:val="center"/>
            </w:pPr>
            <w:r w:rsidRPr="00C63689">
              <w:t>12</w:t>
            </w: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8</w:t>
            </w:r>
          </w:p>
          <w:p w:rsidR="00D937BF" w:rsidRPr="00C63689" w:rsidRDefault="00D937BF" w:rsidP="006E6744">
            <w:pPr>
              <w:suppressAutoHyphens/>
              <w:adjustRightInd w:val="0"/>
              <w:jc w:val="center"/>
            </w:pPr>
            <w:r w:rsidRPr="00C63689">
              <w:t>&lt; 1</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&lt; 1</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69</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14</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5</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0</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0</w:t>
            </w:r>
          </w:p>
        </w:tc>
        <w:tc>
          <w:tcPr>
            <w:tcW w:w="1843" w:type="dxa"/>
          </w:tcPr>
          <w:p w:rsidR="00D937BF"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 foarte frecvente foarte frecvente</w:t>
            </w:r>
          </w:p>
        </w:tc>
      </w:tr>
      <w:tr w:rsidR="00D937BF" w:rsidRPr="006A113D" w:rsidTr="006E6744">
        <w:trPr>
          <w:jc w:val="center"/>
        </w:trPr>
        <w:tc>
          <w:tcPr>
            <w:tcW w:w="3397" w:type="dxa"/>
          </w:tcPr>
          <w:p w:rsidR="00D937BF" w:rsidRPr="00C63689" w:rsidRDefault="00D937BF" w:rsidP="006E6744">
            <w:pPr>
              <w:suppressAutoHyphens/>
              <w:adjustRightInd w:val="0"/>
              <w:rPr>
                <w:i/>
              </w:rPr>
            </w:pPr>
            <w:r w:rsidRPr="00C63689">
              <w:rPr>
                <w:i/>
              </w:rPr>
              <w:t>Tulburări generale şi la nivelul</w:t>
            </w:r>
          </w:p>
          <w:p w:rsidR="00D937BF" w:rsidRPr="00C63689" w:rsidRDefault="00D937BF" w:rsidP="006E6744">
            <w:pPr>
              <w:suppressAutoHyphens/>
              <w:adjustRightInd w:val="0"/>
              <w:rPr>
                <w:i/>
              </w:rPr>
            </w:pPr>
            <w:r w:rsidRPr="00C63689">
              <w:rPr>
                <w:i/>
              </w:rPr>
              <w:t>locului de administrare</w:t>
            </w:r>
          </w:p>
          <w:p w:rsidR="00D937BF" w:rsidRPr="00C63689" w:rsidRDefault="00D937BF" w:rsidP="006E6744">
            <w:pPr>
              <w:suppressAutoHyphens/>
              <w:adjustRightInd w:val="0"/>
              <w:ind w:left="720"/>
            </w:pPr>
            <w:r w:rsidRPr="00C63689">
              <w:t>Fatigabilitate</w:t>
            </w:r>
          </w:p>
          <w:p w:rsidR="00D937BF" w:rsidRPr="00C63689" w:rsidRDefault="00D937BF" w:rsidP="006E6744">
            <w:pPr>
              <w:suppressAutoHyphens/>
              <w:adjustRightInd w:val="0"/>
              <w:ind w:left="720"/>
            </w:pPr>
            <w:r w:rsidRPr="00C63689">
              <w:t>Pirexie</w:t>
            </w:r>
          </w:p>
          <w:p w:rsidR="00D937BF" w:rsidRPr="00C63689" w:rsidRDefault="00D937BF" w:rsidP="006E6744">
            <w:pPr>
              <w:suppressAutoHyphens/>
              <w:adjustRightInd w:val="0"/>
              <w:ind w:left="720"/>
            </w:pPr>
            <w:r w:rsidRPr="00C63689">
              <w:t>Frisoane</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52</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567"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14</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708"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4</w:t>
            </w:r>
          </w:p>
          <w:p w:rsidR="00D937BF" w:rsidRPr="00C63689" w:rsidRDefault="00D937BF" w:rsidP="006E6744">
            <w:pPr>
              <w:suppressAutoHyphens/>
              <w:adjustRightInd w:val="0"/>
              <w:jc w:val="center"/>
            </w:pPr>
            <w:r w:rsidRPr="00C63689">
              <w:t>-</w:t>
            </w:r>
          </w:p>
          <w:p w:rsidR="00D937BF" w:rsidRPr="00C63689" w:rsidRDefault="00D937BF" w:rsidP="006E6744">
            <w:pPr>
              <w:suppressAutoHyphens/>
              <w:adjustRightInd w:val="0"/>
              <w:jc w:val="center"/>
            </w:pPr>
            <w:r w:rsidRPr="00C63689">
              <w:t>-</w:t>
            </w:r>
          </w:p>
        </w:tc>
        <w:tc>
          <w:tcPr>
            <w:tcW w:w="99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73</w:t>
            </w:r>
          </w:p>
          <w:p w:rsidR="00D937BF" w:rsidRPr="00C63689" w:rsidRDefault="00D937BF" w:rsidP="006E6744">
            <w:pPr>
              <w:suppressAutoHyphens/>
              <w:adjustRightInd w:val="0"/>
              <w:jc w:val="center"/>
            </w:pPr>
            <w:r w:rsidRPr="00C63689">
              <w:t>36</w:t>
            </w:r>
          </w:p>
          <w:p w:rsidR="00D937BF" w:rsidRPr="00C63689" w:rsidRDefault="00D937BF" w:rsidP="006E6744">
            <w:pPr>
              <w:suppressAutoHyphens/>
              <w:adjustRightInd w:val="0"/>
              <w:jc w:val="center"/>
            </w:pPr>
            <w:r w:rsidRPr="00C63689">
              <w:t>12</w:t>
            </w:r>
          </w:p>
        </w:tc>
        <w:tc>
          <w:tcPr>
            <w:tcW w:w="850"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14</w:t>
            </w:r>
          </w:p>
          <w:p w:rsidR="00D937BF" w:rsidRPr="00C63689" w:rsidRDefault="00D937BF" w:rsidP="006E6744">
            <w:pPr>
              <w:suppressAutoHyphens/>
              <w:adjustRightInd w:val="0"/>
              <w:jc w:val="center"/>
            </w:pPr>
            <w:r w:rsidRPr="00C63689">
              <w:t>3</w:t>
            </w:r>
          </w:p>
          <w:p w:rsidR="00D937BF" w:rsidRPr="00C63689" w:rsidRDefault="00D937BF" w:rsidP="006E6744">
            <w:pPr>
              <w:suppressAutoHyphens/>
              <w:adjustRightInd w:val="0"/>
              <w:jc w:val="center"/>
            </w:pPr>
            <w:r w:rsidRPr="00C63689">
              <w:t>0</w:t>
            </w:r>
          </w:p>
        </w:tc>
        <w:tc>
          <w:tcPr>
            <w:tcW w:w="709"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2</w:t>
            </w:r>
          </w:p>
          <w:p w:rsidR="00D937BF" w:rsidRPr="00C63689" w:rsidRDefault="00D937BF" w:rsidP="006E6744">
            <w:pPr>
              <w:suppressAutoHyphens/>
              <w:adjustRightInd w:val="0"/>
              <w:jc w:val="center"/>
            </w:pPr>
            <w:r w:rsidRPr="00C63689">
              <w:t>0</w:t>
            </w:r>
          </w:p>
          <w:p w:rsidR="00D937BF" w:rsidRPr="00C63689" w:rsidRDefault="00D937BF" w:rsidP="006E6744">
            <w:pPr>
              <w:suppressAutoHyphens/>
              <w:adjustRightInd w:val="0"/>
              <w:jc w:val="center"/>
            </w:pPr>
            <w:r w:rsidRPr="00C63689">
              <w:t>0</w:t>
            </w:r>
          </w:p>
        </w:tc>
        <w:tc>
          <w:tcPr>
            <w:tcW w:w="1843" w:type="dxa"/>
          </w:tcPr>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p>
          <w:p w:rsidR="00D937BF" w:rsidRPr="00C63689" w:rsidRDefault="00D937BF" w:rsidP="006E6744">
            <w:pPr>
              <w:suppressAutoHyphens/>
              <w:adjustRightInd w:val="0"/>
              <w:jc w:val="center"/>
            </w:pPr>
            <w:r w:rsidRPr="00C63689">
              <w:t>foarte frecvente foarte frecvente</w:t>
            </w:r>
          </w:p>
          <w:p w:rsidR="00D937BF" w:rsidRPr="006A113D" w:rsidRDefault="00D937BF" w:rsidP="006E6744">
            <w:pPr>
              <w:suppressAutoHyphens/>
              <w:adjustRightInd w:val="0"/>
              <w:jc w:val="center"/>
            </w:pPr>
            <w:r w:rsidRPr="00C63689">
              <w:t>foarte frecvente</w:t>
            </w:r>
          </w:p>
        </w:tc>
      </w:tr>
    </w:tbl>
    <w:p w:rsidR="001D6450" w:rsidRPr="00885DAE" w:rsidRDefault="001D6450" w:rsidP="001D6450">
      <w:pPr>
        <w:spacing w:line="209" w:lineRule="exact"/>
      </w:pPr>
    </w:p>
    <w:p w:rsidR="00930956" w:rsidRDefault="00930956" w:rsidP="00D937BF">
      <w:pPr>
        <w:spacing w:line="20" w:lineRule="exact"/>
        <w:rPr>
          <w:sz w:val="20"/>
          <w:szCs w:val="20"/>
        </w:rPr>
      </w:pPr>
    </w:p>
    <w:p w:rsidR="001D6450" w:rsidRDefault="001D6450" w:rsidP="001D6450">
      <w:pPr>
        <w:widowControl/>
        <w:numPr>
          <w:ilvl w:val="0"/>
          <w:numId w:val="5"/>
        </w:numPr>
        <w:tabs>
          <w:tab w:val="left" w:pos="289"/>
        </w:tabs>
        <w:autoSpaceDE/>
        <w:autoSpaceDN/>
        <w:spacing w:line="239" w:lineRule="auto"/>
        <w:ind w:left="140" w:right="2620" w:hanging="2"/>
        <w:rPr>
          <w:sz w:val="20"/>
          <w:szCs w:val="20"/>
        </w:rPr>
      </w:pPr>
      <w:r>
        <w:rPr>
          <w:sz w:val="20"/>
          <w:szCs w:val="20"/>
        </w:rPr>
        <w:t>Infecţiile severe, cu sau fără neutropenie, au inclus pneumonie, sepsis şi celulită. ** Poate determina deshidratare, hipokaliemie şi insuficienţă renală.</w:t>
      </w:r>
    </w:p>
    <w:p w:rsidR="001D6450" w:rsidRPr="00930956" w:rsidRDefault="001D6450" w:rsidP="00930956">
      <w:pPr>
        <w:spacing w:line="306" w:lineRule="auto"/>
        <w:ind w:left="140" w:right="4280"/>
        <w:rPr>
          <w:sz w:val="20"/>
          <w:szCs w:val="20"/>
        </w:rPr>
        <w:sectPr w:rsidR="001D6450" w:rsidRPr="00930956">
          <w:headerReference w:type="default" r:id="rId11"/>
          <w:footerReference w:type="default" r:id="rId12"/>
          <w:pgSz w:w="11900" w:h="16841"/>
          <w:pgMar w:top="1174" w:right="1266" w:bottom="192" w:left="1280" w:header="0" w:footer="0" w:gutter="0"/>
          <w:cols w:space="720" w:equalWidth="0">
            <w:col w:w="9360"/>
          </w:cols>
        </w:sectPr>
      </w:pPr>
      <w:r>
        <w:rPr>
          <w:sz w:val="19"/>
          <w:szCs w:val="19"/>
        </w:rPr>
        <w:t>*** Erupţii cutanate tranzitorii inclusiv dermatită acneiformă. - corespunde unei proporţii situate sub valoarea limită</w:t>
      </w:r>
    </w:p>
    <w:p w:rsidR="001D6450" w:rsidRDefault="001D6450" w:rsidP="00930956">
      <w:pPr>
        <w:tabs>
          <w:tab w:val="left" w:pos="1240"/>
        </w:tabs>
        <w:rPr>
          <w:sz w:val="20"/>
          <w:szCs w:val="20"/>
        </w:rPr>
      </w:pPr>
      <w:bookmarkStart w:id="9" w:name="page13"/>
      <w:bookmarkEnd w:id="9"/>
      <w:r>
        <w:t>Tabelul 2:</w:t>
      </w:r>
      <w:r>
        <w:rPr>
          <w:sz w:val="20"/>
          <w:szCs w:val="20"/>
        </w:rPr>
        <w:tab/>
      </w:r>
      <w:r>
        <w:rPr>
          <w:sz w:val="21"/>
          <w:szCs w:val="21"/>
        </w:rPr>
        <w:t>Prezentarea RAM pe categorii de frecvenţă:</w:t>
      </w:r>
    </w:p>
    <w:p w:rsidR="001D6450" w:rsidRDefault="001D6450" w:rsidP="001D6450">
      <w:pPr>
        <w:spacing w:line="26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80"/>
        <w:gridCol w:w="1220"/>
        <w:gridCol w:w="1860"/>
        <w:gridCol w:w="1380"/>
        <w:gridCol w:w="1480"/>
        <w:gridCol w:w="1740"/>
      </w:tblGrid>
      <w:tr w:rsidR="001D6450" w:rsidTr="00D5675E">
        <w:trPr>
          <w:trHeight w:val="253"/>
        </w:trPr>
        <w:tc>
          <w:tcPr>
            <w:tcW w:w="1680" w:type="dxa"/>
            <w:vAlign w:val="bottom"/>
          </w:tcPr>
          <w:p w:rsidR="001D6450" w:rsidRDefault="001D6450" w:rsidP="00D5675E">
            <w:pPr>
              <w:ind w:left="120"/>
              <w:rPr>
                <w:sz w:val="20"/>
                <w:szCs w:val="20"/>
              </w:rPr>
            </w:pPr>
            <w:r>
              <w:rPr>
                <w:b/>
                <w:bCs/>
              </w:rPr>
              <w:t>Aparate,</w:t>
            </w:r>
          </w:p>
        </w:tc>
        <w:tc>
          <w:tcPr>
            <w:tcW w:w="1220" w:type="dxa"/>
            <w:vAlign w:val="bottom"/>
          </w:tcPr>
          <w:p w:rsidR="001D6450" w:rsidRDefault="001D6450" w:rsidP="00D5675E">
            <w:pPr>
              <w:ind w:left="100"/>
              <w:rPr>
                <w:sz w:val="20"/>
                <w:szCs w:val="20"/>
              </w:rPr>
            </w:pPr>
            <w:r>
              <w:rPr>
                <w:b/>
                <w:bCs/>
              </w:rPr>
              <w:t>Foarte</w:t>
            </w:r>
          </w:p>
        </w:tc>
        <w:tc>
          <w:tcPr>
            <w:tcW w:w="1860" w:type="dxa"/>
            <w:vAlign w:val="bottom"/>
          </w:tcPr>
          <w:p w:rsidR="001D6450" w:rsidRDefault="001D6450" w:rsidP="00D5675E">
            <w:pPr>
              <w:ind w:left="120"/>
              <w:rPr>
                <w:sz w:val="20"/>
                <w:szCs w:val="20"/>
              </w:rPr>
            </w:pPr>
            <w:r>
              <w:rPr>
                <w:b/>
                <w:bCs/>
              </w:rPr>
              <w:t>Frecvente</w:t>
            </w:r>
          </w:p>
        </w:tc>
        <w:tc>
          <w:tcPr>
            <w:tcW w:w="1380" w:type="dxa"/>
            <w:vAlign w:val="bottom"/>
          </w:tcPr>
          <w:p w:rsidR="001D6450" w:rsidRDefault="001D6450" w:rsidP="00D5675E">
            <w:pPr>
              <w:ind w:left="140"/>
              <w:rPr>
                <w:sz w:val="20"/>
                <w:szCs w:val="20"/>
              </w:rPr>
            </w:pPr>
            <w:r>
              <w:rPr>
                <w:b/>
                <w:bCs/>
              </w:rPr>
              <w:t>Mai puţin</w:t>
            </w:r>
          </w:p>
        </w:tc>
        <w:tc>
          <w:tcPr>
            <w:tcW w:w="1480" w:type="dxa"/>
            <w:vAlign w:val="bottom"/>
          </w:tcPr>
          <w:p w:rsidR="001D6450" w:rsidRDefault="001D6450" w:rsidP="00D5675E">
            <w:pPr>
              <w:ind w:left="120"/>
              <w:rPr>
                <w:sz w:val="20"/>
                <w:szCs w:val="20"/>
              </w:rPr>
            </w:pPr>
            <w:r>
              <w:rPr>
                <w:b/>
                <w:bCs/>
              </w:rPr>
              <w:t>Rare</w:t>
            </w:r>
          </w:p>
        </w:tc>
        <w:tc>
          <w:tcPr>
            <w:tcW w:w="1740" w:type="dxa"/>
            <w:vAlign w:val="bottom"/>
          </w:tcPr>
          <w:p w:rsidR="001D6450" w:rsidRDefault="001D6450" w:rsidP="00D5675E">
            <w:pPr>
              <w:ind w:left="120"/>
              <w:rPr>
                <w:sz w:val="20"/>
                <w:szCs w:val="20"/>
              </w:rPr>
            </w:pPr>
            <w:r>
              <w:rPr>
                <w:b/>
                <w:bCs/>
              </w:rPr>
              <w:t>Foarte rare</w:t>
            </w: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rPr>
                <w:b/>
                <w:bCs/>
              </w:rPr>
              <w:t>sisteme şi</w:t>
            </w:r>
          </w:p>
        </w:tc>
        <w:tc>
          <w:tcPr>
            <w:tcW w:w="1220" w:type="dxa"/>
            <w:vAlign w:val="bottom"/>
          </w:tcPr>
          <w:p w:rsidR="001D6450" w:rsidRDefault="001D6450" w:rsidP="00D5675E">
            <w:pPr>
              <w:spacing w:line="252" w:lineRule="exact"/>
              <w:ind w:left="100"/>
              <w:rPr>
                <w:sz w:val="20"/>
                <w:szCs w:val="20"/>
              </w:rPr>
            </w:pPr>
            <w:r>
              <w:rPr>
                <w:b/>
                <w:bCs/>
              </w:rPr>
              <w:t>frecvente</w:t>
            </w:r>
          </w:p>
        </w:tc>
        <w:tc>
          <w:tcPr>
            <w:tcW w:w="1860" w:type="dxa"/>
            <w:vAlign w:val="bottom"/>
          </w:tcPr>
          <w:p w:rsidR="001D6450" w:rsidRDefault="001D6450" w:rsidP="00D5675E">
            <w:pPr>
              <w:spacing w:line="252" w:lineRule="exact"/>
              <w:ind w:left="120"/>
              <w:rPr>
                <w:sz w:val="20"/>
                <w:szCs w:val="20"/>
              </w:rPr>
            </w:pPr>
            <w:r>
              <w:rPr>
                <w:b/>
                <w:bCs/>
              </w:rPr>
              <w:t>(≥1/100 şi</w:t>
            </w:r>
            <w:r>
              <w:rPr>
                <w:rFonts w:ascii="Arial" w:eastAsia="Arial" w:hAnsi="Arial" w:cs="Arial"/>
                <w:b/>
                <w:bCs/>
              </w:rPr>
              <w:t xml:space="preserve"> &lt;</w:t>
            </w:r>
            <w:r>
              <w:rPr>
                <w:b/>
                <w:bCs/>
              </w:rPr>
              <w:t>1/10)</w:t>
            </w:r>
          </w:p>
        </w:tc>
        <w:tc>
          <w:tcPr>
            <w:tcW w:w="1380" w:type="dxa"/>
            <w:vAlign w:val="bottom"/>
          </w:tcPr>
          <w:p w:rsidR="001D6450" w:rsidRDefault="001D6450" w:rsidP="00D5675E">
            <w:pPr>
              <w:spacing w:line="252" w:lineRule="exact"/>
              <w:ind w:left="140"/>
              <w:rPr>
                <w:sz w:val="20"/>
                <w:szCs w:val="20"/>
              </w:rPr>
            </w:pPr>
            <w:r>
              <w:rPr>
                <w:b/>
                <w:bCs/>
              </w:rPr>
              <w:t>frecvente</w:t>
            </w:r>
          </w:p>
        </w:tc>
        <w:tc>
          <w:tcPr>
            <w:tcW w:w="1480" w:type="dxa"/>
            <w:vAlign w:val="bottom"/>
          </w:tcPr>
          <w:p w:rsidR="001D6450" w:rsidRDefault="001D6450" w:rsidP="00D5675E">
            <w:pPr>
              <w:spacing w:line="252" w:lineRule="exact"/>
              <w:ind w:left="120"/>
              <w:rPr>
                <w:sz w:val="20"/>
                <w:szCs w:val="20"/>
              </w:rPr>
            </w:pPr>
            <w:r>
              <w:rPr>
                <w:b/>
                <w:bCs/>
              </w:rPr>
              <w:t>(≥1/10000 şi</w:t>
            </w:r>
          </w:p>
        </w:tc>
        <w:tc>
          <w:tcPr>
            <w:tcW w:w="1740" w:type="dxa"/>
            <w:vAlign w:val="bottom"/>
          </w:tcPr>
          <w:p w:rsidR="001D6450" w:rsidRDefault="001D6450" w:rsidP="00D5675E">
            <w:pPr>
              <w:spacing w:line="252" w:lineRule="exact"/>
              <w:ind w:left="120"/>
              <w:rPr>
                <w:sz w:val="20"/>
                <w:szCs w:val="20"/>
              </w:rPr>
            </w:pPr>
            <w:r>
              <w:rPr>
                <w:b/>
                <w:bCs/>
              </w:rPr>
              <w:t>(&lt;1/10000)</w:t>
            </w:r>
          </w:p>
        </w:tc>
      </w:tr>
      <w:tr w:rsidR="001D6450" w:rsidTr="00D5675E">
        <w:trPr>
          <w:trHeight w:val="271"/>
        </w:trPr>
        <w:tc>
          <w:tcPr>
            <w:tcW w:w="1680" w:type="dxa"/>
            <w:vAlign w:val="bottom"/>
          </w:tcPr>
          <w:p w:rsidR="001D6450" w:rsidRDefault="001D6450" w:rsidP="00D5675E">
            <w:pPr>
              <w:ind w:left="120"/>
              <w:rPr>
                <w:sz w:val="20"/>
                <w:szCs w:val="20"/>
              </w:rPr>
            </w:pPr>
            <w:r>
              <w:rPr>
                <w:b/>
                <w:bCs/>
              </w:rPr>
              <w:t>organe</w:t>
            </w:r>
          </w:p>
        </w:tc>
        <w:tc>
          <w:tcPr>
            <w:tcW w:w="1220" w:type="dxa"/>
            <w:vAlign w:val="bottom"/>
          </w:tcPr>
          <w:p w:rsidR="001D6450" w:rsidRDefault="001D6450" w:rsidP="00D5675E">
            <w:pPr>
              <w:ind w:left="100"/>
              <w:rPr>
                <w:sz w:val="20"/>
                <w:szCs w:val="20"/>
              </w:rPr>
            </w:pPr>
            <w:r>
              <w:rPr>
                <w:b/>
                <w:bCs/>
              </w:rPr>
              <w:t>(≥ 1/10)</w:t>
            </w:r>
          </w:p>
        </w:tc>
        <w:tc>
          <w:tcPr>
            <w:tcW w:w="1860" w:type="dxa"/>
            <w:vAlign w:val="bottom"/>
          </w:tcPr>
          <w:p w:rsidR="001D6450" w:rsidRDefault="001D6450" w:rsidP="00D5675E">
            <w:pPr>
              <w:rPr>
                <w:sz w:val="23"/>
                <w:szCs w:val="23"/>
              </w:rPr>
            </w:pPr>
          </w:p>
        </w:tc>
        <w:tc>
          <w:tcPr>
            <w:tcW w:w="1380" w:type="dxa"/>
            <w:vAlign w:val="bottom"/>
          </w:tcPr>
          <w:p w:rsidR="001D6450" w:rsidRDefault="001D6450" w:rsidP="00D5675E">
            <w:pPr>
              <w:ind w:left="140"/>
              <w:rPr>
                <w:sz w:val="20"/>
                <w:szCs w:val="20"/>
              </w:rPr>
            </w:pPr>
            <w:r>
              <w:rPr>
                <w:b/>
                <w:bCs/>
              </w:rPr>
              <w:t>(≥1/1000 şi</w:t>
            </w:r>
          </w:p>
        </w:tc>
        <w:tc>
          <w:tcPr>
            <w:tcW w:w="1480" w:type="dxa"/>
            <w:vAlign w:val="bottom"/>
          </w:tcPr>
          <w:p w:rsidR="001D6450" w:rsidRDefault="001D6450" w:rsidP="00D5675E">
            <w:pPr>
              <w:ind w:left="120"/>
              <w:rPr>
                <w:sz w:val="20"/>
                <w:szCs w:val="20"/>
              </w:rPr>
            </w:pPr>
            <w:r>
              <w:rPr>
                <w:b/>
                <w:bCs/>
              </w:rPr>
              <w:t>&lt;1/1000)</w:t>
            </w:r>
          </w:p>
        </w:tc>
        <w:tc>
          <w:tcPr>
            <w:tcW w:w="1740" w:type="dxa"/>
            <w:vAlign w:val="bottom"/>
          </w:tcPr>
          <w:p w:rsidR="001D6450" w:rsidRDefault="001D6450" w:rsidP="00D5675E">
            <w:pPr>
              <w:rPr>
                <w:sz w:val="23"/>
                <w:szCs w:val="23"/>
              </w:rPr>
            </w:pPr>
          </w:p>
        </w:tc>
      </w:tr>
      <w:tr w:rsidR="001D6450" w:rsidTr="00D5675E">
        <w:trPr>
          <w:trHeight w:val="281"/>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ind w:left="140"/>
              <w:rPr>
                <w:sz w:val="20"/>
                <w:szCs w:val="20"/>
              </w:rPr>
            </w:pPr>
            <w:r>
              <w:rPr>
                <w:rFonts w:ascii="Arial" w:eastAsia="Arial" w:hAnsi="Arial" w:cs="Arial"/>
                <w:b/>
                <w:bCs/>
              </w:rPr>
              <w:t>&lt;</w:t>
            </w:r>
            <w:r>
              <w:rPr>
                <w:b/>
                <w:bCs/>
              </w:rPr>
              <w:t>1/100)</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rPr>
                <w:sz w:val="18"/>
                <w:szCs w:val="18"/>
              </w:rPr>
            </w:pPr>
          </w:p>
        </w:tc>
        <w:tc>
          <w:tcPr>
            <w:tcW w:w="1860" w:type="dxa"/>
            <w:vAlign w:val="bottom"/>
          </w:tcPr>
          <w:p w:rsidR="001D6450" w:rsidRDefault="001D6450" w:rsidP="00D5675E">
            <w:pPr>
              <w:spacing w:line="213" w:lineRule="exact"/>
              <w:ind w:left="120"/>
              <w:rPr>
                <w:sz w:val="20"/>
                <w:szCs w:val="20"/>
              </w:rPr>
            </w:pPr>
            <w:r>
              <w:t>-Keratită</w:t>
            </w:r>
          </w:p>
        </w:tc>
        <w:tc>
          <w:tcPr>
            <w:tcW w:w="1380" w:type="dxa"/>
            <w:vAlign w:val="bottom"/>
          </w:tcPr>
          <w:p w:rsidR="001D6450" w:rsidRDefault="001D6450" w:rsidP="00D5675E">
            <w:pPr>
              <w:spacing w:line="213" w:lineRule="exact"/>
              <w:ind w:left="140"/>
              <w:rPr>
                <w:sz w:val="20"/>
                <w:szCs w:val="20"/>
              </w:rPr>
            </w:pPr>
            <w:r>
              <w:t>-Modificări</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spacing w:line="213" w:lineRule="exact"/>
              <w:ind w:left="120"/>
              <w:rPr>
                <w:sz w:val="20"/>
                <w:szCs w:val="20"/>
              </w:rPr>
            </w:pPr>
            <w:r>
              <w:t>-Perforaţii</w:t>
            </w:r>
          </w:p>
        </w:tc>
      </w:tr>
      <w:tr w:rsidR="001D6450" w:rsidTr="00D5675E">
        <w:trPr>
          <w:trHeight w:val="252"/>
        </w:trPr>
        <w:tc>
          <w:tcPr>
            <w:tcW w:w="1680" w:type="dxa"/>
            <w:vAlign w:val="bottom"/>
          </w:tcPr>
          <w:p w:rsidR="001D6450" w:rsidRDefault="001D6450" w:rsidP="00D5675E">
            <w:pPr>
              <w:ind w:left="120"/>
              <w:rPr>
                <w:sz w:val="20"/>
                <w:szCs w:val="20"/>
              </w:rPr>
            </w:pPr>
            <w:r>
              <w:t>oculare</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1" w:lineRule="exact"/>
              <w:ind w:left="120"/>
              <w:rPr>
                <w:sz w:val="20"/>
                <w:szCs w:val="20"/>
              </w:rPr>
            </w:pPr>
            <w:r>
              <w:t>-Conjunctivită</w:t>
            </w:r>
            <w:r>
              <w:rPr>
                <w:sz w:val="27"/>
                <w:szCs w:val="27"/>
                <w:vertAlign w:val="superscript"/>
              </w:rPr>
              <w:t>1</w:t>
            </w:r>
          </w:p>
        </w:tc>
        <w:tc>
          <w:tcPr>
            <w:tcW w:w="1380" w:type="dxa"/>
            <w:vAlign w:val="bottom"/>
          </w:tcPr>
          <w:p w:rsidR="001D6450" w:rsidRDefault="001D6450" w:rsidP="00D5675E">
            <w:pPr>
              <w:spacing w:line="251" w:lineRule="exact"/>
              <w:ind w:left="140"/>
              <w:rPr>
                <w:sz w:val="20"/>
                <w:szCs w:val="20"/>
              </w:rPr>
            </w:pPr>
            <w:r>
              <w:t>ale genelor</w:t>
            </w:r>
            <w:r>
              <w:rPr>
                <w:sz w:val="27"/>
                <w:szCs w:val="27"/>
                <w:vertAlign w:val="superscript"/>
              </w:rPr>
              <w:t>2</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ind w:left="120"/>
              <w:rPr>
                <w:sz w:val="20"/>
                <w:szCs w:val="20"/>
              </w:rPr>
            </w:pPr>
            <w:r>
              <w:t>corneene</w:t>
            </w: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rPr>
                <w:sz w:val="21"/>
                <w:szCs w:val="21"/>
              </w:rPr>
            </w:pP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spacing w:line="252" w:lineRule="exact"/>
              <w:ind w:left="120"/>
              <w:rPr>
                <w:sz w:val="20"/>
                <w:szCs w:val="20"/>
              </w:rPr>
            </w:pPr>
            <w:r>
              <w:t>-Ulceraţii</w:t>
            </w: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tc>
        <w:tc>
          <w:tcPr>
            <w:tcW w:w="1480" w:type="dxa"/>
            <w:vAlign w:val="bottom"/>
          </w:tcPr>
          <w:p w:rsidR="001D6450" w:rsidRDefault="001D6450" w:rsidP="00D5675E"/>
        </w:tc>
        <w:tc>
          <w:tcPr>
            <w:tcW w:w="1740" w:type="dxa"/>
            <w:vAlign w:val="bottom"/>
          </w:tcPr>
          <w:p w:rsidR="001D6450" w:rsidRDefault="001D6450" w:rsidP="00D5675E">
            <w:pPr>
              <w:ind w:left="120"/>
              <w:rPr>
                <w:sz w:val="20"/>
                <w:szCs w:val="20"/>
              </w:rPr>
            </w:pPr>
            <w:r>
              <w:t>corneene</w:t>
            </w:r>
          </w:p>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rPr>
                <w:sz w:val="24"/>
                <w:szCs w:val="24"/>
              </w:rPr>
            </w:pP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ind w:left="120"/>
              <w:rPr>
                <w:sz w:val="20"/>
                <w:szCs w:val="20"/>
              </w:rPr>
            </w:pPr>
            <w:r>
              <w:t>-Uveită</w:t>
            </w: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rPr>
                <w:sz w:val="18"/>
                <w:szCs w:val="18"/>
              </w:rPr>
            </w:pPr>
          </w:p>
        </w:tc>
        <w:tc>
          <w:tcPr>
            <w:tcW w:w="1860" w:type="dxa"/>
            <w:vAlign w:val="bottom"/>
          </w:tcPr>
          <w:p w:rsidR="001D6450" w:rsidRDefault="001D6450" w:rsidP="00D5675E">
            <w:pPr>
              <w:spacing w:line="213" w:lineRule="exact"/>
              <w:ind w:left="120"/>
              <w:rPr>
                <w:sz w:val="20"/>
                <w:szCs w:val="20"/>
              </w:rPr>
            </w:pPr>
            <w:r>
              <w:t>-Epistaxis</w:t>
            </w:r>
          </w:p>
        </w:tc>
        <w:tc>
          <w:tcPr>
            <w:tcW w:w="1380" w:type="dxa"/>
            <w:vAlign w:val="bottom"/>
          </w:tcPr>
          <w:p w:rsidR="001D6450" w:rsidRDefault="001D6450" w:rsidP="00D5675E">
            <w:pPr>
              <w:spacing w:line="213" w:lineRule="exact"/>
              <w:ind w:left="140"/>
              <w:rPr>
                <w:sz w:val="20"/>
                <w:szCs w:val="20"/>
              </w:rPr>
            </w:pPr>
            <w:r>
              <w:t>-Boală</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respiratorii,</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pulmonară</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4"/>
        </w:trPr>
        <w:tc>
          <w:tcPr>
            <w:tcW w:w="1680" w:type="dxa"/>
            <w:vAlign w:val="bottom"/>
          </w:tcPr>
          <w:p w:rsidR="001D6450" w:rsidRDefault="001D6450" w:rsidP="00D5675E">
            <w:pPr>
              <w:ind w:left="120"/>
              <w:rPr>
                <w:sz w:val="20"/>
                <w:szCs w:val="20"/>
              </w:rPr>
            </w:pPr>
            <w:r>
              <w:t>toracice şi</w:t>
            </w:r>
          </w:p>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interstiţială</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82"/>
        </w:trPr>
        <w:tc>
          <w:tcPr>
            <w:tcW w:w="1680" w:type="dxa"/>
            <w:tcBorders>
              <w:bottom w:val="single" w:sz="8" w:space="0" w:color="auto"/>
            </w:tcBorders>
            <w:vAlign w:val="bottom"/>
          </w:tcPr>
          <w:p w:rsidR="001D6450" w:rsidRDefault="001D6450" w:rsidP="00D5675E">
            <w:pPr>
              <w:ind w:left="120"/>
              <w:rPr>
                <w:sz w:val="20"/>
                <w:szCs w:val="20"/>
              </w:rPr>
            </w:pPr>
            <w:r>
              <w:t>mediastinale</w:t>
            </w: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spacing w:line="283" w:lineRule="exact"/>
              <w:ind w:left="140"/>
              <w:rPr>
                <w:sz w:val="20"/>
                <w:szCs w:val="20"/>
              </w:rPr>
            </w:pPr>
            <w:r>
              <w:t>(BPI)</w:t>
            </w:r>
            <w:r>
              <w:rPr>
                <w:sz w:val="27"/>
                <w:szCs w:val="27"/>
                <w:vertAlign w:val="superscript"/>
              </w:rPr>
              <w:t>3</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spacing w:line="213" w:lineRule="exact"/>
              <w:ind w:left="100"/>
              <w:rPr>
                <w:sz w:val="20"/>
                <w:szCs w:val="20"/>
              </w:rPr>
            </w:pPr>
            <w:r>
              <w:rPr>
                <w:sz w:val="20"/>
                <w:szCs w:val="20"/>
              </w:rPr>
              <w:t>-Diaree</w:t>
            </w:r>
            <w:r>
              <w:rPr>
                <w:sz w:val="24"/>
                <w:szCs w:val="24"/>
                <w:vertAlign w:val="superscript"/>
              </w:rPr>
              <w:t>7</w:t>
            </w:r>
          </w:p>
        </w:tc>
        <w:tc>
          <w:tcPr>
            <w:tcW w:w="1860" w:type="dxa"/>
            <w:vAlign w:val="bottom"/>
          </w:tcPr>
          <w:p w:rsidR="001D6450" w:rsidRDefault="001D6450" w:rsidP="00D5675E">
            <w:pPr>
              <w:spacing w:line="213" w:lineRule="exact"/>
              <w:ind w:left="120"/>
              <w:rPr>
                <w:sz w:val="20"/>
                <w:szCs w:val="20"/>
              </w:rPr>
            </w:pPr>
            <w:r>
              <w:t>-Sângerări gastro-</w:t>
            </w:r>
          </w:p>
        </w:tc>
        <w:tc>
          <w:tcPr>
            <w:tcW w:w="1380" w:type="dxa"/>
            <w:vAlign w:val="bottom"/>
          </w:tcPr>
          <w:p w:rsidR="001D6450" w:rsidRDefault="001D6450" w:rsidP="00D5675E">
            <w:pPr>
              <w:spacing w:line="213" w:lineRule="exact"/>
              <w:ind w:left="140"/>
              <w:rPr>
                <w:sz w:val="20"/>
                <w:szCs w:val="20"/>
              </w:rPr>
            </w:pPr>
            <w:r>
              <w:t>-Perforaţii</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ind w:left="120"/>
              <w:rPr>
                <w:sz w:val="20"/>
                <w:szCs w:val="20"/>
              </w:rPr>
            </w:pPr>
            <w:r>
              <w:t>gastrointestinale</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1" w:lineRule="exact"/>
              <w:ind w:left="120"/>
              <w:rPr>
                <w:sz w:val="20"/>
                <w:szCs w:val="20"/>
              </w:rPr>
            </w:pPr>
            <w:r>
              <w:t>intestinale</w:t>
            </w:r>
            <w:r>
              <w:rPr>
                <w:sz w:val="27"/>
                <w:szCs w:val="27"/>
                <w:vertAlign w:val="superscript"/>
              </w:rPr>
              <w:t>4, 7</w:t>
            </w:r>
          </w:p>
        </w:tc>
        <w:tc>
          <w:tcPr>
            <w:tcW w:w="1380" w:type="dxa"/>
            <w:vAlign w:val="bottom"/>
          </w:tcPr>
          <w:p w:rsidR="001D6450" w:rsidRDefault="001D6450" w:rsidP="00D5675E">
            <w:pPr>
              <w:ind w:left="140"/>
              <w:rPr>
                <w:sz w:val="20"/>
                <w:szCs w:val="20"/>
              </w:rPr>
            </w:pPr>
            <w:r>
              <w:t>gastro-</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spacing w:line="283" w:lineRule="exact"/>
              <w:ind w:left="140"/>
              <w:rPr>
                <w:sz w:val="20"/>
                <w:szCs w:val="20"/>
              </w:rPr>
            </w:pPr>
            <w:r>
              <w:t>intestinale</w:t>
            </w:r>
            <w:r>
              <w:rPr>
                <w:sz w:val="27"/>
                <w:szCs w:val="27"/>
                <w:vertAlign w:val="superscript"/>
              </w:rPr>
              <w:t>7</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w:t>
            </w:r>
          </w:p>
        </w:tc>
        <w:tc>
          <w:tcPr>
            <w:tcW w:w="1220" w:type="dxa"/>
            <w:vAlign w:val="bottom"/>
          </w:tcPr>
          <w:p w:rsidR="001D6450" w:rsidRDefault="001D6450" w:rsidP="00D5675E">
            <w:pPr>
              <w:spacing w:line="213" w:lineRule="exact"/>
              <w:ind w:left="100"/>
              <w:rPr>
                <w:sz w:val="20"/>
                <w:szCs w:val="20"/>
              </w:rPr>
            </w:pPr>
            <w:r>
              <w:t>-Modificări</w:t>
            </w:r>
          </w:p>
        </w:tc>
        <w:tc>
          <w:tcPr>
            <w:tcW w:w="1860" w:type="dxa"/>
            <w:vAlign w:val="bottom"/>
          </w:tcPr>
          <w:p w:rsidR="001D6450" w:rsidRDefault="001D6450" w:rsidP="00D5675E">
            <w:pPr>
              <w:rPr>
                <w:sz w:val="18"/>
                <w:szCs w:val="18"/>
              </w:rPr>
            </w:pPr>
          </w:p>
        </w:tc>
        <w:tc>
          <w:tcPr>
            <w:tcW w:w="1380" w:type="dxa"/>
            <w:vAlign w:val="bottom"/>
          </w:tcPr>
          <w:p w:rsidR="001D6450" w:rsidRDefault="001D6450" w:rsidP="00D5675E">
            <w:pPr>
              <w:rPr>
                <w:sz w:val="18"/>
                <w:szCs w:val="18"/>
              </w:rPr>
            </w:pPr>
          </w:p>
        </w:tc>
        <w:tc>
          <w:tcPr>
            <w:tcW w:w="1480" w:type="dxa"/>
            <w:vAlign w:val="bottom"/>
          </w:tcPr>
          <w:p w:rsidR="001D6450" w:rsidRDefault="001D6450" w:rsidP="00D5675E">
            <w:pPr>
              <w:spacing w:line="213" w:lineRule="exact"/>
              <w:ind w:left="120"/>
              <w:rPr>
                <w:sz w:val="20"/>
                <w:szCs w:val="20"/>
              </w:rPr>
            </w:pPr>
            <w:r>
              <w:t>-Insuficienţă</w:t>
            </w: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hepato-biliare</w:t>
            </w:r>
          </w:p>
        </w:tc>
        <w:tc>
          <w:tcPr>
            <w:tcW w:w="1220" w:type="dxa"/>
            <w:vAlign w:val="bottom"/>
          </w:tcPr>
          <w:p w:rsidR="001D6450" w:rsidRDefault="001D6450" w:rsidP="00D5675E">
            <w:pPr>
              <w:spacing w:line="252" w:lineRule="exact"/>
              <w:ind w:left="100"/>
              <w:rPr>
                <w:sz w:val="20"/>
                <w:szCs w:val="20"/>
              </w:rPr>
            </w:pPr>
            <w:r>
              <w:t>ale testelor</w:t>
            </w: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rPr>
                <w:sz w:val="21"/>
                <w:szCs w:val="21"/>
              </w:rPr>
            </w:pPr>
          </w:p>
        </w:tc>
        <w:tc>
          <w:tcPr>
            <w:tcW w:w="1480" w:type="dxa"/>
            <w:vAlign w:val="bottom"/>
          </w:tcPr>
          <w:p w:rsidR="001D6450" w:rsidRDefault="001D6450" w:rsidP="00D5675E">
            <w:pPr>
              <w:spacing w:line="251" w:lineRule="exact"/>
              <w:ind w:left="120"/>
              <w:rPr>
                <w:sz w:val="20"/>
                <w:szCs w:val="20"/>
              </w:rPr>
            </w:pPr>
            <w:r>
              <w:t>hepatică</w:t>
            </w:r>
            <w:r>
              <w:rPr>
                <w:sz w:val="27"/>
                <w:szCs w:val="27"/>
                <w:vertAlign w:val="superscript"/>
              </w:rPr>
              <w:t>6</w:t>
            </w:r>
          </w:p>
        </w:tc>
        <w:tc>
          <w:tcPr>
            <w:tcW w:w="1740" w:type="dxa"/>
            <w:vAlign w:val="bottom"/>
          </w:tcPr>
          <w:p w:rsidR="001D6450" w:rsidRDefault="001D6450" w:rsidP="00D5675E">
            <w:pPr>
              <w:rPr>
                <w:sz w:val="21"/>
                <w:szCs w:val="21"/>
              </w:rPr>
            </w:pP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pPr>
              <w:ind w:left="100"/>
              <w:rPr>
                <w:sz w:val="20"/>
                <w:szCs w:val="20"/>
              </w:rPr>
            </w:pPr>
            <w:r>
              <w:t>funcţionale</w:t>
            </w:r>
          </w:p>
        </w:tc>
        <w:tc>
          <w:tcPr>
            <w:tcW w:w="1860" w:type="dxa"/>
            <w:vAlign w:val="bottom"/>
          </w:tcPr>
          <w:p w:rsidR="001D6450" w:rsidRDefault="001D6450" w:rsidP="00D5675E"/>
        </w:tc>
        <w:tc>
          <w:tcPr>
            <w:tcW w:w="1380" w:type="dxa"/>
            <w:vAlign w:val="bottom"/>
          </w:tcPr>
          <w:p w:rsidR="001D6450" w:rsidRDefault="001D6450" w:rsidP="00D5675E"/>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spacing w:line="283" w:lineRule="exact"/>
              <w:ind w:left="100"/>
              <w:rPr>
                <w:sz w:val="20"/>
                <w:szCs w:val="20"/>
              </w:rPr>
            </w:pPr>
            <w:r>
              <w:t>hepatice</w:t>
            </w:r>
            <w:r>
              <w:rPr>
                <w:sz w:val="27"/>
                <w:szCs w:val="27"/>
                <w:vertAlign w:val="superscript"/>
              </w:rPr>
              <w:t>5</w:t>
            </w: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rPr>
                <w:sz w:val="24"/>
                <w:szCs w:val="24"/>
              </w:rPr>
            </w:pP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Afecţiuni</w:t>
            </w:r>
          </w:p>
        </w:tc>
        <w:tc>
          <w:tcPr>
            <w:tcW w:w="1220" w:type="dxa"/>
            <w:vAlign w:val="bottom"/>
          </w:tcPr>
          <w:p w:rsidR="001D6450" w:rsidRDefault="001D6450" w:rsidP="00D5675E">
            <w:pPr>
              <w:spacing w:line="213" w:lineRule="exact"/>
              <w:ind w:left="100"/>
              <w:rPr>
                <w:sz w:val="20"/>
                <w:szCs w:val="20"/>
              </w:rPr>
            </w:pPr>
            <w:r>
              <w:t>- Erupție</w:t>
            </w:r>
          </w:p>
        </w:tc>
        <w:tc>
          <w:tcPr>
            <w:tcW w:w="1860" w:type="dxa"/>
            <w:vAlign w:val="bottom"/>
          </w:tcPr>
          <w:p w:rsidR="001D6450" w:rsidRDefault="001D6450" w:rsidP="00D5675E">
            <w:pPr>
              <w:spacing w:line="213" w:lineRule="exact"/>
              <w:ind w:left="120"/>
              <w:rPr>
                <w:sz w:val="20"/>
                <w:szCs w:val="20"/>
              </w:rPr>
            </w:pPr>
            <w:r>
              <w:t>-Alopecie</w:t>
            </w:r>
          </w:p>
        </w:tc>
        <w:tc>
          <w:tcPr>
            <w:tcW w:w="1380" w:type="dxa"/>
            <w:vAlign w:val="bottom"/>
          </w:tcPr>
          <w:p w:rsidR="001D6450" w:rsidRDefault="001D6450" w:rsidP="00D5675E">
            <w:pPr>
              <w:spacing w:line="213" w:lineRule="exact"/>
              <w:ind w:left="140"/>
              <w:rPr>
                <w:sz w:val="20"/>
                <w:szCs w:val="20"/>
              </w:rPr>
            </w:pPr>
            <w:r>
              <w:t>-Hirsutism</w:t>
            </w:r>
          </w:p>
        </w:tc>
        <w:tc>
          <w:tcPr>
            <w:tcW w:w="1480" w:type="dxa"/>
            <w:vAlign w:val="bottom"/>
          </w:tcPr>
          <w:p w:rsidR="001D6450" w:rsidRDefault="001D6450" w:rsidP="00D5675E">
            <w:pPr>
              <w:spacing w:line="213" w:lineRule="exact"/>
              <w:ind w:left="120"/>
              <w:rPr>
                <w:sz w:val="20"/>
                <w:szCs w:val="20"/>
              </w:rPr>
            </w:pPr>
            <w:r>
              <w:t>-Sindrom de</w:t>
            </w:r>
          </w:p>
        </w:tc>
        <w:tc>
          <w:tcPr>
            <w:tcW w:w="1740" w:type="dxa"/>
            <w:vAlign w:val="bottom"/>
          </w:tcPr>
          <w:p w:rsidR="001D6450" w:rsidRDefault="001D6450" w:rsidP="00D5675E">
            <w:pPr>
              <w:spacing w:line="213" w:lineRule="exact"/>
              <w:ind w:left="120"/>
              <w:rPr>
                <w:sz w:val="20"/>
                <w:szCs w:val="20"/>
              </w:rPr>
            </w:pPr>
            <w:r>
              <w:t>-Sindrom</w:t>
            </w: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cutanate şi ale</w:t>
            </w:r>
          </w:p>
        </w:tc>
        <w:tc>
          <w:tcPr>
            <w:tcW w:w="1220" w:type="dxa"/>
            <w:vAlign w:val="bottom"/>
          </w:tcPr>
          <w:p w:rsidR="001D6450" w:rsidRDefault="001D6450" w:rsidP="00D5675E">
            <w:pPr>
              <w:spacing w:line="252" w:lineRule="exact"/>
              <w:ind w:left="100"/>
              <w:rPr>
                <w:sz w:val="20"/>
                <w:szCs w:val="20"/>
              </w:rPr>
            </w:pPr>
            <w:r>
              <w:t>cutanată</w:t>
            </w:r>
          </w:p>
        </w:tc>
        <w:tc>
          <w:tcPr>
            <w:tcW w:w="1860" w:type="dxa"/>
            <w:vAlign w:val="bottom"/>
          </w:tcPr>
          <w:p w:rsidR="001D6450" w:rsidRDefault="001D6450" w:rsidP="00D5675E">
            <w:pPr>
              <w:spacing w:line="251" w:lineRule="exact"/>
              <w:ind w:left="120"/>
              <w:rPr>
                <w:sz w:val="20"/>
                <w:szCs w:val="20"/>
              </w:rPr>
            </w:pPr>
            <w:r>
              <w:t>-Xeroză cutanată</w:t>
            </w:r>
            <w:r>
              <w:rPr>
                <w:sz w:val="27"/>
                <w:szCs w:val="27"/>
                <w:vertAlign w:val="superscript"/>
              </w:rPr>
              <w:t>1</w:t>
            </w:r>
          </w:p>
        </w:tc>
        <w:tc>
          <w:tcPr>
            <w:tcW w:w="1380" w:type="dxa"/>
            <w:vAlign w:val="bottom"/>
          </w:tcPr>
          <w:p w:rsidR="001D6450" w:rsidRDefault="001D6450" w:rsidP="00D5675E">
            <w:pPr>
              <w:spacing w:line="252" w:lineRule="exact"/>
              <w:ind w:left="140"/>
              <w:rPr>
                <w:sz w:val="20"/>
                <w:szCs w:val="20"/>
              </w:rPr>
            </w:pPr>
            <w:r>
              <w:t>-Modificări</w:t>
            </w:r>
          </w:p>
        </w:tc>
        <w:tc>
          <w:tcPr>
            <w:tcW w:w="1480" w:type="dxa"/>
            <w:vAlign w:val="bottom"/>
          </w:tcPr>
          <w:p w:rsidR="001D6450" w:rsidRDefault="001D6450" w:rsidP="00D5675E">
            <w:pPr>
              <w:spacing w:line="252" w:lineRule="exact"/>
              <w:ind w:left="120"/>
              <w:rPr>
                <w:sz w:val="20"/>
                <w:szCs w:val="20"/>
              </w:rPr>
            </w:pPr>
            <w:r>
              <w:t>eritrodisestezi</w:t>
            </w:r>
          </w:p>
        </w:tc>
        <w:tc>
          <w:tcPr>
            <w:tcW w:w="1740" w:type="dxa"/>
            <w:vAlign w:val="bottom"/>
          </w:tcPr>
          <w:p w:rsidR="001D6450" w:rsidRDefault="001D6450" w:rsidP="00D5675E">
            <w:pPr>
              <w:spacing w:line="252" w:lineRule="exact"/>
              <w:ind w:left="120"/>
              <w:rPr>
                <w:sz w:val="20"/>
                <w:szCs w:val="20"/>
              </w:rPr>
            </w:pPr>
            <w:r>
              <w:t>Stevens-</w:t>
            </w:r>
          </w:p>
        </w:tc>
      </w:tr>
      <w:tr w:rsidR="001D6450" w:rsidTr="00D5675E">
        <w:trPr>
          <w:trHeight w:val="254"/>
        </w:trPr>
        <w:tc>
          <w:tcPr>
            <w:tcW w:w="1680" w:type="dxa"/>
            <w:vAlign w:val="bottom"/>
          </w:tcPr>
          <w:p w:rsidR="001D6450" w:rsidRDefault="001D6450" w:rsidP="00D5675E">
            <w:pPr>
              <w:ind w:left="120"/>
              <w:rPr>
                <w:sz w:val="20"/>
                <w:szCs w:val="20"/>
              </w:rPr>
            </w:pPr>
            <w:r>
              <w:t>ţesutului</w:t>
            </w:r>
          </w:p>
        </w:tc>
        <w:tc>
          <w:tcPr>
            <w:tcW w:w="1220" w:type="dxa"/>
            <w:vAlign w:val="bottom"/>
          </w:tcPr>
          <w:p w:rsidR="001D6450" w:rsidRDefault="001D6450" w:rsidP="00D5675E">
            <w:pPr>
              <w:ind w:left="100"/>
              <w:rPr>
                <w:sz w:val="20"/>
                <w:szCs w:val="20"/>
              </w:rPr>
            </w:pPr>
            <w:r>
              <w:t>tranzitorie</w:t>
            </w:r>
          </w:p>
        </w:tc>
        <w:tc>
          <w:tcPr>
            <w:tcW w:w="1860" w:type="dxa"/>
            <w:vAlign w:val="bottom"/>
          </w:tcPr>
          <w:p w:rsidR="001D6450" w:rsidRDefault="001D6450" w:rsidP="00D5675E">
            <w:pPr>
              <w:ind w:left="120"/>
              <w:rPr>
                <w:sz w:val="20"/>
                <w:szCs w:val="20"/>
              </w:rPr>
            </w:pPr>
            <w:r>
              <w:t>-Paronichie</w:t>
            </w:r>
          </w:p>
        </w:tc>
        <w:tc>
          <w:tcPr>
            <w:tcW w:w="1380" w:type="dxa"/>
            <w:vAlign w:val="bottom"/>
          </w:tcPr>
          <w:p w:rsidR="001D6450" w:rsidRDefault="001D6450" w:rsidP="00D5675E">
            <w:pPr>
              <w:ind w:left="140"/>
              <w:rPr>
                <w:sz w:val="20"/>
                <w:szCs w:val="20"/>
              </w:rPr>
            </w:pPr>
            <w:r>
              <w:t>ale</w:t>
            </w:r>
          </w:p>
        </w:tc>
        <w:tc>
          <w:tcPr>
            <w:tcW w:w="1480" w:type="dxa"/>
            <w:vAlign w:val="bottom"/>
          </w:tcPr>
          <w:p w:rsidR="001D6450" w:rsidRDefault="001D6450" w:rsidP="00D5675E">
            <w:pPr>
              <w:ind w:left="120"/>
              <w:rPr>
                <w:sz w:val="20"/>
                <w:szCs w:val="20"/>
              </w:rPr>
            </w:pPr>
            <w:r>
              <w:t>e palmo-</w:t>
            </w:r>
          </w:p>
        </w:tc>
        <w:tc>
          <w:tcPr>
            <w:tcW w:w="1740" w:type="dxa"/>
            <w:vAlign w:val="bottom"/>
          </w:tcPr>
          <w:p w:rsidR="001D6450" w:rsidRDefault="001D6450" w:rsidP="00D5675E">
            <w:pPr>
              <w:ind w:left="120"/>
              <w:rPr>
                <w:sz w:val="20"/>
                <w:szCs w:val="20"/>
              </w:rPr>
            </w:pPr>
            <w:r>
              <w:t>Johnson/</w:t>
            </w:r>
          </w:p>
        </w:tc>
      </w:tr>
      <w:tr w:rsidR="001D6450" w:rsidTr="00D5675E">
        <w:trPr>
          <w:trHeight w:val="252"/>
        </w:trPr>
        <w:tc>
          <w:tcPr>
            <w:tcW w:w="1680" w:type="dxa"/>
            <w:vAlign w:val="bottom"/>
          </w:tcPr>
          <w:p w:rsidR="001D6450" w:rsidRDefault="001D6450" w:rsidP="00D5675E">
            <w:pPr>
              <w:spacing w:line="252" w:lineRule="exact"/>
              <w:ind w:left="120"/>
              <w:rPr>
                <w:sz w:val="20"/>
                <w:szCs w:val="20"/>
              </w:rPr>
            </w:pPr>
            <w:r>
              <w:t>subcutanat</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2" w:lineRule="exact"/>
              <w:ind w:left="120"/>
              <w:rPr>
                <w:sz w:val="20"/>
                <w:szCs w:val="20"/>
              </w:rPr>
            </w:pPr>
            <w:r>
              <w:t>-Foliculită</w:t>
            </w:r>
          </w:p>
        </w:tc>
        <w:tc>
          <w:tcPr>
            <w:tcW w:w="1380" w:type="dxa"/>
            <w:vAlign w:val="bottom"/>
          </w:tcPr>
          <w:p w:rsidR="001D6450" w:rsidRDefault="001D6450" w:rsidP="00D5675E">
            <w:pPr>
              <w:spacing w:line="252" w:lineRule="exact"/>
              <w:ind w:left="140"/>
              <w:rPr>
                <w:sz w:val="20"/>
                <w:szCs w:val="20"/>
              </w:rPr>
            </w:pPr>
            <w:r>
              <w:t>sprâncenelor</w:t>
            </w:r>
          </w:p>
        </w:tc>
        <w:tc>
          <w:tcPr>
            <w:tcW w:w="1480" w:type="dxa"/>
            <w:vAlign w:val="bottom"/>
          </w:tcPr>
          <w:p w:rsidR="001D6450" w:rsidRDefault="001D6450" w:rsidP="00D5675E">
            <w:pPr>
              <w:spacing w:line="252" w:lineRule="exact"/>
              <w:ind w:left="120"/>
              <w:rPr>
                <w:sz w:val="20"/>
                <w:szCs w:val="20"/>
              </w:rPr>
            </w:pPr>
            <w:r>
              <w:t>plantară</w:t>
            </w:r>
          </w:p>
        </w:tc>
        <w:tc>
          <w:tcPr>
            <w:tcW w:w="1740" w:type="dxa"/>
            <w:vAlign w:val="bottom"/>
          </w:tcPr>
          <w:p w:rsidR="001D6450" w:rsidRDefault="001D6450" w:rsidP="00D5675E">
            <w:pPr>
              <w:spacing w:line="252" w:lineRule="exact"/>
              <w:ind w:left="120"/>
              <w:rPr>
                <w:sz w:val="20"/>
                <w:szCs w:val="20"/>
              </w:rPr>
            </w:pPr>
            <w:r>
              <w:t>Necroliză</w:t>
            </w: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2" w:lineRule="exact"/>
              <w:ind w:left="120"/>
              <w:rPr>
                <w:sz w:val="20"/>
                <w:szCs w:val="20"/>
              </w:rPr>
            </w:pPr>
            <w:r>
              <w:t>-Acnee/dermatită</w:t>
            </w:r>
          </w:p>
        </w:tc>
        <w:tc>
          <w:tcPr>
            <w:tcW w:w="1380" w:type="dxa"/>
            <w:vAlign w:val="bottom"/>
          </w:tcPr>
          <w:p w:rsidR="001D6450" w:rsidRDefault="001D6450" w:rsidP="00D5675E">
            <w:pPr>
              <w:spacing w:line="252" w:lineRule="exact"/>
              <w:ind w:left="140"/>
              <w:rPr>
                <w:sz w:val="20"/>
                <w:szCs w:val="20"/>
              </w:rPr>
            </w:pPr>
            <w:r>
              <w:t>-Unghii</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spacing w:line="252" w:lineRule="exact"/>
              <w:ind w:left="120"/>
              <w:rPr>
                <w:sz w:val="20"/>
                <w:szCs w:val="20"/>
              </w:rPr>
            </w:pPr>
            <w:r>
              <w:t>epidermică</w:t>
            </w: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pPr>
              <w:ind w:left="120"/>
              <w:rPr>
                <w:sz w:val="20"/>
                <w:szCs w:val="20"/>
              </w:rPr>
            </w:pPr>
            <w:r>
              <w:t>acneiformă</w:t>
            </w:r>
          </w:p>
        </w:tc>
        <w:tc>
          <w:tcPr>
            <w:tcW w:w="1380" w:type="dxa"/>
            <w:vAlign w:val="bottom"/>
          </w:tcPr>
          <w:p w:rsidR="001D6450" w:rsidRDefault="001D6450" w:rsidP="00D5675E">
            <w:pPr>
              <w:ind w:left="140"/>
              <w:rPr>
                <w:sz w:val="20"/>
                <w:szCs w:val="20"/>
              </w:rPr>
            </w:pPr>
            <w:r>
              <w:t>casante şi</w:t>
            </w:r>
          </w:p>
        </w:tc>
        <w:tc>
          <w:tcPr>
            <w:tcW w:w="1480" w:type="dxa"/>
            <w:vAlign w:val="bottom"/>
          </w:tcPr>
          <w:p w:rsidR="001D6450" w:rsidRDefault="001D6450" w:rsidP="00D5675E"/>
        </w:tc>
        <w:tc>
          <w:tcPr>
            <w:tcW w:w="1740" w:type="dxa"/>
            <w:vAlign w:val="bottom"/>
          </w:tcPr>
          <w:p w:rsidR="001D6450" w:rsidRDefault="001D6450" w:rsidP="00D5675E">
            <w:pPr>
              <w:ind w:left="120"/>
              <w:rPr>
                <w:sz w:val="20"/>
                <w:szCs w:val="20"/>
              </w:rPr>
            </w:pPr>
            <w:r>
              <w:t>toxică</w:t>
            </w: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spacing w:line="252" w:lineRule="exact"/>
              <w:ind w:left="120"/>
              <w:rPr>
                <w:sz w:val="20"/>
                <w:szCs w:val="20"/>
              </w:rPr>
            </w:pPr>
            <w:r>
              <w:t>-Fisuri cutanate</w:t>
            </w:r>
          </w:p>
        </w:tc>
        <w:tc>
          <w:tcPr>
            <w:tcW w:w="1380" w:type="dxa"/>
            <w:vAlign w:val="bottom"/>
          </w:tcPr>
          <w:p w:rsidR="001D6450" w:rsidRDefault="001D6450" w:rsidP="00D5675E">
            <w:pPr>
              <w:spacing w:line="252" w:lineRule="exact"/>
              <w:ind w:left="140"/>
              <w:rPr>
                <w:sz w:val="20"/>
                <w:szCs w:val="20"/>
              </w:rPr>
            </w:pPr>
            <w:r>
              <w:t>căderea</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5"/>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unghiilor</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-Reacţii</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cutanate</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4"/>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uşoare cum</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52"/>
        </w:trPr>
        <w:tc>
          <w:tcPr>
            <w:tcW w:w="1680" w:type="dxa"/>
            <w:vAlign w:val="bottom"/>
          </w:tcPr>
          <w:p w:rsidR="001D6450" w:rsidRDefault="001D6450" w:rsidP="00D5675E">
            <w:pPr>
              <w:rPr>
                <w:sz w:val="21"/>
                <w:szCs w:val="21"/>
              </w:rPr>
            </w:pP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rPr>
                <w:sz w:val="21"/>
                <w:szCs w:val="21"/>
              </w:rPr>
            </w:pPr>
          </w:p>
        </w:tc>
        <w:tc>
          <w:tcPr>
            <w:tcW w:w="1380" w:type="dxa"/>
            <w:vAlign w:val="bottom"/>
          </w:tcPr>
          <w:p w:rsidR="001D6450" w:rsidRDefault="001D6450" w:rsidP="00D5675E">
            <w:pPr>
              <w:spacing w:line="252" w:lineRule="exact"/>
              <w:ind w:left="140"/>
              <w:rPr>
                <w:sz w:val="20"/>
                <w:szCs w:val="20"/>
              </w:rPr>
            </w:pPr>
            <w:r>
              <w:t>este</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55"/>
        </w:trPr>
        <w:tc>
          <w:tcPr>
            <w:tcW w:w="1680" w:type="dxa"/>
            <w:vAlign w:val="bottom"/>
          </w:tcPr>
          <w:p w:rsidR="001D6450" w:rsidRDefault="001D6450" w:rsidP="00D5675E"/>
        </w:tc>
        <w:tc>
          <w:tcPr>
            <w:tcW w:w="1220" w:type="dxa"/>
            <w:vAlign w:val="bottom"/>
          </w:tcPr>
          <w:p w:rsidR="001D6450" w:rsidRDefault="001D6450" w:rsidP="00D5675E"/>
        </w:tc>
        <w:tc>
          <w:tcPr>
            <w:tcW w:w="1860" w:type="dxa"/>
            <w:vAlign w:val="bottom"/>
          </w:tcPr>
          <w:p w:rsidR="001D6450" w:rsidRDefault="001D6450" w:rsidP="00D5675E"/>
        </w:tc>
        <w:tc>
          <w:tcPr>
            <w:tcW w:w="1380" w:type="dxa"/>
            <w:vAlign w:val="bottom"/>
          </w:tcPr>
          <w:p w:rsidR="001D6450" w:rsidRDefault="001D6450" w:rsidP="00D5675E">
            <w:pPr>
              <w:ind w:left="140"/>
              <w:rPr>
                <w:sz w:val="20"/>
                <w:szCs w:val="20"/>
              </w:rPr>
            </w:pPr>
            <w:r>
              <w:t>hiperpigmen</w:t>
            </w:r>
          </w:p>
        </w:tc>
        <w:tc>
          <w:tcPr>
            <w:tcW w:w="1480" w:type="dxa"/>
            <w:vAlign w:val="bottom"/>
          </w:tcPr>
          <w:p w:rsidR="001D6450" w:rsidRDefault="001D6450" w:rsidP="00D5675E"/>
        </w:tc>
        <w:tc>
          <w:tcPr>
            <w:tcW w:w="1740" w:type="dxa"/>
            <w:vAlign w:val="bottom"/>
          </w:tcPr>
          <w:p w:rsidR="001D6450" w:rsidRDefault="001D6450" w:rsidP="00D5675E"/>
        </w:tc>
      </w:tr>
      <w:tr w:rsidR="001D6450" w:rsidTr="00D5675E">
        <w:trPr>
          <w:trHeight w:val="282"/>
        </w:trPr>
        <w:tc>
          <w:tcPr>
            <w:tcW w:w="1680" w:type="dxa"/>
            <w:tcBorders>
              <w:bottom w:val="single" w:sz="8" w:space="0" w:color="auto"/>
            </w:tcBorders>
            <w:vAlign w:val="bottom"/>
          </w:tcPr>
          <w:p w:rsidR="001D6450" w:rsidRDefault="001D6450" w:rsidP="00D5675E">
            <w:pPr>
              <w:rPr>
                <w:sz w:val="24"/>
                <w:szCs w:val="24"/>
              </w:rPr>
            </w:pPr>
          </w:p>
        </w:tc>
        <w:tc>
          <w:tcPr>
            <w:tcW w:w="1220" w:type="dxa"/>
            <w:tcBorders>
              <w:bottom w:val="single" w:sz="8" w:space="0" w:color="auto"/>
            </w:tcBorders>
            <w:vAlign w:val="bottom"/>
          </w:tcPr>
          <w:p w:rsidR="001D6450" w:rsidRDefault="001D6450" w:rsidP="00D5675E">
            <w:pPr>
              <w:rPr>
                <w:sz w:val="24"/>
                <w:szCs w:val="24"/>
              </w:rPr>
            </w:pPr>
          </w:p>
        </w:tc>
        <w:tc>
          <w:tcPr>
            <w:tcW w:w="1860" w:type="dxa"/>
            <w:tcBorders>
              <w:bottom w:val="single" w:sz="8" w:space="0" w:color="auto"/>
            </w:tcBorders>
            <w:vAlign w:val="bottom"/>
          </w:tcPr>
          <w:p w:rsidR="001D6450" w:rsidRDefault="001D6450" w:rsidP="00D5675E">
            <w:pPr>
              <w:rPr>
                <w:sz w:val="24"/>
                <w:szCs w:val="24"/>
              </w:rPr>
            </w:pPr>
          </w:p>
        </w:tc>
        <w:tc>
          <w:tcPr>
            <w:tcW w:w="1380" w:type="dxa"/>
            <w:tcBorders>
              <w:bottom w:val="single" w:sz="8" w:space="0" w:color="auto"/>
            </w:tcBorders>
            <w:vAlign w:val="bottom"/>
          </w:tcPr>
          <w:p w:rsidR="001D6450" w:rsidRDefault="001D6450" w:rsidP="00D5675E">
            <w:pPr>
              <w:ind w:left="140"/>
              <w:rPr>
                <w:sz w:val="20"/>
                <w:szCs w:val="20"/>
              </w:rPr>
            </w:pPr>
            <w:r>
              <w:t>tarea</w:t>
            </w:r>
          </w:p>
        </w:tc>
        <w:tc>
          <w:tcPr>
            <w:tcW w:w="1480" w:type="dxa"/>
            <w:tcBorders>
              <w:bottom w:val="single" w:sz="8" w:space="0" w:color="auto"/>
            </w:tcBorders>
            <w:vAlign w:val="bottom"/>
          </w:tcPr>
          <w:p w:rsidR="001D6450" w:rsidRDefault="001D6450" w:rsidP="00D5675E">
            <w:pPr>
              <w:rPr>
                <w:sz w:val="24"/>
                <w:szCs w:val="24"/>
              </w:rPr>
            </w:pPr>
          </w:p>
        </w:tc>
        <w:tc>
          <w:tcPr>
            <w:tcW w:w="1740" w:type="dxa"/>
            <w:tcBorders>
              <w:bottom w:val="single" w:sz="8" w:space="0" w:color="auto"/>
            </w:tcBorders>
            <w:vAlign w:val="bottom"/>
          </w:tcPr>
          <w:p w:rsidR="001D6450" w:rsidRDefault="001D6450" w:rsidP="00D5675E">
            <w:pPr>
              <w:rPr>
                <w:sz w:val="24"/>
                <w:szCs w:val="24"/>
              </w:rPr>
            </w:pPr>
          </w:p>
        </w:tc>
      </w:tr>
      <w:tr w:rsidR="001D6450" w:rsidTr="00D5675E">
        <w:trPr>
          <w:trHeight w:val="214"/>
        </w:trPr>
        <w:tc>
          <w:tcPr>
            <w:tcW w:w="1680" w:type="dxa"/>
            <w:vAlign w:val="bottom"/>
          </w:tcPr>
          <w:p w:rsidR="001D6450" w:rsidRDefault="001D6450" w:rsidP="00D5675E">
            <w:pPr>
              <w:spacing w:line="213" w:lineRule="exact"/>
              <w:ind w:left="120"/>
              <w:rPr>
                <w:sz w:val="20"/>
                <w:szCs w:val="20"/>
              </w:rPr>
            </w:pPr>
            <w:r>
              <w:t>Tulburări renale</w:t>
            </w:r>
          </w:p>
        </w:tc>
        <w:tc>
          <w:tcPr>
            <w:tcW w:w="1220" w:type="dxa"/>
            <w:vAlign w:val="bottom"/>
          </w:tcPr>
          <w:p w:rsidR="001D6450" w:rsidRDefault="001D6450" w:rsidP="00D5675E">
            <w:pPr>
              <w:rPr>
                <w:sz w:val="18"/>
                <w:szCs w:val="18"/>
              </w:rPr>
            </w:pPr>
          </w:p>
        </w:tc>
        <w:tc>
          <w:tcPr>
            <w:tcW w:w="1860" w:type="dxa"/>
            <w:vAlign w:val="bottom"/>
          </w:tcPr>
          <w:p w:rsidR="001D6450" w:rsidRDefault="001D6450" w:rsidP="00D5675E">
            <w:pPr>
              <w:spacing w:line="213" w:lineRule="exact"/>
              <w:ind w:left="120"/>
              <w:rPr>
                <w:sz w:val="20"/>
                <w:szCs w:val="20"/>
              </w:rPr>
            </w:pPr>
            <w:r>
              <w:t>-Insuficienţă</w:t>
            </w:r>
          </w:p>
        </w:tc>
        <w:tc>
          <w:tcPr>
            <w:tcW w:w="1380" w:type="dxa"/>
            <w:vAlign w:val="bottom"/>
          </w:tcPr>
          <w:p w:rsidR="001D6450" w:rsidRDefault="001D6450" w:rsidP="00D5675E">
            <w:pPr>
              <w:spacing w:line="213" w:lineRule="exact"/>
              <w:ind w:left="140"/>
              <w:rPr>
                <w:sz w:val="20"/>
                <w:szCs w:val="20"/>
              </w:rPr>
            </w:pPr>
            <w:r>
              <w:rPr>
                <w:sz w:val="20"/>
                <w:szCs w:val="20"/>
              </w:rPr>
              <w:t>-Nefrită</w:t>
            </w:r>
            <w:r>
              <w:rPr>
                <w:sz w:val="24"/>
                <w:szCs w:val="24"/>
                <w:vertAlign w:val="superscript"/>
              </w:rPr>
              <w:t>1</w:t>
            </w:r>
          </w:p>
        </w:tc>
        <w:tc>
          <w:tcPr>
            <w:tcW w:w="1480" w:type="dxa"/>
            <w:vAlign w:val="bottom"/>
          </w:tcPr>
          <w:p w:rsidR="001D6450" w:rsidRDefault="001D6450" w:rsidP="00D5675E">
            <w:pPr>
              <w:rPr>
                <w:sz w:val="18"/>
                <w:szCs w:val="18"/>
              </w:rPr>
            </w:pPr>
          </w:p>
        </w:tc>
        <w:tc>
          <w:tcPr>
            <w:tcW w:w="1740" w:type="dxa"/>
            <w:vAlign w:val="bottom"/>
          </w:tcPr>
          <w:p w:rsidR="001D6450" w:rsidRDefault="001D6450" w:rsidP="00D5675E">
            <w:pPr>
              <w:rPr>
                <w:sz w:val="18"/>
                <w:szCs w:val="18"/>
              </w:rPr>
            </w:pPr>
          </w:p>
        </w:tc>
      </w:tr>
      <w:tr w:rsidR="001D6450" w:rsidTr="00D5675E">
        <w:trPr>
          <w:trHeight w:val="252"/>
        </w:trPr>
        <w:tc>
          <w:tcPr>
            <w:tcW w:w="1680" w:type="dxa"/>
            <w:vAlign w:val="bottom"/>
          </w:tcPr>
          <w:p w:rsidR="001D6450" w:rsidRDefault="001D6450" w:rsidP="00D5675E">
            <w:pPr>
              <w:ind w:left="120"/>
              <w:rPr>
                <w:sz w:val="20"/>
                <w:szCs w:val="20"/>
              </w:rPr>
            </w:pPr>
            <w:r>
              <w:t>şi ale căilor</w:t>
            </w:r>
          </w:p>
        </w:tc>
        <w:tc>
          <w:tcPr>
            <w:tcW w:w="1220" w:type="dxa"/>
            <w:vAlign w:val="bottom"/>
          </w:tcPr>
          <w:p w:rsidR="001D6450" w:rsidRDefault="001D6450" w:rsidP="00D5675E">
            <w:pPr>
              <w:rPr>
                <w:sz w:val="21"/>
                <w:szCs w:val="21"/>
              </w:rPr>
            </w:pPr>
          </w:p>
        </w:tc>
        <w:tc>
          <w:tcPr>
            <w:tcW w:w="1860" w:type="dxa"/>
            <w:vAlign w:val="bottom"/>
          </w:tcPr>
          <w:p w:rsidR="001D6450" w:rsidRDefault="001D6450" w:rsidP="00D5675E">
            <w:pPr>
              <w:ind w:left="120"/>
              <w:rPr>
                <w:sz w:val="20"/>
                <w:szCs w:val="20"/>
              </w:rPr>
            </w:pPr>
            <w:r>
              <w:t>renală</w:t>
            </w:r>
          </w:p>
        </w:tc>
        <w:tc>
          <w:tcPr>
            <w:tcW w:w="1380" w:type="dxa"/>
            <w:vAlign w:val="bottom"/>
          </w:tcPr>
          <w:p w:rsidR="001D6450" w:rsidRDefault="001D6450" w:rsidP="00D5675E">
            <w:pPr>
              <w:spacing w:line="251" w:lineRule="exact"/>
              <w:ind w:left="140"/>
              <w:rPr>
                <w:sz w:val="20"/>
                <w:szCs w:val="20"/>
              </w:rPr>
            </w:pPr>
            <w:r>
              <w:t>-Proteinurie</w:t>
            </w:r>
            <w:r>
              <w:rPr>
                <w:sz w:val="27"/>
                <w:szCs w:val="27"/>
                <w:vertAlign w:val="superscript"/>
              </w:rPr>
              <w:t>1</w:t>
            </w:r>
          </w:p>
        </w:tc>
        <w:tc>
          <w:tcPr>
            <w:tcW w:w="1480" w:type="dxa"/>
            <w:vAlign w:val="bottom"/>
          </w:tcPr>
          <w:p w:rsidR="001D6450" w:rsidRDefault="001D6450" w:rsidP="00D5675E">
            <w:pPr>
              <w:rPr>
                <w:sz w:val="21"/>
                <w:szCs w:val="21"/>
              </w:rPr>
            </w:pPr>
          </w:p>
        </w:tc>
        <w:tc>
          <w:tcPr>
            <w:tcW w:w="1740" w:type="dxa"/>
            <w:vAlign w:val="bottom"/>
          </w:tcPr>
          <w:p w:rsidR="001D6450" w:rsidRDefault="001D6450" w:rsidP="00D5675E">
            <w:pPr>
              <w:rPr>
                <w:sz w:val="21"/>
                <w:szCs w:val="21"/>
              </w:rPr>
            </w:pPr>
          </w:p>
        </w:tc>
      </w:tr>
      <w:tr w:rsidR="001D6450" w:rsidTr="00D5675E">
        <w:trPr>
          <w:trHeight w:val="267"/>
        </w:trPr>
        <w:tc>
          <w:tcPr>
            <w:tcW w:w="1680" w:type="dxa"/>
            <w:vAlign w:val="bottom"/>
          </w:tcPr>
          <w:p w:rsidR="001D6450" w:rsidRDefault="001D6450" w:rsidP="00D5675E">
            <w:pPr>
              <w:ind w:left="120"/>
              <w:rPr>
                <w:sz w:val="20"/>
                <w:szCs w:val="20"/>
              </w:rPr>
            </w:pPr>
            <w:r>
              <w:t>urinare</w:t>
            </w:r>
          </w:p>
        </w:tc>
        <w:tc>
          <w:tcPr>
            <w:tcW w:w="1220" w:type="dxa"/>
            <w:vAlign w:val="bottom"/>
          </w:tcPr>
          <w:p w:rsidR="001D6450" w:rsidRDefault="001D6450" w:rsidP="00D5675E">
            <w:pPr>
              <w:rPr>
                <w:sz w:val="23"/>
                <w:szCs w:val="23"/>
              </w:rPr>
            </w:pPr>
          </w:p>
        </w:tc>
        <w:tc>
          <w:tcPr>
            <w:tcW w:w="1860" w:type="dxa"/>
            <w:vAlign w:val="bottom"/>
          </w:tcPr>
          <w:p w:rsidR="001D6450" w:rsidRDefault="001D6450" w:rsidP="00D5675E">
            <w:pPr>
              <w:rPr>
                <w:sz w:val="23"/>
                <w:szCs w:val="23"/>
              </w:rPr>
            </w:pPr>
          </w:p>
        </w:tc>
        <w:tc>
          <w:tcPr>
            <w:tcW w:w="1380" w:type="dxa"/>
            <w:vAlign w:val="bottom"/>
          </w:tcPr>
          <w:p w:rsidR="001D6450" w:rsidRDefault="001D6450" w:rsidP="00D5675E">
            <w:pPr>
              <w:rPr>
                <w:sz w:val="23"/>
                <w:szCs w:val="23"/>
              </w:rPr>
            </w:pPr>
          </w:p>
        </w:tc>
        <w:tc>
          <w:tcPr>
            <w:tcW w:w="1480" w:type="dxa"/>
            <w:vAlign w:val="bottom"/>
          </w:tcPr>
          <w:p w:rsidR="001D6450" w:rsidRDefault="001D6450" w:rsidP="00D5675E">
            <w:pPr>
              <w:rPr>
                <w:sz w:val="23"/>
                <w:szCs w:val="23"/>
              </w:rPr>
            </w:pPr>
          </w:p>
        </w:tc>
        <w:tc>
          <w:tcPr>
            <w:tcW w:w="1740" w:type="dxa"/>
            <w:vAlign w:val="bottom"/>
          </w:tcPr>
          <w:p w:rsidR="001D6450" w:rsidRDefault="001D6450" w:rsidP="00D5675E">
            <w:pPr>
              <w:rPr>
                <w:sz w:val="23"/>
                <w:szCs w:val="23"/>
              </w:rPr>
            </w:pPr>
          </w:p>
        </w:tc>
      </w:tr>
    </w:tbl>
    <w:p w:rsidR="001D6450" w:rsidRDefault="001D6450" w:rsidP="001D6450">
      <w:pPr>
        <w:spacing w:line="20" w:lineRule="exact"/>
        <w:rPr>
          <w:sz w:val="20"/>
          <w:szCs w:val="20"/>
        </w:rPr>
      </w:pPr>
      <w:r>
        <w:rPr>
          <w:noProof/>
          <w:sz w:val="20"/>
          <w:szCs w:val="20"/>
          <w:lang w:val="en-US"/>
        </w:rPr>
        <mc:AlternateContent>
          <mc:Choice Requires="wps">
            <w:drawing>
              <wp:anchor distT="0" distB="0" distL="114300" distR="114300" simplePos="0" relativeHeight="251670528" behindDoc="1" locked="0" layoutInCell="0" allowOverlap="1" wp14:anchorId="518AD9F3" wp14:editId="56D82A93">
                <wp:simplePos x="0" y="0"/>
                <wp:positionH relativeFrom="column">
                  <wp:posOffset>3175</wp:posOffset>
                </wp:positionH>
                <wp:positionV relativeFrom="paragraph">
                  <wp:posOffset>-5985510</wp:posOffset>
                </wp:positionV>
                <wp:extent cx="5925185" cy="0"/>
                <wp:effectExtent l="0" t="0" r="0" b="0"/>
                <wp:wrapNone/>
                <wp:docPr id="13"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51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39C9ED8" id="Shape 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5pt,-471.3pt" to="466.8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qxugEAAIEDAAAOAAAAZHJzL2Uyb0RvYy54bWysU8uOEzEQvCPxD5bvZCZZErK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1552" behindDoc="1" locked="0" layoutInCell="0" allowOverlap="1" wp14:anchorId="3DE62770" wp14:editId="4183CBF4">
                <wp:simplePos x="0" y="0"/>
                <wp:positionH relativeFrom="column">
                  <wp:posOffset>6350</wp:posOffset>
                </wp:positionH>
                <wp:positionV relativeFrom="paragraph">
                  <wp:posOffset>-5988685</wp:posOffset>
                </wp:positionV>
                <wp:extent cx="0" cy="6005830"/>
                <wp:effectExtent l="0" t="0" r="0" b="0"/>
                <wp:wrapNone/>
                <wp:docPr id="14"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8E3EE67" id="Shape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pt,-471.55pt" to=".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" o:allowincell="f" filled="t" strokeweight=".16967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2576" behindDoc="1" locked="0" layoutInCell="0" allowOverlap="1" wp14:anchorId="7834286D" wp14:editId="03FFE72C">
                <wp:simplePos x="0" y="0"/>
                <wp:positionH relativeFrom="column">
                  <wp:posOffset>1844040</wp:posOffset>
                </wp:positionH>
                <wp:positionV relativeFrom="paragraph">
                  <wp:posOffset>-5988685</wp:posOffset>
                </wp:positionV>
                <wp:extent cx="0" cy="6005830"/>
                <wp:effectExtent l="0" t="0" r="0" b="0"/>
                <wp:wrapNone/>
                <wp:docPr id="15"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13F396F" id="Shape 1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45.2pt,-471.55pt" to="14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" o:allowincell="f" filled="t" strokeweight=".16967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3600" behindDoc="1" locked="0" layoutInCell="0" allowOverlap="1" wp14:anchorId="0B5422FB" wp14:editId="35CEC02A">
                <wp:simplePos x="0" y="0"/>
                <wp:positionH relativeFrom="column">
                  <wp:posOffset>1059180</wp:posOffset>
                </wp:positionH>
                <wp:positionV relativeFrom="paragraph">
                  <wp:posOffset>-5988685</wp:posOffset>
                </wp:positionV>
                <wp:extent cx="0" cy="6005830"/>
                <wp:effectExtent l="0" t="0" r="0" b="0"/>
                <wp:wrapNone/>
                <wp:docPr id="16"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650679" id="Shape 1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83.4pt,-471.55pt" to="8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" o:allowincell="f" filled="t" strokeweight=".16931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4624" behindDoc="1" locked="0" layoutInCell="0" allowOverlap="1" wp14:anchorId="57AEE1F3" wp14:editId="6B1F072F">
                <wp:simplePos x="0" y="0"/>
                <wp:positionH relativeFrom="column">
                  <wp:posOffset>3045460</wp:posOffset>
                </wp:positionH>
                <wp:positionV relativeFrom="paragraph">
                  <wp:posOffset>-5988685</wp:posOffset>
                </wp:positionV>
                <wp:extent cx="0" cy="6005830"/>
                <wp:effectExtent l="0" t="0" r="0" b="0"/>
                <wp:wrapNone/>
                <wp:docPr id="17"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02B656" id="Shape 1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39.8pt,-471.55pt" to="23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5648" behindDoc="1" locked="0" layoutInCell="0" allowOverlap="1" wp14:anchorId="20638319" wp14:editId="24A914A6">
                <wp:simplePos x="0" y="0"/>
                <wp:positionH relativeFrom="column">
                  <wp:posOffset>3912235</wp:posOffset>
                </wp:positionH>
                <wp:positionV relativeFrom="paragraph">
                  <wp:posOffset>-5988685</wp:posOffset>
                </wp:positionV>
                <wp:extent cx="0" cy="6005830"/>
                <wp:effectExtent l="0" t="0" r="0" b="0"/>
                <wp:wrapNone/>
                <wp:docPr id="18"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109DEC" id="Shape 1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08.05pt,-471.55pt" to="30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6672" behindDoc="1" locked="0" layoutInCell="0" allowOverlap="1" wp14:anchorId="0589F17C" wp14:editId="1801D8F9">
                <wp:simplePos x="0" y="0"/>
                <wp:positionH relativeFrom="column">
                  <wp:posOffset>4845050</wp:posOffset>
                </wp:positionH>
                <wp:positionV relativeFrom="paragraph">
                  <wp:posOffset>-5988685</wp:posOffset>
                </wp:positionV>
                <wp:extent cx="0" cy="6005830"/>
                <wp:effectExtent l="0" t="0" r="0" b="0"/>
                <wp:wrapNone/>
                <wp:docPr id="19"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F81F3D" id="Shape 1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81.5pt,-471.55pt" to="38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" o:allowincell="f" filled="t" strokeweight=".48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77696" behindDoc="1" locked="0" layoutInCell="0" allowOverlap="1" wp14:anchorId="19ED8168" wp14:editId="478A280E">
                <wp:simplePos x="0" y="0"/>
                <wp:positionH relativeFrom="column">
                  <wp:posOffset>5925820</wp:posOffset>
                </wp:positionH>
                <wp:positionV relativeFrom="paragraph">
                  <wp:posOffset>-5988685</wp:posOffset>
                </wp:positionV>
                <wp:extent cx="0" cy="6005830"/>
                <wp:effectExtent l="0" t="0" r="0" b="0"/>
                <wp:wrapNone/>
                <wp:docPr id="20"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0058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1065E9" id="Shape 19"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66.6pt,-471.55pt" to="466.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" o:allowincell="f" filled="t" strokeweight=".48pt">
                <v:stroke joinstyle="miter"/>
                <o:lock v:ext="edit" shapetype="f"/>
              </v:line>
            </w:pict>
          </mc:Fallback>
        </mc:AlternateContent>
      </w:r>
    </w:p>
    <w:p w:rsidR="001D6450" w:rsidRDefault="001D6450" w:rsidP="001D6450">
      <w:pPr>
        <w:widowControl/>
        <w:numPr>
          <w:ilvl w:val="0"/>
          <w:numId w:val="6"/>
        </w:numPr>
        <w:tabs>
          <w:tab w:val="left" w:pos="240"/>
        </w:tabs>
        <w:autoSpaceDE/>
        <w:autoSpaceDN/>
        <w:spacing w:line="184" w:lineRule="auto"/>
        <w:ind w:left="240" w:hanging="122"/>
        <w:rPr>
          <w:sz w:val="26"/>
          <w:szCs w:val="26"/>
          <w:vertAlign w:val="superscript"/>
        </w:rPr>
      </w:pPr>
      <w:r>
        <w:rPr>
          <w:sz w:val="20"/>
          <w:szCs w:val="20"/>
        </w:rPr>
        <w:t>În studiul clinic PA.3.</w:t>
      </w:r>
    </w:p>
    <w:p w:rsidR="001D6450" w:rsidRDefault="001D6450" w:rsidP="001D6450">
      <w:pPr>
        <w:spacing w:line="1" w:lineRule="exact"/>
        <w:rPr>
          <w:sz w:val="26"/>
          <w:szCs w:val="26"/>
          <w:vertAlign w:val="superscript"/>
        </w:rPr>
      </w:pPr>
    </w:p>
    <w:p w:rsidR="001D6450" w:rsidRDefault="001D6450" w:rsidP="001D6450">
      <w:pPr>
        <w:widowControl/>
        <w:numPr>
          <w:ilvl w:val="0"/>
          <w:numId w:val="6"/>
        </w:numPr>
        <w:tabs>
          <w:tab w:val="left" w:pos="220"/>
        </w:tabs>
        <w:autoSpaceDE/>
        <w:autoSpaceDN/>
        <w:spacing w:line="184" w:lineRule="auto"/>
        <w:ind w:left="220" w:hanging="102"/>
        <w:rPr>
          <w:sz w:val="26"/>
          <w:szCs w:val="26"/>
          <w:vertAlign w:val="superscript"/>
        </w:rPr>
      </w:pPr>
      <w:r>
        <w:rPr>
          <w:sz w:val="20"/>
          <w:szCs w:val="20"/>
        </w:rPr>
        <w:t>Incluzând creşterea spre interior a genelor, creşterea excesivă şi îngroşarea genelor</w:t>
      </w:r>
    </w:p>
    <w:p w:rsidR="001D6450" w:rsidRDefault="001D6450" w:rsidP="001D6450">
      <w:pPr>
        <w:spacing w:line="1" w:lineRule="exact"/>
        <w:rPr>
          <w:sz w:val="26"/>
          <w:szCs w:val="26"/>
          <w:vertAlign w:val="superscript"/>
        </w:rPr>
      </w:pPr>
    </w:p>
    <w:p w:rsidR="001D6450" w:rsidRDefault="001D6450" w:rsidP="001D6450">
      <w:pPr>
        <w:widowControl/>
        <w:numPr>
          <w:ilvl w:val="0"/>
          <w:numId w:val="6"/>
        </w:numPr>
        <w:tabs>
          <w:tab w:val="left" w:pos="220"/>
        </w:tabs>
        <w:autoSpaceDE/>
        <w:autoSpaceDN/>
        <w:spacing w:line="185" w:lineRule="auto"/>
        <w:ind w:left="220" w:hanging="102"/>
        <w:rPr>
          <w:sz w:val="26"/>
          <w:szCs w:val="26"/>
          <w:vertAlign w:val="superscript"/>
        </w:rPr>
      </w:pPr>
      <w:r>
        <w:rPr>
          <w:sz w:val="20"/>
          <w:szCs w:val="20"/>
        </w:rPr>
        <w:t xml:space="preserve">Incluzând decese, la pacienţii la care s-a administrat </w:t>
      </w:r>
      <w:r w:rsidR="00230783" w:rsidRPr="00230783">
        <w:rPr>
          <w:sz w:val="20"/>
          <w:szCs w:val="20"/>
        </w:rPr>
        <w:t>erlotinib</w:t>
      </w:r>
      <w:r>
        <w:rPr>
          <w:sz w:val="20"/>
          <w:szCs w:val="20"/>
        </w:rPr>
        <w:t xml:space="preserve"> pentru tratamentul NSCLC sau alte</w:t>
      </w:r>
    </w:p>
    <w:p w:rsidR="001D6450" w:rsidRDefault="001D6450" w:rsidP="001D6450">
      <w:pPr>
        <w:ind w:left="260" w:right="640" w:hanging="33"/>
        <w:rPr>
          <w:sz w:val="26"/>
          <w:szCs w:val="26"/>
          <w:vertAlign w:val="superscript"/>
        </w:rPr>
      </w:pPr>
      <w:r>
        <w:rPr>
          <w:sz w:val="20"/>
          <w:szCs w:val="20"/>
        </w:rPr>
        <w:t>tumori solide avansate (vezi pct. 4.4). La pacienţii din Japonia a fost observată o incidenţă mai mare (vezi pct. 4.4).</w:t>
      </w:r>
    </w:p>
    <w:p w:rsidR="001D6450" w:rsidRDefault="001D6450" w:rsidP="001D6450">
      <w:pPr>
        <w:widowControl/>
        <w:numPr>
          <w:ilvl w:val="0"/>
          <w:numId w:val="6"/>
        </w:numPr>
        <w:tabs>
          <w:tab w:val="left" w:pos="234"/>
        </w:tabs>
        <w:autoSpaceDE/>
        <w:autoSpaceDN/>
        <w:spacing w:line="207" w:lineRule="auto"/>
        <w:ind w:left="260" w:right="500" w:hanging="142"/>
        <w:rPr>
          <w:sz w:val="26"/>
          <w:szCs w:val="26"/>
          <w:vertAlign w:val="superscript"/>
        </w:rPr>
      </w:pPr>
      <w:r>
        <w:rPr>
          <w:sz w:val="20"/>
          <w:szCs w:val="20"/>
        </w:rPr>
        <w:t>În studiile clinice, unele cazuri au apărut în relaţie cu administrarea concomitentă de warfarină, iar unele cu administrarea concomitentă de AINS (vezi pct. 4.5).</w:t>
      </w:r>
    </w:p>
    <w:p w:rsidR="001D6450" w:rsidRDefault="001D6450" w:rsidP="001D6450">
      <w:pPr>
        <w:spacing w:line="2" w:lineRule="exact"/>
        <w:rPr>
          <w:sz w:val="26"/>
          <w:szCs w:val="26"/>
          <w:vertAlign w:val="superscript"/>
        </w:rPr>
      </w:pPr>
    </w:p>
    <w:p w:rsidR="001D6450" w:rsidRDefault="001D6450" w:rsidP="001D6450">
      <w:pPr>
        <w:widowControl/>
        <w:numPr>
          <w:ilvl w:val="0"/>
          <w:numId w:val="6"/>
        </w:numPr>
        <w:tabs>
          <w:tab w:val="left" w:pos="228"/>
        </w:tabs>
        <w:autoSpaceDE/>
        <w:autoSpaceDN/>
        <w:spacing w:line="223" w:lineRule="auto"/>
        <w:ind w:left="240" w:right="1200" w:hanging="122"/>
        <w:rPr>
          <w:sz w:val="26"/>
          <w:szCs w:val="26"/>
          <w:vertAlign w:val="superscript"/>
        </w:rPr>
      </w:pPr>
      <w:r>
        <w:rPr>
          <w:sz w:val="20"/>
          <w:szCs w:val="20"/>
        </w:rPr>
        <w:t>Incluzând creşterea valorilor concentraţiilor plasmatice ale alaninaminotrasferazei [ALT], ale aspartataminotransferazei [AST] şi ale bilirubinei. Acestea au fost foarte frecvente în studiul clinic PA.3 şi frecvente în studiul clinic BR.21. Cazurile au fost, în principal, de severitate uşoară până la moderată, tranzitorii sau asociate existenţei metastazelor hepatice.</w:t>
      </w:r>
    </w:p>
    <w:p w:rsidR="001D6450" w:rsidRDefault="001D6450" w:rsidP="001D6450">
      <w:pPr>
        <w:spacing w:line="2" w:lineRule="exact"/>
        <w:rPr>
          <w:sz w:val="26"/>
          <w:szCs w:val="26"/>
          <w:vertAlign w:val="superscript"/>
        </w:rPr>
      </w:pPr>
    </w:p>
    <w:p w:rsidR="001D6450" w:rsidRDefault="001D6450" w:rsidP="001D6450">
      <w:pPr>
        <w:widowControl/>
        <w:numPr>
          <w:ilvl w:val="0"/>
          <w:numId w:val="6"/>
        </w:numPr>
        <w:tabs>
          <w:tab w:val="left" w:pos="240"/>
        </w:tabs>
        <w:autoSpaceDE/>
        <w:autoSpaceDN/>
        <w:spacing w:line="183" w:lineRule="auto"/>
        <w:ind w:left="240" w:hanging="122"/>
        <w:rPr>
          <w:sz w:val="26"/>
          <w:szCs w:val="26"/>
          <w:vertAlign w:val="superscript"/>
        </w:rPr>
      </w:pPr>
      <w:r>
        <w:rPr>
          <w:sz w:val="20"/>
          <w:szCs w:val="20"/>
        </w:rPr>
        <w:t>Incluzând decese. Factorii de risc au inclus afecţiuni hepatice preexistente sau administrarea</w:t>
      </w:r>
    </w:p>
    <w:p w:rsidR="001D6450" w:rsidRDefault="001D6450" w:rsidP="001D6450">
      <w:pPr>
        <w:spacing w:line="20" w:lineRule="exact"/>
        <w:rPr>
          <w:sz w:val="20"/>
          <w:szCs w:val="20"/>
        </w:rPr>
      </w:pPr>
      <w:r>
        <w:rPr>
          <w:noProof/>
          <w:sz w:val="20"/>
          <w:szCs w:val="20"/>
          <w:lang w:val="en-US"/>
        </w:rPr>
        <mc:AlternateContent>
          <mc:Choice Requires="wps">
            <w:drawing>
              <wp:anchor distT="0" distB="0" distL="114300" distR="114300" simplePos="0" relativeHeight="251678720" behindDoc="1" locked="0" layoutInCell="0" allowOverlap="1" wp14:anchorId="1A2F808C" wp14:editId="2B633E12">
                <wp:simplePos x="0" y="0"/>
                <wp:positionH relativeFrom="column">
                  <wp:posOffset>3175</wp:posOffset>
                </wp:positionH>
                <wp:positionV relativeFrom="paragraph">
                  <wp:posOffset>-1737995</wp:posOffset>
                </wp:positionV>
                <wp:extent cx="5925185" cy="0"/>
                <wp:effectExtent l="0" t="0" r="0" b="0"/>
                <wp:wrapNone/>
                <wp:docPr id="21"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51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D23147" id="Shape 2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5pt,-136.85pt" to="466.8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" o:allowincell="f" filled="t" strokeweight=".48pt">
                <v:stroke joinstyle="miter"/>
                <o:lock v:ext="edit" shapetype="f"/>
              </v:line>
            </w:pict>
          </mc:Fallback>
        </mc:AlternateContent>
      </w:r>
    </w:p>
    <w:p w:rsidR="001D6450" w:rsidRDefault="001D6450" w:rsidP="001D6450">
      <w:pPr>
        <w:ind w:left="260"/>
        <w:rPr>
          <w:sz w:val="20"/>
          <w:szCs w:val="20"/>
        </w:rPr>
      </w:pPr>
      <w:r>
        <w:rPr>
          <w:sz w:val="20"/>
          <w:szCs w:val="20"/>
        </w:rPr>
        <w:t>concomitentă de medicamente hepatotoxice (vezi pct. 4.4).</w:t>
      </w:r>
    </w:p>
    <w:p w:rsidR="00D937BF" w:rsidRPr="003F4941" w:rsidRDefault="001D6450" w:rsidP="003F4941">
      <w:pPr>
        <w:widowControl/>
        <w:numPr>
          <w:ilvl w:val="0"/>
          <w:numId w:val="7"/>
        </w:numPr>
        <w:tabs>
          <w:tab w:val="left" w:pos="240"/>
        </w:tabs>
        <w:autoSpaceDE/>
        <w:autoSpaceDN/>
        <w:spacing w:line="214" w:lineRule="auto"/>
        <w:ind w:left="240" w:hanging="122"/>
        <w:rPr>
          <w:sz w:val="26"/>
          <w:szCs w:val="26"/>
          <w:vertAlign w:val="superscript"/>
        </w:rPr>
      </w:pPr>
      <w:r>
        <w:rPr>
          <w:sz w:val="20"/>
          <w:szCs w:val="20"/>
        </w:rPr>
        <w:t>Incluzând decese (vezi pct. 4.4).</w:t>
      </w:r>
    </w:p>
    <w:p w:rsidR="00D937BF" w:rsidRDefault="00D937BF" w:rsidP="001D6450">
      <w:pPr>
        <w:spacing w:line="188" w:lineRule="exact"/>
        <w:rPr>
          <w:sz w:val="20"/>
          <w:szCs w:val="20"/>
        </w:rPr>
      </w:pPr>
    </w:p>
    <w:p w:rsidR="001D6450" w:rsidRPr="00D5675E" w:rsidRDefault="001D6450" w:rsidP="001D6450">
      <w:pPr>
        <w:ind w:left="120"/>
        <w:rPr>
          <w:u w:val="single"/>
        </w:rPr>
      </w:pPr>
      <w:r w:rsidRPr="00D5675E">
        <w:rPr>
          <w:u w:val="single"/>
        </w:rPr>
        <w:t>Raportarea reacţiilor adverse suspectate</w:t>
      </w:r>
    </w:p>
    <w:p w:rsidR="00C00DD8" w:rsidRPr="00D5675E" w:rsidRDefault="00C00DD8" w:rsidP="00C00DD8">
      <w:pPr>
        <w:ind w:left="120"/>
      </w:pPr>
      <w:r w:rsidRPr="00D5675E">
        <w:t xml:space="preserve">Raportarea reacțiilor adverse suspectate după autorizarea medicamentului este importantă. Acest lucru permite monitorizarea continuă a raportului beneficiu/risc al medicamentului. Profesioniștii din domeniul sănătății sunt rugați să raporteze orice reacție adversă suspectată </w:t>
      </w:r>
      <w:r w:rsidR="002C7694">
        <w:t>la</w:t>
      </w:r>
    </w:p>
    <w:p w:rsidR="00C00DD8" w:rsidRPr="00D5675E" w:rsidRDefault="00C00DD8" w:rsidP="00C00DD8">
      <w:pPr>
        <w:ind w:left="120"/>
      </w:pPr>
      <w:r w:rsidRPr="00D5675E">
        <w:t>Agenţia Naţională a Medicamentului şi a Dispozitivelor Medicale din România</w:t>
      </w:r>
    </w:p>
    <w:p w:rsidR="00C00DD8" w:rsidRPr="00D5675E" w:rsidRDefault="00C00DD8" w:rsidP="00C00DD8">
      <w:pPr>
        <w:ind w:left="120"/>
      </w:pPr>
      <w:r w:rsidRPr="00D5675E">
        <w:t>Str. Aviator Sănătescu nr. 48, sector 1</w:t>
      </w:r>
    </w:p>
    <w:p w:rsidR="00C00DD8" w:rsidRPr="00D5675E" w:rsidRDefault="00C00DD8" w:rsidP="00C00DD8">
      <w:pPr>
        <w:ind w:left="120"/>
      </w:pPr>
      <w:r w:rsidRPr="00D5675E">
        <w:t xml:space="preserve">Bucureşti 011478- RO </w:t>
      </w:r>
    </w:p>
    <w:p w:rsidR="00C00DD8" w:rsidRPr="00D5675E" w:rsidRDefault="00C00DD8" w:rsidP="00C00DD8">
      <w:pPr>
        <w:ind w:left="120"/>
      </w:pPr>
      <w:r w:rsidRPr="00D5675E">
        <w:t>e-mail: adr@anm.ro</w:t>
      </w:r>
    </w:p>
    <w:p w:rsidR="00C00DD8" w:rsidRPr="00D5675E" w:rsidRDefault="00C00DD8" w:rsidP="00C00DD8">
      <w:pPr>
        <w:ind w:left="120"/>
      </w:pPr>
      <w:r w:rsidRPr="00D5675E">
        <w:t>Website: www.anm.ro</w:t>
      </w:r>
    </w:p>
    <w:p w:rsidR="001D6450" w:rsidRPr="00D5675E" w:rsidRDefault="001D6450" w:rsidP="001D6450">
      <w:pPr>
        <w:spacing w:line="170" w:lineRule="exact"/>
      </w:pPr>
    </w:p>
    <w:p w:rsidR="00C00DD8" w:rsidRPr="00D5675E" w:rsidRDefault="00C00DD8" w:rsidP="001D6450">
      <w:pPr>
        <w:spacing w:line="170" w:lineRule="exact"/>
      </w:pPr>
    </w:p>
    <w:p w:rsidR="001D6450" w:rsidRPr="00885DAE" w:rsidRDefault="001D6450" w:rsidP="00C00DD8">
      <w:pPr>
        <w:tabs>
          <w:tab w:val="left" w:pos="541"/>
        </w:tabs>
      </w:pPr>
      <w:r w:rsidRPr="00D5675E">
        <w:rPr>
          <w:b/>
          <w:bCs/>
        </w:rPr>
        <w:t>4.9</w:t>
      </w:r>
      <w:r w:rsidRPr="00D5675E">
        <w:rPr>
          <w:b/>
          <w:bCs/>
        </w:rPr>
        <w:tab/>
        <w:t>Supradozaj</w:t>
      </w:r>
    </w:p>
    <w:p w:rsidR="001D6450" w:rsidRPr="00885DAE" w:rsidRDefault="001D6450" w:rsidP="001D6450">
      <w:pPr>
        <w:spacing w:line="251" w:lineRule="exact"/>
      </w:pPr>
    </w:p>
    <w:p w:rsidR="001D6450" w:rsidRPr="00885DAE" w:rsidRDefault="001D6450" w:rsidP="001D6450">
      <w:pPr>
        <w:ind w:left="2"/>
      </w:pPr>
      <w:r w:rsidRPr="00D5675E">
        <w:rPr>
          <w:u w:val="single"/>
        </w:rPr>
        <w:t>Simptome</w:t>
      </w:r>
    </w:p>
    <w:p w:rsidR="001D6450" w:rsidRPr="00885DAE" w:rsidRDefault="001D6450" w:rsidP="001D6450">
      <w:pPr>
        <w:spacing w:line="248" w:lineRule="auto"/>
        <w:ind w:left="2" w:right="126"/>
      </w:pPr>
      <w:r w:rsidRPr="00D5675E">
        <w:t xml:space="preserve">Au fost tolerate doze unice de </w:t>
      </w:r>
      <w:r w:rsidR="002C7694" w:rsidRPr="002C7694">
        <w:t>erlotinib</w:t>
      </w:r>
      <w:r w:rsidRPr="00D5675E">
        <w:t>, administrate pe cale orală, de până la 1000 mg erlotinib la subiecţi sănătoşi şi de până la 1600 mg la pacienţii cu neoplasm. Dozele repetate de 200 mg administrate de 2 ori pe zi la subiecţii sănătoşi au fost puţin tolerate după doar câteva zile de administrare. Pe baza datelor obţinute în urma acestor studii, reacţiile adverse severe precum diareea, erupţiile cutanate şi posibila intensificare a activităţii aminotransferazelor hepatice pot să apară în cazul depăşirii dozei recomandate.</w:t>
      </w:r>
    </w:p>
    <w:p w:rsidR="001D6450" w:rsidRPr="00885DAE" w:rsidRDefault="001D6450" w:rsidP="001D6450">
      <w:pPr>
        <w:spacing w:line="202" w:lineRule="exact"/>
      </w:pPr>
    </w:p>
    <w:p w:rsidR="001D6450" w:rsidRPr="00885DAE" w:rsidRDefault="001D6450" w:rsidP="001D6450">
      <w:pPr>
        <w:ind w:left="2"/>
      </w:pPr>
      <w:r w:rsidRPr="00D5675E">
        <w:rPr>
          <w:u w:val="single"/>
        </w:rPr>
        <w:t>Atitudine terapeutică</w:t>
      </w:r>
    </w:p>
    <w:p w:rsidR="001D6450" w:rsidRPr="00885DAE" w:rsidRDefault="001D6450" w:rsidP="001D6450">
      <w:pPr>
        <w:spacing w:line="281" w:lineRule="auto"/>
        <w:ind w:left="2" w:right="806"/>
      </w:pPr>
      <w:r w:rsidRPr="00D5675E">
        <w:t xml:space="preserve">În cazul suspectării unui supradozaj, administrarea </w:t>
      </w:r>
      <w:r w:rsidR="002C7694" w:rsidRPr="002C7694">
        <w:t>erlotinib</w:t>
      </w:r>
      <w:r w:rsidRPr="00D5675E">
        <w:t xml:space="preserve"> trebuie întreruptă şi trebuie iniţiat tratament simptomatic.</w:t>
      </w:r>
    </w:p>
    <w:p w:rsidR="001D6450" w:rsidRPr="00885DAE" w:rsidRDefault="001D6450" w:rsidP="001D6450">
      <w:pPr>
        <w:spacing w:line="200" w:lineRule="exact"/>
      </w:pPr>
    </w:p>
    <w:p w:rsidR="001D6450" w:rsidRPr="00885DAE" w:rsidRDefault="001D6450" w:rsidP="001D6450">
      <w:pPr>
        <w:spacing w:line="222" w:lineRule="exact"/>
      </w:pPr>
    </w:p>
    <w:p w:rsidR="001D6450" w:rsidRPr="00D5675E" w:rsidRDefault="001D6450" w:rsidP="001D6450">
      <w:pPr>
        <w:widowControl/>
        <w:numPr>
          <w:ilvl w:val="0"/>
          <w:numId w:val="8"/>
        </w:numPr>
        <w:tabs>
          <w:tab w:val="left" w:pos="562"/>
        </w:tabs>
        <w:autoSpaceDE/>
        <w:autoSpaceDN/>
        <w:ind w:left="562" w:hanging="562"/>
        <w:rPr>
          <w:b/>
          <w:bCs/>
        </w:rPr>
      </w:pPr>
      <w:r w:rsidRPr="00D5675E">
        <w:rPr>
          <w:b/>
          <w:bCs/>
        </w:rPr>
        <w:t>PROPRIETĂŢI FARMACOLOGICE</w:t>
      </w:r>
    </w:p>
    <w:p w:rsidR="001D6450" w:rsidRPr="00885DAE" w:rsidRDefault="001D6450" w:rsidP="001D6450">
      <w:pPr>
        <w:spacing w:line="254" w:lineRule="exact"/>
      </w:pPr>
    </w:p>
    <w:p w:rsidR="001D6450" w:rsidRPr="00885DAE" w:rsidRDefault="001D6450" w:rsidP="001D6450">
      <w:pPr>
        <w:tabs>
          <w:tab w:val="left" w:pos="541"/>
        </w:tabs>
        <w:ind w:left="2"/>
      </w:pPr>
      <w:r w:rsidRPr="00D5675E">
        <w:rPr>
          <w:b/>
          <w:bCs/>
        </w:rPr>
        <w:t>5.1</w:t>
      </w:r>
      <w:r w:rsidRPr="00885DAE">
        <w:tab/>
      </w:r>
      <w:r w:rsidRPr="00D5675E">
        <w:rPr>
          <w:b/>
          <w:bCs/>
        </w:rPr>
        <w:t>Proprietăţi farmacodinamice</w:t>
      </w:r>
    </w:p>
    <w:p w:rsidR="001D6450" w:rsidRPr="00885DAE" w:rsidRDefault="001D6450" w:rsidP="001D6450">
      <w:pPr>
        <w:spacing w:line="250" w:lineRule="exact"/>
      </w:pPr>
    </w:p>
    <w:p w:rsidR="001D6450" w:rsidRPr="00885DAE" w:rsidRDefault="001D6450" w:rsidP="001D6450">
      <w:pPr>
        <w:ind w:left="2"/>
      </w:pPr>
      <w:r w:rsidRPr="00D5675E">
        <w:t>Grupa farmacoterapeutică: alte antineoplazice, inhibitori de protein-kinază, cod ATC: L01EB02</w:t>
      </w:r>
      <w:r w:rsidR="006369BA">
        <w:t>.</w:t>
      </w:r>
    </w:p>
    <w:p w:rsidR="001D6450" w:rsidRPr="00885DAE" w:rsidRDefault="001D6450" w:rsidP="001D6450">
      <w:pPr>
        <w:spacing w:line="253" w:lineRule="exact"/>
      </w:pPr>
    </w:p>
    <w:p w:rsidR="001D6450" w:rsidRPr="00885DAE" w:rsidRDefault="001D6450" w:rsidP="001D6450">
      <w:pPr>
        <w:ind w:left="2"/>
      </w:pPr>
      <w:r w:rsidRPr="00D5675E">
        <w:rPr>
          <w:u w:val="single"/>
        </w:rPr>
        <w:t>Mecanism de acţiune</w:t>
      </w:r>
    </w:p>
    <w:p w:rsidR="001D6450" w:rsidRPr="00885DAE" w:rsidRDefault="001D6450" w:rsidP="001D6450">
      <w:pPr>
        <w:spacing w:line="1" w:lineRule="exact"/>
      </w:pPr>
    </w:p>
    <w:p w:rsidR="001D6450" w:rsidRPr="00885DAE" w:rsidRDefault="001D6450" w:rsidP="001D6450">
      <w:pPr>
        <w:spacing w:line="249" w:lineRule="auto"/>
        <w:ind w:left="2" w:right="166"/>
      </w:pPr>
      <w:r w:rsidRPr="00D5675E">
        <w:t>Erlotinibul este un inhibitor de tirozin kinază a receptorului factorului de creştere epidermal/a receptorului de tip 1 al factorului de creştere epidermal uman (EGFR cunoscut şi sub denumirea de HER1). Erlotinibul inhibă puternic fosforilarea intracelulară a EGFR. EGFR se exprimă pe suprafaţa celulară a celulelor normale şi neoplazice. În modelele experimentale non-clinice, inhibarea fosfotirozinei EGFR determină stază şi/sau moarte celulară.</w:t>
      </w:r>
    </w:p>
    <w:p w:rsidR="001D6450" w:rsidRPr="00885DAE" w:rsidRDefault="001D6450" w:rsidP="001D6450">
      <w:pPr>
        <w:spacing w:line="204" w:lineRule="exact"/>
      </w:pPr>
    </w:p>
    <w:p w:rsidR="001D6450" w:rsidRPr="00885DAE" w:rsidRDefault="001D6450" w:rsidP="001D6450">
      <w:pPr>
        <w:spacing w:line="262" w:lineRule="auto"/>
        <w:ind w:left="2" w:right="126"/>
      </w:pPr>
      <w:r w:rsidRPr="00885DAE">
        <w:t>Mutaţiile EGFR pot conduce la activarea căilor de semnalizare antiapoptotice şi proliferative. Eficacitatea puternică a erlotinibului în blocarea semnalelor mediate de EGFR în aceste mutaţii pozitive ale tumorilor EGFR este atribuită legării strânse a erlotinibului de situsul de legare a ATP-ului în domeniul kinazei mutante a EGFR. Datorită blocării căii de semnalizare intracelulară, proliferarea celulelor este oprită şi moartea celulelor este indusă prin calea intrinsecă apoptotică. Regresia tumorală se observă la şoareci prin creşterea expresiei acestor mutaţii activatoare ale EGFR.</w:t>
      </w:r>
    </w:p>
    <w:p w:rsidR="001D6450" w:rsidRPr="00885DAE" w:rsidRDefault="001D6450" w:rsidP="001D6450">
      <w:pPr>
        <w:spacing w:line="190" w:lineRule="exact"/>
      </w:pPr>
    </w:p>
    <w:p w:rsidR="001D6450" w:rsidRPr="00885DAE" w:rsidRDefault="001D6450" w:rsidP="001D6450">
      <w:pPr>
        <w:ind w:left="2"/>
      </w:pPr>
      <w:r w:rsidRPr="00D5675E">
        <w:rPr>
          <w:u w:val="single"/>
        </w:rPr>
        <w:t>Eficacitate clinică</w:t>
      </w:r>
    </w:p>
    <w:p w:rsidR="001D6450" w:rsidRPr="00885DAE" w:rsidRDefault="001D6450" w:rsidP="001D6450">
      <w:pPr>
        <w:spacing w:line="256" w:lineRule="exact"/>
      </w:pPr>
    </w:p>
    <w:p w:rsidR="001D6450" w:rsidRPr="00885DAE" w:rsidRDefault="001D6450" w:rsidP="001D6450">
      <w:pPr>
        <w:ind w:left="2"/>
      </w:pPr>
      <w:r w:rsidRPr="00885DAE">
        <w:rPr>
          <w:iCs/>
          <w:u w:val="single"/>
        </w:rPr>
        <w:t>Tratamentul de primă linie al neoplasmului bronho-pulmonar altul decât cel cu celule mici (NSCLC)</w:t>
      </w:r>
    </w:p>
    <w:p w:rsidR="001D6450" w:rsidRPr="00885DAE" w:rsidRDefault="001D6450" w:rsidP="001D6450">
      <w:pPr>
        <w:ind w:left="2"/>
      </w:pPr>
      <w:r w:rsidRPr="00885DAE">
        <w:rPr>
          <w:iCs/>
          <w:u w:val="single"/>
        </w:rPr>
        <w:t>la pacienţii cu mutaţii activatoare ale EGFR (</w:t>
      </w:r>
      <w:r w:rsidR="002C7694" w:rsidRPr="002C7694">
        <w:rPr>
          <w:iCs/>
          <w:u w:val="single"/>
        </w:rPr>
        <w:t>erlotinib</w:t>
      </w:r>
      <w:r w:rsidRPr="00885DAE">
        <w:rPr>
          <w:iCs/>
          <w:u w:val="single"/>
        </w:rPr>
        <w:t xml:space="preserve"> administrat în monoterapie)</w:t>
      </w:r>
    </w:p>
    <w:p w:rsidR="001D6450" w:rsidRPr="00885DAE" w:rsidRDefault="001D6450" w:rsidP="001D6450">
      <w:pPr>
        <w:spacing w:line="250" w:lineRule="exact"/>
      </w:pPr>
    </w:p>
    <w:p w:rsidR="001D6450" w:rsidRPr="00885DAE" w:rsidRDefault="001D6450" w:rsidP="001D6450">
      <w:pPr>
        <w:spacing w:line="239" w:lineRule="auto"/>
        <w:ind w:left="2" w:right="26"/>
      </w:pPr>
      <w:r w:rsidRPr="00D5675E">
        <w:t xml:space="preserve">Eficacitatea </w:t>
      </w:r>
      <w:r w:rsidR="002C7694" w:rsidRPr="002C7694">
        <w:t>erlotinib</w:t>
      </w:r>
      <w:r w:rsidRPr="00D5675E">
        <w:t xml:space="preserve"> în tratamentul de primă linie la pacienţii cu NSCLC cu mutaţii activatoare ale EGFR, a fost demonstrată într -un studiu clinic deschis, randomizat, de fază III (ML20650, EURTAC). Acest studiu a fost efectuat la pacienţi caucazieni cu NSCLC local avansat sau metastazat (stadiul IIIB şi IV) care nu au primit anterior chimioterapie sau altă terapie sistemică antitumorală pentru boala lor aflată în stadiu avansat şi care prezintă mutaţii ale tirozinkinazei în domeniul EGFR (ş tergerea exonului 19 sau mutaţia exonului 21). Pacienţii au fost randomizaţi în raport de 1:1 în grupul de tratament cu 150 mg </w:t>
      </w:r>
      <w:r w:rsidR="002C7694" w:rsidRPr="002C7694">
        <w:t>erlotinib</w:t>
      </w:r>
      <w:r w:rsidRPr="00D5675E">
        <w:t xml:space="preserve"> zilnic şi în grupul care a primit până la 4 cicluri de chimioterapie dublă pe bază de săruri de platină.</w:t>
      </w:r>
    </w:p>
    <w:p w:rsidR="001D6450" w:rsidRPr="00885DAE" w:rsidRDefault="001D6450" w:rsidP="001D6450">
      <w:pPr>
        <w:spacing w:line="7" w:lineRule="exact"/>
      </w:pPr>
    </w:p>
    <w:p w:rsidR="001D6450" w:rsidRPr="00885DAE" w:rsidRDefault="001D6450" w:rsidP="001D6450">
      <w:pPr>
        <w:spacing w:line="281" w:lineRule="auto"/>
        <w:ind w:left="2" w:right="286"/>
      </w:pPr>
      <w:r w:rsidRPr="00D5675E">
        <w:t>Obiectivul principal al studiului a fost SFP evaluată de investigator. Rezultatele privind eficacitatea sunt rezumate în Tabelul 3.</w:t>
      </w:r>
    </w:p>
    <w:p w:rsidR="001D6450" w:rsidRPr="00D5675E" w:rsidRDefault="001D6450" w:rsidP="001D6450">
      <w:pPr>
        <w:sectPr w:rsidR="001D6450" w:rsidRPr="00D5675E">
          <w:pgSz w:w="11900" w:h="16841"/>
          <w:pgMar w:top="1102" w:right="1440" w:bottom="192" w:left="1418" w:header="0" w:footer="0" w:gutter="0"/>
          <w:cols w:space="720" w:equalWidth="0">
            <w:col w:w="9048"/>
          </w:cols>
        </w:sectPr>
      </w:pPr>
    </w:p>
    <w:p w:rsidR="001D6450" w:rsidRPr="00885DAE" w:rsidRDefault="001D6450" w:rsidP="001D6450">
      <w:pPr>
        <w:spacing w:line="200" w:lineRule="exact"/>
      </w:pPr>
    </w:p>
    <w:p w:rsidR="00565AFB" w:rsidRDefault="00565AFB" w:rsidP="00885DAE">
      <w:pPr>
        <w:ind w:right="65"/>
        <w:sectPr w:rsidR="00565AFB">
          <w:type w:val="continuous"/>
          <w:pgSz w:w="11900" w:h="16841"/>
          <w:pgMar w:top="1102" w:right="1440" w:bottom="192" w:left="1418" w:header="0" w:footer="0" w:gutter="0"/>
          <w:cols w:space="720" w:equalWidth="0">
            <w:col w:w="9048"/>
          </w:cols>
        </w:sectPr>
      </w:pPr>
    </w:p>
    <w:p w:rsidR="001D6450" w:rsidRDefault="001D6450" w:rsidP="003F4941">
      <w:pPr>
        <w:spacing w:line="281" w:lineRule="auto"/>
        <w:ind w:right="806"/>
        <w:rPr>
          <w:sz w:val="20"/>
          <w:szCs w:val="20"/>
        </w:rPr>
      </w:pPr>
      <w:bookmarkStart w:id="10" w:name="page15"/>
      <w:bookmarkEnd w:id="10"/>
      <w:r w:rsidRPr="00D5675E">
        <w:t>Figura 1: Curba Kaplan-Meier a SFP evaluată de către investigator în studiul clinic ML20650 (EURTAC) (data închiderii bazei de date Aprilie 2012)</w:t>
      </w:r>
      <w:r w:rsidR="00DE6A28">
        <w:rPr>
          <w:noProof/>
          <w:lang w:val="en-US"/>
        </w:rPr>
        <w:drawing>
          <wp:inline distT="0" distB="0" distL="0" distR="0" wp14:anchorId="4E817B41" wp14:editId="317D6CF2">
            <wp:extent cx="4701145" cy="3017261"/>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7022" cy="3027451"/>
                    </a:xfrm>
                    <a:prstGeom prst="rect">
                      <a:avLst/>
                    </a:prstGeom>
                    <a:noFill/>
                    <a:ln>
                      <a:noFill/>
                    </a:ln>
                  </pic:spPr>
                </pic:pic>
              </a:graphicData>
            </a:graphic>
          </wp:inline>
        </w:drawing>
      </w:r>
    </w:p>
    <w:p w:rsidR="001D6450" w:rsidRDefault="001D6450" w:rsidP="001D6450">
      <w:pPr>
        <w:spacing w:line="200" w:lineRule="exact"/>
        <w:rPr>
          <w:sz w:val="20"/>
          <w:szCs w:val="20"/>
        </w:rPr>
      </w:pPr>
    </w:p>
    <w:p w:rsidR="001D6450" w:rsidRDefault="00DE6A28" w:rsidP="001D6450">
      <w:pPr>
        <w:spacing w:line="281" w:lineRule="auto"/>
        <w:ind w:left="120" w:right="580"/>
        <w:rPr>
          <w:sz w:val="20"/>
          <w:szCs w:val="20"/>
        </w:rPr>
      </w:pPr>
      <w:bookmarkStart w:id="11" w:name="page16"/>
      <w:bookmarkEnd w:id="11"/>
      <w:r>
        <w:t>T</w:t>
      </w:r>
      <w:r w:rsidR="001D6450">
        <w:t xml:space="preserve">abelul 3: Rezultatele privind eficacitatea administrării </w:t>
      </w:r>
      <w:r w:rsidR="002C7694" w:rsidRPr="002C7694">
        <w:t>erlotinib</w:t>
      </w:r>
      <w:r w:rsidR="001D6450">
        <w:t>comparativ cu chimioterapie, în studiul clinic ML20650 (EURTAC)</w:t>
      </w:r>
    </w:p>
    <w:p w:rsidR="001D6450" w:rsidRDefault="001D6450" w:rsidP="001D6450">
      <w:pPr>
        <w:spacing w:line="1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40"/>
        <w:gridCol w:w="2520"/>
        <w:gridCol w:w="1100"/>
        <w:gridCol w:w="1480"/>
        <w:gridCol w:w="1200"/>
        <w:gridCol w:w="1240"/>
        <w:gridCol w:w="20"/>
      </w:tblGrid>
      <w:tr w:rsidR="001D6450" w:rsidTr="00D5675E">
        <w:trPr>
          <w:trHeight w:val="207"/>
        </w:trPr>
        <w:tc>
          <w:tcPr>
            <w:tcW w:w="1240" w:type="dxa"/>
            <w:vAlign w:val="bottom"/>
          </w:tcPr>
          <w:p w:rsidR="001D6450" w:rsidRDefault="001D6450" w:rsidP="00D5675E">
            <w:pPr>
              <w:rPr>
                <w:sz w:val="17"/>
                <w:szCs w:val="17"/>
              </w:rPr>
            </w:pPr>
          </w:p>
        </w:tc>
        <w:tc>
          <w:tcPr>
            <w:tcW w:w="2520" w:type="dxa"/>
            <w:vAlign w:val="bottom"/>
          </w:tcPr>
          <w:p w:rsidR="001D6450" w:rsidRDefault="001D6450" w:rsidP="00D5675E">
            <w:pPr>
              <w:rPr>
                <w:sz w:val="17"/>
                <w:szCs w:val="17"/>
              </w:rPr>
            </w:pPr>
          </w:p>
        </w:tc>
        <w:tc>
          <w:tcPr>
            <w:tcW w:w="1100" w:type="dxa"/>
            <w:vAlign w:val="bottom"/>
          </w:tcPr>
          <w:p w:rsidR="001D6450" w:rsidRDefault="001D6450" w:rsidP="00D5675E">
            <w:pPr>
              <w:ind w:left="220"/>
              <w:rPr>
                <w:b/>
                <w:bCs/>
                <w:sz w:val="18"/>
                <w:szCs w:val="18"/>
              </w:rPr>
            </w:pPr>
          </w:p>
          <w:p w:rsidR="002C7694" w:rsidRDefault="002C7694" w:rsidP="00D5675E">
            <w:pPr>
              <w:ind w:left="220"/>
              <w:rPr>
                <w:sz w:val="20"/>
                <w:szCs w:val="20"/>
              </w:rPr>
            </w:pPr>
            <w:r w:rsidRPr="002C7694">
              <w:rPr>
                <w:b/>
                <w:bCs/>
                <w:sz w:val="18"/>
                <w:szCs w:val="18"/>
              </w:rPr>
              <w:t>Erlotinib</w:t>
            </w:r>
          </w:p>
        </w:tc>
        <w:tc>
          <w:tcPr>
            <w:tcW w:w="1480" w:type="dxa"/>
            <w:vAlign w:val="bottom"/>
          </w:tcPr>
          <w:p w:rsidR="001D6450" w:rsidRDefault="001D6450" w:rsidP="00D5675E">
            <w:pPr>
              <w:ind w:left="240"/>
              <w:rPr>
                <w:sz w:val="20"/>
                <w:szCs w:val="20"/>
              </w:rPr>
            </w:pPr>
            <w:r>
              <w:rPr>
                <w:b/>
                <w:bCs/>
                <w:sz w:val="18"/>
                <w:szCs w:val="18"/>
              </w:rPr>
              <w:t>Chimioterapie</w:t>
            </w:r>
          </w:p>
        </w:tc>
        <w:tc>
          <w:tcPr>
            <w:tcW w:w="1200" w:type="dxa"/>
            <w:vAlign w:val="bottom"/>
          </w:tcPr>
          <w:p w:rsidR="001D6450" w:rsidRDefault="001D6450" w:rsidP="00D5675E">
            <w:pPr>
              <w:jc w:val="center"/>
              <w:rPr>
                <w:sz w:val="20"/>
                <w:szCs w:val="20"/>
              </w:rPr>
            </w:pPr>
            <w:r>
              <w:rPr>
                <w:b/>
                <w:bCs/>
                <w:sz w:val="18"/>
                <w:szCs w:val="18"/>
              </w:rPr>
              <w:t>Risc relativ</w:t>
            </w:r>
          </w:p>
        </w:tc>
        <w:tc>
          <w:tcPr>
            <w:tcW w:w="1240" w:type="dxa"/>
            <w:vAlign w:val="bottom"/>
          </w:tcPr>
          <w:p w:rsidR="001D6450" w:rsidRDefault="001D6450" w:rsidP="00D5675E">
            <w:pPr>
              <w:ind w:left="160"/>
              <w:rPr>
                <w:sz w:val="20"/>
                <w:szCs w:val="20"/>
              </w:rPr>
            </w:pPr>
            <w:r>
              <w:rPr>
                <w:b/>
                <w:bCs/>
                <w:sz w:val="18"/>
                <w:szCs w:val="18"/>
              </w:rPr>
              <w:t>Valoarea p</w:t>
            </w:r>
          </w:p>
        </w:tc>
        <w:tc>
          <w:tcPr>
            <w:tcW w:w="0" w:type="dxa"/>
            <w:vAlign w:val="bottom"/>
          </w:tcPr>
          <w:p w:rsidR="001D6450" w:rsidRDefault="001D6450" w:rsidP="00D5675E">
            <w:pPr>
              <w:rPr>
                <w:sz w:val="1"/>
                <w:szCs w:val="1"/>
              </w:rPr>
            </w:pPr>
          </w:p>
        </w:tc>
      </w:tr>
      <w:tr w:rsidR="001D6450" w:rsidTr="00D5675E">
        <w:trPr>
          <w:trHeight w:val="228"/>
        </w:trPr>
        <w:tc>
          <w:tcPr>
            <w:tcW w:w="1240" w:type="dxa"/>
            <w:tcBorders>
              <w:bottom w:val="single" w:sz="8" w:space="0" w:color="auto"/>
            </w:tcBorders>
            <w:vAlign w:val="bottom"/>
          </w:tcPr>
          <w:p w:rsidR="001D6450" w:rsidRDefault="001D6450" w:rsidP="00D5675E">
            <w:pPr>
              <w:rPr>
                <w:sz w:val="19"/>
                <w:szCs w:val="19"/>
              </w:rPr>
            </w:pPr>
          </w:p>
        </w:tc>
        <w:tc>
          <w:tcPr>
            <w:tcW w:w="2520" w:type="dxa"/>
            <w:tcBorders>
              <w:bottom w:val="single" w:sz="8" w:space="0" w:color="auto"/>
            </w:tcBorders>
            <w:vAlign w:val="bottom"/>
          </w:tcPr>
          <w:p w:rsidR="001D6450" w:rsidRDefault="001D6450" w:rsidP="00D5675E">
            <w:pPr>
              <w:rPr>
                <w:sz w:val="19"/>
                <w:szCs w:val="19"/>
              </w:rPr>
            </w:pPr>
          </w:p>
        </w:tc>
        <w:tc>
          <w:tcPr>
            <w:tcW w:w="1100" w:type="dxa"/>
            <w:tcBorders>
              <w:bottom w:val="single" w:sz="8" w:space="0" w:color="auto"/>
            </w:tcBorders>
            <w:vAlign w:val="bottom"/>
          </w:tcPr>
          <w:p w:rsidR="001D6450" w:rsidRDefault="001D6450" w:rsidP="00D5675E">
            <w:pPr>
              <w:rPr>
                <w:sz w:val="19"/>
                <w:szCs w:val="19"/>
              </w:rPr>
            </w:pPr>
          </w:p>
        </w:tc>
        <w:tc>
          <w:tcPr>
            <w:tcW w:w="1480" w:type="dxa"/>
            <w:tcBorders>
              <w:bottom w:val="single" w:sz="8" w:space="0" w:color="auto"/>
            </w:tcBorders>
            <w:vAlign w:val="bottom"/>
          </w:tcPr>
          <w:p w:rsidR="001D6450" w:rsidRDefault="001D6450" w:rsidP="00D5675E">
            <w:pPr>
              <w:rPr>
                <w:sz w:val="19"/>
                <w:szCs w:val="19"/>
              </w:rPr>
            </w:pPr>
          </w:p>
        </w:tc>
        <w:tc>
          <w:tcPr>
            <w:tcW w:w="1200" w:type="dxa"/>
            <w:tcBorders>
              <w:bottom w:val="single" w:sz="8" w:space="0" w:color="auto"/>
            </w:tcBorders>
            <w:vAlign w:val="bottom"/>
          </w:tcPr>
          <w:p w:rsidR="001D6450" w:rsidRDefault="001D6450" w:rsidP="00D5675E">
            <w:pPr>
              <w:jc w:val="center"/>
              <w:rPr>
                <w:sz w:val="20"/>
                <w:szCs w:val="20"/>
              </w:rPr>
            </w:pPr>
            <w:r>
              <w:rPr>
                <w:b/>
                <w:bCs/>
                <w:sz w:val="18"/>
                <w:szCs w:val="18"/>
              </w:rPr>
              <w:t>(IÎ 95%)</w:t>
            </w:r>
          </w:p>
        </w:tc>
        <w:tc>
          <w:tcPr>
            <w:tcW w:w="1240" w:type="dxa"/>
            <w:tcBorders>
              <w:bottom w:val="single" w:sz="8" w:space="0" w:color="auto"/>
            </w:tcBorders>
            <w:vAlign w:val="bottom"/>
          </w:tcPr>
          <w:p w:rsidR="001D6450" w:rsidRDefault="001D6450" w:rsidP="00D5675E">
            <w:pPr>
              <w:rPr>
                <w:sz w:val="19"/>
                <w:szCs w:val="19"/>
              </w:rPr>
            </w:pPr>
          </w:p>
        </w:tc>
        <w:tc>
          <w:tcPr>
            <w:tcW w:w="0" w:type="dxa"/>
            <w:vAlign w:val="bottom"/>
          </w:tcPr>
          <w:p w:rsidR="001D6450" w:rsidRDefault="001D6450" w:rsidP="00D5675E">
            <w:pPr>
              <w:rPr>
                <w:sz w:val="1"/>
                <w:szCs w:val="1"/>
              </w:rPr>
            </w:pPr>
          </w:p>
        </w:tc>
      </w:tr>
      <w:tr w:rsidR="001D6450" w:rsidTr="00D5675E">
        <w:trPr>
          <w:trHeight w:val="210"/>
        </w:trPr>
        <w:tc>
          <w:tcPr>
            <w:tcW w:w="1240" w:type="dxa"/>
            <w:vAlign w:val="bottom"/>
          </w:tcPr>
          <w:p w:rsidR="001D6450" w:rsidRDefault="001D6450" w:rsidP="00D5675E">
            <w:pPr>
              <w:ind w:left="120"/>
              <w:rPr>
                <w:sz w:val="20"/>
                <w:szCs w:val="20"/>
              </w:rPr>
            </w:pPr>
            <w:r>
              <w:rPr>
                <w:sz w:val="18"/>
                <w:szCs w:val="18"/>
              </w:rPr>
              <w:t>Analiză</w:t>
            </w:r>
          </w:p>
        </w:tc>
        <w:tc>
          <w:tcPr>
            <w:tcW w:w="2520" w:type="dxa"/>
            <w:vAlign w:val="bottom"/>
          </w:tcPr>
          <w:p w:rsidR="001D6450" w:rsidRDefault="001D6450" w:rsidP="00D5675E">
            <w:pPr>
              <w:rPr>
                <w:sz w:val="18"/>
                <w:szCs w:val="18"/>
              </w:rPr>
            </w:pPr>
          </w:p>
        </w:tc>
        <w:tc>
          <w:tcPr>
            <w:tcW w:w="1100" w:type="dxa"/>
            <w:vAlign w:val="bottom"/>
          </w:tcPr>
          <w:p w:rsidR="001D6450" w:rsidRDefault="001D6450" w:rsidP="00D5675E">
            <w:pPr>
              <w:jc w:val="center"/>
              <w:rPr>
                <w:sz w:val="20"/>
                <w:szCs w:val="20"/>
              </w:rPr>
            </w:pPr>
            <w:r>
              <w:rPr>
                <w:w w:val="96"/>
                <w:sz w:val="18"/>
                <w:szCs w:val="18"/>
              </w:rPr>
              <w:t>n=77</w:t>
            </w:r>
          </w:p>
        </w:tc>
        <w:tc>
          <w:tcPr>
            <w:tcW w:w="1480" w:type="dxa"/>
            <w:vAlign w:val="bottom"/>
          </w:tcPr>
          <w:p w:rsidR="001D6450" w:rsidRDefault="001D6450" w:rsidP="00D5675E">
            <w:pPr>
              <w:ind w:left="10"/>
              <w:jc w:val="center"/>
              <w:rPr>
                <w:sz w:val="20"/>
                <w:szCs w:val="20"/>
              </w:rPr>
            </w:pPr>
            <w:r>
              <w:rPr>
                <w:sz w:val="18"/>
                <w:szCs w:val="18"/>
              </w:rPr>
              <w:t>n=76</w:t>
            </w:r>
          </w:p>
        </w:tc>
        <w:tc>
          <w:tcPr>
            <w:tcW w:w="1200" w:type="dxa"/>
            <w:vAlign w:val="bottom"/>
          </w:tcPr>
          <w:p w:rsidR="001D6450" w:rsidRDefault="001D6450" w:rsidP="00D5675E">
            <w:pPr>
              <w:rPr>
                <w:sz w:val="18"/>
                <w:szCs w:val="18"/>
              </w:rPr>
            </w:pPr>
          </w:p>
        </w:tc>
        <w:tc>
          <w:tcPr>
            <w:tcW w:w="1240" w:type="dxa"/>
            <w:vAlign w:val="bottom"/>
          </w:tcPr>
          <w:p w:rsidR="001D6450" w:rsidRDefault="001D6450" w:rsidP="00D5675E">
            <w:pPr>
              <w:rPr>
                <w:sz w:val="18"/>
                <w:szCs w:val="18"/>
              </w:rPr>
            </w:pPr>
          </w:p>
        </w:tc>
        <w:tc>
          <w:tcPr>
            <w:tcW w:w="0" w:type="dxa"/>
            <w:vAlign w:val="bottom"/>
          </w:tcPr>
          <w:p w:rsidR="001D6450" w:rsidRDefault="001D6450" w:rsidP="00D5675E">
            <w:pPr>
              <w:rPr>
                <w:sz w:val="1"/>
                <w:szCs w:val="1"/>
              </w:rPr>
            </w:pPr>
          </w:p>
        </w:tc>
      </w:tr>
      <w:tr w:rsidR="001D6450" w:rsidTr="00D5675E">
        <w:trPr>
          <w:trHeight w:val="94"/>
        </w:trPr>
        <w:tc>
          <w:tcPr>
            <w:tcW w:w="1240" w:type="dxa"/>
            <w:vMerge w:val="restart"/>
            <w:vAlign w:val="bottom"/>
          </w:tcPr>
          <w:p w:rsidR="001D6450" w:rsidRDefault="001D6450" w:rsidP="00D5675E">
            <w:pPr>
              <w:spacing w:line="176" w:lineRule="exact"/>
              <w:ind w:left="120"/>
              <w:rPr>
                <w:sz w:val="20"/>
                <w:szCs w:val="20"/>
              </w:rPr>
            </w:pPr>
            <w:r>
              <w:rPr>
                <w:sz w:val="18"/>
                <w:szCs w:val="18"/>
              </w:rPr>
              <w:t>interimară</w:t>
            </w:r>
          </w:p>
        </w:tc>
        <w:tc>
          <w:tcPr>
            <w:tcW w:w="2520" w:type="dxa"/>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62"/>
        </w:trPr>
        <w:tc>
          <w:tcPr>
            <w:tcW w:w="1240" w:type="dxa"/>
            <w:vMerge/>
            <w:vAlign w:val="bottom"/>
          </w:tcPr>
          <w:p w:rsidR="001D6450" w:rsidRDefault="001D6450" w:rsidP="00D5675E">
            <w:pPr>
              <w:rPr>
                <w:sz w:val="5"/>
                <w:szCs w:val="5"/>
              </w:rPr>
            </w:pPr>
          </w:p>
        </w:tc>
        <w:tc>
          <w:tcPr>
            <w:tcW w:w="2520" w:type="dxa"/>
            <w:vMerge w:val="restart"/>
            <w:vAlign w:val="bottom"/>
          </w:tcPr>
          <w:p w:rsidR="001D6450" w:rsidRDefault="001D6450" w:rsidP="00D5675E">
            <w:pPr>
              <w:spacing w:line="179" w:lineRule="exact"/>
              <w:ind w:left="120"/>
              <w:rPr>
                <w:sz w:val="20"/>
                <w:szCs w:val="20"/>
              </w:rPr>
            </w:pPr>
            <w:r>
              <w:rPr>
                <w:sz w:val="18"/>
                <w:szCs w:val="18"/>
              </w:rPr>
              <w:t>Obiectiv principal:</w:t>
            </w:r>
          </w:p>
        </w:tc>
        <w:tc>
          <w:tcPr>
            <w:tcW w:w="1100" w:type="dxa"/>
            <w:vAlign w:val="bottom"/>
          </w:tcPr>
          <w:p w:rsidR="001D6450" w:rsidRDefault="001D6450" w:rsidP="00D5675E">
            <w:pPr>
              <w:rPr>
                <w:sz w:val="5"/>
                <w:szCs w:val="5"/>
              </w:rPr>
            </w:pPr>
          </w:p>
        </w:tc>
        <w:tc>
          <w:tcPr>
            <w:tcW w:w="1480" w:type="dxa"/>
            <w:vAlign w:val="bottom"/>
          </w:tcPr>
          <w:p w:rsidR="001D6450" w:rsidRDefault="001D6450" w:rsidP="00D5675E">
            <w:pPr>
              <w:rPr>
                <w:sz w:val="5"/>
                <w:szCs w:val="5"/>
              </w:rPr>
            </w:pPr>
          </w:p>
        </w:tc>
        <w:tc>
          <w:tcPr>
            <w:tcW w:w="1200" w:type="dxa"/>
            <w:vAlign w:val="bottom"/>
          </w:tcPr>
          <w:p w:rsidR="001D6450" w:rsidRDefault="001D6450" w:rsidP="00D5675E">
            <w:pPr>
              <w:rPr>
                <w:sz w:val="5"/>
                <w:szCs w:val="5"/>
              </w:rPr>
            </w:pPr>
          </w:p>
        </w:tc>
        <w:tc>
          <w:tcPr>
            <w:tcW w:w="1240" w:type="dxa"/>
            <w:vAlign w:val="bottom"/>
          </w:tcPr>
          <w:p w:rsidR="001D6450" w:rsidRDefault="001D6450" w:rsidP="00D5675E">
            <w:pPr>
              <w:rPr>
                <w:sz w:val="5"/>
                <w:szCs w:val="5"/>
              </w:rPr>
            </w:pP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planificată</w:t>
            </w:r>
          </w:p>
        </w:tc>
        <w:tc>
          <w:tcPr>
            <w:tcW w:w="2520" w:type="dxa"/>
            <w:vMerge/>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89"/>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supravieţuirea fără progresie a</w:t>
            </w: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Align w:val="bottom"/>
          </w:tcPr>
          <w:p w:rsidR="001D6450" w:rsidRDefault="001D6450" w:rsidP="00D5675E">
            <w:pPr>
              <w:rPr>
                <w:sz w:val="7"/>
                <w:szCs w:val="7"/>
              </w:rPr>
            </w:pP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anterior</w:t>
            </w:r>
          </w:p>
        </w:tc>
        <w:tc>
          <w:tcPr>
            <w:tcW w:w="2520" w:type="dxa"/>
            <w:vMerge/>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91"/>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bolii (SFP mediană în luni)*</w:t>
            </w: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Align w:val="bottom"/>
          </w:tcPr>
          <w:p w:rsidR="001D6450" w:rsidRDefault="001D6450" w:rsidP="00D5675E">
            <w:pPr>
              <w:rPr>
                <w:sz w:val="7"/>
                <w:szCs w:val="7"/>
              </w:rPr>
            </w:pP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15"/>
        </w:trPr>
        <w:tc>
          <w:tcPr>
            <w:tcW w:w="1240" w:type="dxa"/>
            <w:vMerge w:val="restart"/>
            <w:vAlign w:val="bottom"/>
          </w:tcPr>
          <w:p w:rsidR="001D6450" w:rsidRDefault="001D6450" w:rsidP="00D5675E">
            <w:pPr>
              <w:ind w:left="120"/>
              <w:rPr>
                <w:sz w:val="20"/>
                <w:szCs w:val="20"/>
              </w:rPr>
            </w:pPr>
            <w:r>
              <w:rPr>
                <w:sz w:val="18"/>
                <w:szCs w:val="18"/>
              </w:rPr>
              <w:t>(35%</w:t>
            </w:r>
          </w:p>
        </w:tc>
        <w:tc>
          <w:tcPr>
            <w:tcW w:w="2520" w:type="dxa"/>
            <w:vMerge/>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91"/>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evaluat de către investigator</w:t>
            </w:r>
          </w:p>
        </w:tc>
        <w:tc>
          <w:tcPr>
            <w:tcW w:w="1100" w:type="dxa"/>
            <w:vMerge w:val="restart"/>
            <w:vAlign w:val="bottom"/>
          </w:tcPr>
          <w:p w:rsidR="001D6450" w:rsidRDefault="001D6450" w:rsidP="00D5675E">
            <w:pPr>
              <w:jc w:val="center"/>
              <w:rPr>
                <w:sz w:val="20"/>
                <w:szCs w:val="20"/>
              </w:rPr>
            </w:pPr>
            <w:r>
              <w:rPr>
                <w:sz w:val="18"/>
                <w:szCs w:val="18"/>
              </w:rPr>
              <w:t>9,4</w:t>
            </w:r>
          </w:p>
        </w:tc>
        <w:tc>
          <w:tcPr>
            <w:tcW w:w="1480" w:type="dxa"/>
            <w:vMerge w:val="restart"/>
            <w:vAlign w:val="bottom"/>
          </w:tcPr>
          <w:p w:rsidR="001D6450" w:rsidRDefault="001D6450" w:rsidP="00D5675E">
            <w:pPr>
              <w:ind w:left="10"/>
              <w:jc w:val="center"/>
              <w:rPr>
                <w:sz w:val="20"/>
                <w:szCs w:val="20"/>
              </w:rPr>
            </w:pPr>
            <w:r>
              <w:rPr>
                <w:w w:val="97"/>
                <w:sz w:val="18"/>
                <w:szCs w:val="18"/>
              </w:rPr>
              <w:t>5,2</w:t>
            </w:r>
          </w:p>
        </w:tc>
        <w:tc>
          <w:tcPr>
            <w:tcW w:w="1200" w:type="dxa"/>
            <w:vMerge w:val="restart"/>
            <w:vAlign w:val="bottom"/>
          </w:tcPr>
          <w:p w:rsidR="001D6450" w:rsidRDefault="001D6450" w:rsidP="00D5675E">
            <w:pPr>
              <w:jc w:val="center"/>
              <w:rPr>
                <w:sz w:val="20"/>
                <w:szCs w:val="20"/>
              </w:rPr>
            </w:pPr>
            <w:r>
              <w:rPr>
                <w:sz w:val="18"/>
                <w:szCs w:val="18"/>
              </w:rPr>
              <w:t>0,42</w:t>
            </w: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maturitate a</w:t>
            </w:r>
          </w:p>
        </w:tc>
        <w:tc>
          <w:tcPr>
            <w:tcW w:w="2520" w:type="dxa"/>
            <w:vMerge/>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Merge/>
            <w:vAlign w:val="bottom"/>
          </w:tcPr>
          <w:p w:rsidR="001D6450" w:rsidRDefault="001D6450" w:rsidP="00D5675E">
            <w:pPr>
              <w:rPr>
                <w:sz w:val="10"/>
                <w:szCs w:val="10"/>
              </w:rPr>
            </w:pPr>
          </w:p>
        </w:tc>
        <w:tc>
          <w:tcPr>
            <w:tcW w:w="1240" w:type="dxa"/>
            <w:vMerge/>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89"/>
        </w:trPr>
        <w:tc>
          <w:tcPr>
            <w:tcW w:w="1240" w:type="dxa"/>
            <w:vMerge/>
            <w:vAlign w:val="bottom"/>
          </w:tcPr>
          <w:p w:rsidR="001D6450" w:rsidRDefault="001D6450" w:rsidP="00D5675E">
            <w:pPr>
              <w:rPr>
                <w:sz w:val="7"/>
                <w:szCs w:val="7"/>
              </w:rPr>
            </w:pPr>
          </w:p>
        </w:tc>
        <w:tc>
          <w:tcPr>
            <w:tcW w:w="2520" w:type="dxa"/>
            <w:vMerge w:val="restart"/>
            <w:vAlign w:val="bottom"/>
          </w:tcPr>
          <w:p w:rsidR="001D6450" w:rsidRDefault="001D6450" w:rsidP="00D5675E">
            <w:pPr>
              <w:ind w:left="120"/>
              <w:rPr>
                <w:sz w:val="20"/>
                <w:szCs w:val="20"/>
              </w:rPr>
            </w:pPr>
            <w:r>
              <w:rPr>
                <w:sz w:val="18"/>
                <w:szCs w:val="18"/>
              </w:rPr>
              <w:t>**</w:t>
            </w: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Merge w:val="restart"/>
            <w:vAlign w:val="bottom"/>
          </w:tcPr>
          <w:p w:rsidR="001D6450" w:rsidRDefault="001D6450" w:rsidP="00D5675E">
            <w:pPr>
              <w:jc w:val="center"/>
              <w:rPr>
                <w:sz w:val="20"/>
                <w:szCs w:val="20"/>
              </w:rPr>
            </w:pPr>
            <w:r>
              <w:rPr>
                <w:w w:val="98"/>
                <w:sz w:val="18"/>
                <w:szCs w:val="18"/>
              </w:rPr>
              <w:t>[0,27-0,64]</w:t>
            </w: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52"/>
        </w:trPr>
        <w:tc>
          <w:tcPr>
            <w:tcW w:w="1240" w:type="dxa"/>
            <w:vMerge w:val="restart"/>
            <w:vAlign w:val="bottom"/>
          </w:tcPr>
          <w:p w:rsidR="001D6450" w:rsidRDefault="001D6450" w:rsidP="00D5675E">
            <w:pPr>
              <w:ind w:left="120"/>
              <w:rPr>
                <w:sz w:val="20"/>
                <w:szCs w:val="20"/>
              </w:rPr>
            </w:pPr>
            <w:r>
              <w:rPr>
                <w:sz w:val="18"/>
                <w:szCs w:val="18"/>
              </w:rPr>
              <w:t>datelor</w:t>
            </w:r>
          </w:p>
        </w:tc>
        <w:tc>
          <w:tcPr>
            <w:tcW w:w="2520" w:type="dxa"/>
            <w:vMerge/>
            <w:vAlign w:val="bottom"/>
          </w:tcPr>
          <w:p w:rsidR="001D6450" w:rsidRDefault="001D6450" w:rsidP="00D5675E">
            <w:pPr>
              <w:rPr>
                <w:sz w:val="13"/>
                <w:szCs w:val="13"/>
              </w:rPr>
            </w:pPr>
          </w:p>
        </w:tc>
        <w:tc>
          <w:tcPr>
            <w:tcW w:w="1100" w:type="dxa"/>
            <w:vAlign w:val="bottom"/>
          </w:tcPr>
          <w:p w:rsidR="001D6450" w:rsidRDefault="001D6450" w:rsidP="00D5675E">
            <w:pPr>
              <w:rPr>
                <w:sz w:val="13"/>
                <w:szCs w:val="13"/>
              </w:rPr>
            </w:pPr>
          </w:p>
        </w:tc>
        <w:tc>
          <w:tcPr>
            <w:tcW w:w="1480" w:type="dxa"/>
            <w:vAlign w:val="bottom"/>
          </w:tcPr>
          <w:p w:rsidR="001D6450" w:rsidRDefault="001D6450" w:rsidP="00D5675E">
            <w:pPr>
              <w:rPr>
                <w:sz w:val="13"/>
                <w:szCs w:val="13"/>
              </w:rPr>
            </w:pPr>
          </w:p>
        </w:tc>
        <w:tc>
          <w:tcPr>
            <w:tcW w:w="1200" w:type="dxa"/>
            <w:vMerge/>
            <w:vAlign w:val="bottom"/>
          </w:tcPr>
          <w:p w:rsidR="001D6450" w:rsidRDefault="001D6450" w:rsidP="00D5675E">
            <w:pPr>
              <w:rPr>
                <w:sz w:val="13"/>
                <w:szCs w:val="13"/>
              </w:rPr>
            </w:pPr>
          </w:p>
        </w:tc>
        <w:tc>
          <w:tcPr>
            <w:tcW w:w="1240" w:type="dxa"/>
            <w:vAlign w:val="bottom"/>
          </w:tcPr>
          <w:p w:rsidR="001D6450" w:rsidRDefault="001D6450" w:rsidP="00D5675E">
            <w:pPr>
              <w:rPr>
                <w:sz w:val="13"/>
                <w:szCs w:val="13"/>
              </w:rPr>
            </w:pPr>
          </w:p>
        </w:tc>
        <w:tc>
          <w:tcPr>
            <w:tcW w:w="0" w:type="dxa"/>
            <w:vAlign w:val="bottom"/>
          </w:tcPr>
          <w:p w:rsidR="001D6450" w:rsidRDefault="001D6450" w:rsidP="00D5675E">
            <w:pPr>
              <w:rPr>
                <w:sz w:val="1"/>
                <w:szCs w:val="1"/>
              </w:rPr>
            </w:pPr>
          </w:p>
        </w:tc>
      </w:tr>
      <w:tr w:rsidR="001D6450" w:rsidTr="00D5675E">
        <w:trPr>
          <w:trHeight w:val="54"/>
        </w:trPr>
        <w:tc>
          <w:tcPr>
            <w:tcW w:w="1240" w:type="dxa"/>
            <w:vMerge/>
            <w:vAlign w:val="bottom"/>
          </w:tcPr>
          <w:p w:rsidR="001D6450" w:rsidRDefault="001D6450" w:rsidP="00D5675E">
            <w:pPr>
              <w:rPr>
                <w:sz w:val="4"/>
                <w:szCs w:val="4"/>
              </w:rPr>
            </w:pPr>
          </w:p>
        </w:tc>
        <w:tc>
          <w:tcPr>
            <w:tcW w:w="2520" w:type="dxa"/>
            <w:vAlign w:val="bottom"/>
          </w:tcPr>
          <w:p w:rsidR="001D6450" w:rsidRDefault="001D6450" w:rsidP="00D5675E">
            <w:pPr>
              <w:rPr>
                <w:sz w:val="4"/>
                <w:szCs w:val="4"/>
              </w:rPr>
            </w:pPr>
          </w:p>
        </w:tc>
        <w:tc>
          <w:tcPr>
            <w:tcW w:w="1100" w:type="dxa"/>
            <w:vAlign w:val="bottom"/>
          </w:tcPr>
          <w:p w:rsidR="001D6450" w:rsidRDefault="001D6450" w:rsidP="00D5675E">
            <w:pPr>
              <w:rPr>
                <w:sz w:val="4"/>
                <w:szCs w:val="4"/>
              </w:rPr>
            </w:pPr>
          </w:p>
        </w:tc>
        <w:tc>
          <w:tcPr>
            <w:tcW w:w="1480" w:type="dxa"/>
            <w:vAlign w:val="bottom"/>
          </w:tcPr>
          <w:p w:rsidR="001D6450" w:rsidRDefault="001D6450" w:rsidP="00D5675E">
            <w:pPr>
              <w:rPr>
                <w:sz w:val="4"/>
                <w:szCs w:val="4"/>
              </w:rPr>
            </w:pPr>
          </w:p>
        </w:tc>
        <w:tc>
          <w:tcPr>
            <w:tcW w:w="1200" w:type="dxa"/>
            <w:vAlign w:val="bottom"/>
          </w:tcPr>
          <w:p w:rsidR="001D6450" w:rsidRDefault="001D6450" w:rsidP="00D5675E">
            <w:pPr>
              <w:rPr>
                <w:sz w:val="4"/>
                <w:szCs w:val="4"/>
              </w:rPr>
            </w:pPr>
          </w:p>
        </w:tc>
        <w:tc>
          <w:tcPr>
            <w:tcW w:w="1240" w:type="dxa"/>
            <w:vAlign w:val="bottom"/>
          </w:tcPr>
          <w:p w:rsidR="001D6450" w:rsidRDefault="001D6450" w:rsidP="00D5675E">
            <w:pPr>
              <w:rPr>
                <w:sz w:val="4"/>
                <w:szCs w:val="4"/>
              </w:rPr>
            </w:pPr>
          </w:p>
        </w:tc>
        <w:tc>
          <w:tcPr>
            <w:tcW w:w="0" w:type="dxa"/>
            <w:vAlign w:val="bottom"/>
          </w:tcPr>
          <w:p w:rsidR="001D6450" w:rsidRDefault="001D6450" w:rsidP="00D5675E">
            <w:pPr>
              <w:rPr>
                <w:sz w:val="1"/>
                <w:szCs w:val="1"/>
              </w:rPr>
            </w:pPr>
          </w:p>
        </w:tc>
      </w:tr>
      <w:tr w:rsidR="001D6450" w:rsidTr="00D5675E">
        <w:trPr>
          <w:trHeight w:val="206"/>
        </w:trPr>
        <w:tc>
          <w:tcPr>
            <w:tcW w:w="1240" w:type="dxa"/>
            <w:vAlign w:val="bottom"/>
          </w:tcPr>
          <w:p w:rsidR="001D6450" w:rsidRDefault="001D6450" w:rsidP="00D5675E">
            <w:pPr>
              <w:ind w:left="120"/>
              <w:rPr>
                <w:sz w:val="20"/>
                <w:szCs w:val="20"/>
              </w:rPr>
            </w:pPr>
            <w:r>
              <w:rPr>
                <w:sz w:val="18"/>
                <w:szCs w:val="18"/>
              </w:rPr>
              <w:t>privind SG)</w:t>
            </w:r>
          </w:p>
        </w:tc>
        <w:tc>
          <w:tcPr>
            <w:tcW w:w="2520" w:type="dxa"/>
            <w:vMerge w:val="restart"/>
            <w:vAlign w:val="bottom"/>
          </w:tcPr>
          <w:p w:rsidR="001D6450" w:rsidRDefault="001D6450" w:rsidP="00D5675E">
            <w:pPr>
              <w:ind w:left="120"/>
              <w:rPr>
                <w:sz w:val="20"/>
                <w:szCs w:val="20"/>
              </w:rPr>
            </w:pPr>
            <w:r>
              <w:rPr>
                <w:sz w:val="18"/>
                <w:szCs w:val="18"/>
              </w:rPr>
              <w:t>Evaluare independentă **</w:t>
            </w:r>
          </w:p>
        </w:tc>
        <w:tc>
          <w:tcPr>
            <w:tcW w:w="1100" w:type="dxa"/>
            <w:vMerge w:val="restart"/>
            <w:vAlign w:val="bottom"/>
          </w:tcPr>
          <w:p w:rsidR="001D6450" w:rsidRDefault="001D6450" w:rsidP="00D5675E">
            <w:pPr>
              <w:jc w:val="center"/>
              <w:rPr>
                <w:sz w:val="20"/>
                <w:szCs w:val="20"/>
              </w:rPr>
            </w:pPr>
            <w:r>
              <w:rPr>
                <w:sz w:val="18"/>
                <w:szCs w:val="18"/>
              </w:rPr>
              <w:t>10,4</w:t>
            </w:r>
          </w:p>
        </w:tc>
        <w:tc>
          <w:tcPr>
            <w:tcW w:w="1480" w:type="dxa"/>
            <w:vMerge w:val="restart"/>
            <w:vAlign w:val="bottom"/>
          </w:tcPr>
          <w:p w:rsidR="001D6450" w:rsidRDefault="001D6450" w:rsidP="00D5675E">
            <w:pPr>
              <w:ind w:left="10"/>
              <w:jc w:val="center"/>
              <w:rPr>
                <w:sz w:val="20"/>
                <w:szCs w:val="20"/>
              </w:rPr>
            </w:pPr>
            <w:r>
              <w:rPr>
                <w:w w:val="97"/>
                <w:sz w:val="18"/>
                <w:szCs w:val="18"/>
              </w:rPr>
              <w:t>5,4</w:t>
            </w:r>
          </w:p>
        </w:tc>
        <w:tc>
          <w:tcPr>
            <w:tcW w:w="1200" w:type="dxa"/>
            <w:vMerge w:val="restart"/>
            <w:vAlign w:val="bottom"/>
          </w:tcPr>
          <w:p w:rsidR="001D6450" w:rsidRDefault="001D6450" w:rsidP="00D5675E">
            <w:pPr>
              <w:jc w:val="center"/>
              <w:rPr>
                <w:sz w:val="20"/>
                <w:szCs w:val="20"/>
              </w:rPr>
            </w:pPr>
            <w:r>
              <w:rPr>
                <w:sz w:val="18"/>
                <w:szCs w:val="18"/>
              </w:rPr>
              <w:t>0,47</w:t>
            </w:r>
          </w:p>
        </w:tc>
        <w:tc>
          <w:tcPr>
            <w:tcW w:w="1240" w:type="dxa"/>
            <w:vMerge w:val="restart"/>
            <w:vAlign w:val="bottom"/>
          </w:tcPr>
          <w:p w:rsidR="001D6450" w:rsidRDefault="001D6450" w:rsidP="00D5675E">
            <w:pPr>
              <w:jc w:val="center"/>
              <w:rPr>
                <w:sz w:val="20"/>
                <w:szCs w:val="20"/>
              </w:rPr>
            </w:pPr>
            <w:r>
              <w:rPr>
                <w:sz w:val="18"/>
                <w:szCs w:val="18"/>
              </w:rPr>
              <w:t>p=0,003</w:t>
            </w:r>
          </w:p>
        </w:tc>
        <w:tc>
          <w:tcPr>
            <w:tcW w:w="0" w:type="dxa"/>
            <w:vAlign w:val="bottom"/>
          </w:tcPr>
          <w:p w:rsidR="001D6450" w:rsidRDefault="001D6450" w:rsidP="00D5675E">
            <w:pPr>
              <w:rPr>
                <w:sz w:val="1"/>
                <w:szCs w:val="1"/>
              </w:rPr>
            </w:pPr>
          </w:p>
        </w:tc>
      </w:tr>
      <w:tr w:rsidR="001D6450" w:rsidTr="00D5675E">
        <w:trPr>
          <w:trHeight w:val="118"/>
        </w:trPr>
        <w:tc>
          <w:tcPr>
            <w:tcW w:w="1240" w:type="dxa"/>
            <w:vMerge w:val="restart"/>
            <w:vAlign w:val="bottom"/>
          </w:tcPr>
          <w:p w:rsidR="001D6450" w:rsidRDefault="001D6450" w:rsidP="00D5675E">
            <w:pPr>
              <w:ind w:left="120"/>
              <w:rPr>
                <w:sz w:val="20"/>
                <w:szCs w:val="20"/>
              </w:rPr>
            </w:pPr>
            <w:r>
              <w:rPr>
                <w:sz w:val="18"/>
                <w:szCs w:val="18"/>
              </w:rPr>
              <w:t>(n=153)</w:t>
            </w:r>
          </w:p>
        </w:tc>
        <w:tc>
          <w:tcPr>
            <w:tcW w:w="2520" w:type="dxa"/>
            <w:vMerge/>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Merge/>
            <w:vAlign w:val="bottom"/>
          </w:tcPr>
          <w:p w:rsidR="001D6450" w:rsidRDefault="001D6450" w:rsidP="00D5675E">
            <w:pPr>
              <w:rPr>
                <w:sz w:val="10"/>
                <w:szCs w:val="10"/>
              </w:rPr>
            </w:pPr>
          </w:p>
        </w:tc>
        <w:tc>
          <w:tcPr>
            <w:tcW w:w="1240" w:type="dxa"/>
            <w:vMerge/>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4"/>
        </w:trPr>
        <w:tc>
          <w:tcPr>
            <w:tcW w:w="1240" w:type="dxa"/>
            <w:vMerge/>
            <w:vAlign w:val="bottom"/>
          </w:tcPr>
          <w:p w:rsidR="001D6450" w:rsidRDefault="001D6450" w:rsidP="00D5675E">
            <w:pPr>
              <w:rPr>
                <w:sz w:val="10"/>
                <w:szCs w:val="10"/>
              </w:rPr>
            </w:pPr>
          </w:p>
        </w:tc>
        <w:tc>
          <w:tcPr>
            <w:tcW w:w="2520" w:type="dxa"/>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Merge w:val="restart"/>
            <w:vAlign w:val="bottom"/>
          </w:tcPr>
          <w:p w:rsidR="001D6450" w:rsidRDefault="001D6450" w:rsidP="00D5675E">
            <w:pPr>
              <w:jc w:val="center"/>
              <w:rPr>
                <w:sz w:val="20"/>
                <w:szCs w:val="20"/>
              </w:rPr>
            </w:pPr>
            <w:r>
              <w:rPr>
                <w:w w:val="98"/>
                <w:sz w:val="18"/>
                <w:szCs w:val="18"/>
              </w:rPr>
              <w:t>[0,27-0,78]</w:t>
            </w: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18"/>
        </w:trPr>
        <w:tc>
          <w:tcPr>
            <w:tcW w:w="1240" w:type="dxa"/>
            <w:vAlign w:val="bottom"/>
          </w:tcPr>
          <w:p w:rsidR="001D6450" w:rsidRDefault="001D6450" w:rsidP="00D5675E">
            <w:pPr>
              <w:rPr>
                <w:sz w:val="10"/>
                <w:szCs w:val="10"/>
              </w:rPr>
            </w:pPr>
          </w:p>
        </w:tc>
        <w:tc>
          <w:tcPr>
            <w:tcW w:w="2520" w:type="dxa"/>
            <w:vAlign w:val="bottom"/>
          </w:tcPr>
          <w:p w:rsidR="001D6450" w:rsidRDefault="001D6450" w:rsidP="00D5675E">
            <w:pPr>
              <w:rPr>
                <w:sz w:val="10"/>
                <w:szCs w:val="10"/>
              </w:rPr>
            </w:pPr>
          </w:p>
        </w:tc>
        <w:tc>
          <w:tcPr>
            <w:tcW w:w="1100" w:type="dxa"/>
            <w:vAlign w:val="bottom"/>
          </w:tcPr>
          <w:p w:rsidR="001D6450" w:rsidRDefault="001D6450" w:rsidP="00D5675E">
            <w:pPr>
              <w:rPr>
                <w:sz w:val="10"/>
                <w:szCs w:val="10"/>
              </w:rPr>
            </w:pPr>
          </w:p>
        </w:tc>
        <w:tc>
          <w:tcPr>
            <w:tcW w:w="1480" w:type="dxa"/>
            <w:vAlign w:val="bottom"/>
          </w:tcPr>
          <w:p w:rsidR="001D6450" w:rsidRDefault="001D6450" w:rsidP="00D5675E">
            <w:pPr>
              <w:rPr>
                <w:sz w:val="10"/>
                <w:szCs w:val="10"/>
              </w:rPr>
            </w:pPr>
          </w:p>
        </w:tc>
        <w:tc>
          <w:tcPr>
            <w:tcW w:w="1200" w:type="dxa"/>
            <w:vMerge/>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82"/>
        </w:trPr>
        <w:tc>
          <w:tcPr>
            <w:tcW w:w="1240" w:type="dxa"/>
            <w:vAlign w:val="bottom"/>
          </w:tcPr>
          <w:p w:rsidR="001D6450" w:rsidRDefault="001D6450" w:rsidP="00D5675E">
            <w:pPr>
              <w:ind w:left="120"/>
              <w:rPr>
                <w:sz w:val="20"/>
                <w:szCs w:val="20"/>
              </w:rPr>
            </w:pPr>
            <w:r>
              <w:rPr>
                <w:sz w:val="10"/>
                <w:szCs w:val="10"/>
              </w:rPr>
              <w:t>Data de închidere a bazei</w:t>
            </w:r>
          </w:p>
        </w:tc>
        <w:tc>
          <w:tcPr>
            <w:tcW w:w="2520" w:type="dxa"/>
            <w:vAlign w:val="bottom"/>
          </w:tcPr>
          <w:p w:rsidR="001D6450" w:rsidRDefault="001D6450" w:rsidP="00D5675E">
            <w:pPr>
              <w:rPr>
                <w:sz w:val="15"/>
                <w:szCs w:val="15"/>
              </w:rPr>
            </w:pPr>
          </w:p>
        </w:tc>
        <w:tc>
          <w:tcPr>
            <w:tcW w:w="1100" w:type="dxa"/>
            <w:vAlign w:val="bottom"/>
          </w:tcPr>
          <w:p w:rsidR="001D6450" w:rsidRDefault="001D6450" w:rsidP="00D5675E">
            <w:pPr>
              <w:rPr>
                <w:sz w:val="15"/>
                <w:szCs w:val="15"/>
              </w:rPr>
            </w:pPr>
          </w:p>
        </w:tc>
        <w:tc>
          <w:tcPr>
            <w:tcW w:w="1480" w:type="dxa"/>
            <w:vAlign w:val="bottom"/>
          </w:tcPr>
          <w:p w:rsidR="001D6450" w:rsidRDefault="001D6450" w:rsidP="00D5675E">
            <w:pPr>
              <w:rPr>
                <w:sz w:val="15"/>
                <w:szCs w:val="15"/>
              </w:rPr>
            </w:pPr>
          </w:p>
        </w:tc>
        <w:tc>
          <w:tcPr>
            <w:tcW w:w="1200" w:type="dxa"/>
            <w:vAlign w:val="bottom"/>
          </w:tcPr>
          <w:p w:rsidR="001D6450" w:rsidRDefault="001D6450" w:rsidP="00D5675E">
            <w:pPr>
              <w:rPr>
                <w:sz w:val="15"/>
                <w:szCs w:val="15"/>
              </w:rPr>
            </w:pPr>
          </w:p>
        </w:tc>
        <w:tc>
          <w:tcPr>
            <w:tcW w:w="1240" w:type="dxa"/>
            <w:vAlign w:val="bottom"/>
          </w:tcPr>
          <w:p w:rsidR="001D6450" w:rsidRDefault="001D6450" w:rsidP="00D5675E">
            <w:pPr>
              <w:rPr>
                <w:sz w:val="15"/>
                <w:szCs w:val="15"/>
              </w:rPr>
            </w:pPr>
          </w:p>
        </w:tc>
        <w:tc>
          <w:tcPr>
            <w:tcW w:w="0" w:type="dxa"/>
            <w:vAlign w:val="bottom"/>
          </w:tcPr>
          <w:p w:rsidR="001D6450" w:rsidRDefault="001D6450" w:rsidP="00D5675E">
            <w:pPr>
              <w:rPr>
                <w:sz w:val="1"/>
                <w:szCs w:val="1"/>
              </w:rPr>
            </w:pPr>
          </w:p>
        </w:tc>
      </w:tr>
      <w:tr w:rsidR="001D6450" w:rsidTr="00D5675E">
        <w:trPr>
          <w:trHeight w:val="135"/>
        </w:trPr>
        <w:tc>
          <w:tcPr>
            <w:tcW w:w="1240" w:type="dxa"/>
            <w:vAlign w:val="bottom"/>
          </w:tcPr>
          <w:p w:rsidR="001D6450" w:rsidRDefault="001D6450" w:rsidP="00D5675E">
            <w:pPr>
              <w:ind w:left="120"/>
              <w:rPr>
                <w:sz w:val="20"/>
                <w:szCs w:val="20"/>
              </w:rPr>
            </w:pPr>
            <w:r>
              <w:rPr>
                <w:sz w:val="10"/>
                <w:szCs w:val="10"/>
              </w:rPr>
              <w:t>de date: August 2010</w:t>
            </w:r>
          </w:p>
        </w:tc>
        <w:tc>
          <w:tcPr>
            <w:tcW w:w="2520" w:type="dxa"/>
            <w:vAlign w:val="bottom"/>
          </w:tcPr>
          <w:p w:rsidR="001D6450" w:rsidRDefault="001D6450" w:rsidP="00D5675E">
            <w:pPr>
              <w:rPr>
                <w:sz w:val="11"/>
                <w:szCs w:val="11"/>
              </w:rPr>
            </w:pPr>
          </w:p>
        </w:tc>
        <w:tc>
          <w:tcPr>
            <w:tcW w:w="1100" w:type="dxa"/>
            <w:vAlign w:val="bottom"/>
          </w:tcPr>
          <w:p w:rsidR="001D6450" w:rsidRDefault="001D6450" w:rsidP="00D5675E">
            <w:pPr>
              <w:rPr>
                <w:sz w:val="11"/>
                <w:szCs w:val="11"/>
              </w:rPr>
            </w:pPr>
          </w:p>
        </w:tc>
        <w:tc>
          <w:tcPr>
            <w:tcW w:w="1480" w:type="dxa"/>
            <w:vAlign w:val="bottom"/>
          </w:tcPr>
          <w:p w:rsidR="001D6450" w:rsidRDefault="001D6450" w:rsidP="00D5675E">
            <w:pPr>
              <w:rPr>
                <w:sz w:val="11"/>
                <w:szCs w:val="11"/>
              </w:rPr>
            </w:pPr>
          </w:p>
        </w:tc>
        <w:tc>
          <w:tcPr>
            <w:tcW w:w="1200" w:type="dxa"/>
            <w:vAlign w:val="bottom"/>
          </w:tcPr>
          <w:p w:rsidR="001D6450" w:rsidRDefault="001D6450" w:rsidP="00D5675E">
            <w:pPr>
              <w:rPr>
                <w:sz w:val="11"/>
                <w:szCs w:val="11"/>
              </w:rPr>
            </w:pPr>
          </w:p>
        </w:tc>
        <w:tc>
          <w:tcPr>
            <w:tcW w:w="1240" w:type="dxa"/>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88"/>
        </w:trPr>
        <w:tc>
          <w:tcPr>
            <w:tcW w:w="1240" w:type="dxa"/>
            <w:vAlign w:val="bottom"/>
          </w:tcPr>
          <w:p w:rsidR="001D6450" w:rsidRDefault="001D6450" w:rsidP="00D5675E">
            <w:pPr>
              <w:rPr>
                <w:sz w:val="7"/>
                <w:szCs w:val="7"/>
              </w:rPr>
            </w:pPr>
          </w:p>
        </w:tc>
        <w:tc>
          <w:tcPr>
            <w:tcW w:w="2520" w:type="dxa"/>
            <w:tcBorders>
              <w:bottom w:val="single" w:sz="8" w:space="0" w:color="auto"/>
            </w:tcBorders>
            <w:vAlign w:val="bottom"/>
          </w:tcPr>
          <w:p w:rsidR="001D6450" w:rsidRDefault="001D6450" w:rsidP="00D5675E">
            <w:pPr>
              <w:rPr>
                <w:sz w:val="7"/>
                <w:szCs w:val="7"/>
              </w:rPr>
            </w:pPr>
          </w:p>
        </w:tc>
        <w:tc>
          <w:tcPr>
            <w:tcW w:w="1100" w:type="dxa"/>
            <w:tcBorders>
              <w:bottom w:val="single" w:sz="8" w:space="0" w:color="auto"/>
            </w:tcBorders>
            <w:vAlign w:val="bottom"/>
          </w:tcPr>
          <w:p w:rsidR="001D6450" w:rsidRDefault="001D6450" w:rsidP="00D5675E">
            <w:pPr>
              <w:rPr>
                <w:sz w:val="7"/>
                <w:szCs w:val="7"/>
              </w:rPr>
            </w:pPr>
          </w:p>
        </w:tc>
        <w:tc>
          <w:tcPr>
            <w:tcW w:w="1480" w:type="dxa"/>
            <w:tcBorders>
              <w:bottom w:val="single" w:sz="8" w:space="0" w:color="auto"/>
            </w:tcBorders>
            <w:vAlign w:val="bottom"/>
          </w:tcPr>
          <w:p w:rsidR="001D6450" w:rsidRDefault="001D6450" w:rsidP="00D5675E">
            <w:pPr>
              <w:rPr>
                <w:sz w:val="7"/>
                <w:szCs w:val="7"/>
              </w:rPr>
            </w:pPr>
          </w:p>
        </w:tc>
        <w:tc>
          <w:tcPr>
            <w:tcW w:w="1200" w:type="dxa"/>
            <w:tcBorders>
              <w:bottom w:val="single" w:sz="8" w:space="0" w:color="auto"/>
            </w:tcBorders>
            <w:vAlign w:val="bottom"/>
          </w:tcPr>
          <w:p w:rsidR="001D6450" w:rsidRDefault="001D6450" w:rsidP="00D5675E">
            <w:pPr>
              <w:rPr>
                <w:sz w:val="7"/>
                <w:szCs w:val="7"/>
              </w:rPr>
            </w:pPr>
          </w:p>
        </w:tc>
        <w:tc>
          <w:tcPr>
            <w:tcW w:w="1240" w:type="dxa"/>
            <w:tcBorders>
              <w:bottom w:val="single" w:sz="8" w:space="0" w:color="auto"/>
            </w:tcBorders>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77"/>
        </w:trPr>
        <w:tc>
          <w:tcPr>
            <w:tcW w:w="1240" w:type="dxa"/>
            <w:vAlign w:val="bottom"/>
          </w:tcPr>
          <w:p w:rsidR="001D6450" w:rsidRDefault="001D6450" w:rsidP="00D5675E">
            <w:pPr>
              <w:rPr>
                <w:sz w:val="15"/>
                <w:szCs w:val="15"/>
              </w:rPr>
            </w:pPr>
          </w:p>
        </w:tc>
        <w:tc>
          <w:tcPr>
            <w:tcW w:w="2520" w:type="dxa"/>
            <w:vAlign w:val="bottom"/>
          </w:tcPr>
          <w:p w:rsidR="001D6450" w:rsidRDefault="001D6450" w:rsidP="00D5675E">
            <w:pPr>
              <w:spacing w:line="177" w:lineRule="exact"/>
              <w:ind w:left="120"/>
              <w:rPr>
                <w:sz w:val="20"/>
                <w:szCs w:val="20"/>
              </w:rPr>
            </w:pPr>
            <w:r>
              <w:rPr>
                <w:sz w:val="18"/>
                <w:szCs w:val="18"/>
              </w:rPr>
              <w:t>Cea mai bună rată globală de</w:t>
            </w:r>
          </w:p>
        </w:tc>
        <w:tc>
          <w:tcPr>
            <w:tcW w:w="1100" w:type="dxa"/>
            <w:vMerge w:val="restart"/>
            <w:vAlign w:val="bottom"/>
          </w:tcPr>
          <w:p w:rsidR="001D6450" w:rsidRDefault="001D6450" w:rsidP="00D5675E">
            <w:pPr>
              <w:jc w:val="center"/>
              <w:rPr>
                <w:sz w:val="20"/>
                <w:szCs w:val="20"/>
              </w:rPr>
            </w:pPr>
            <w:r>
              <w:rPr>
                <w:sz w:val="18"/>
                <w:szCs w:val="18"/>
              </w:rPr>
              <w:t>54,5%</w:t>
            </w:r>
          </w:p>
        </w:tc>
        <w:tc>
          <w:tcPr>
            <w:tcW w:w="1480" w:type="dxa"/>
            <w:vMerge w:val="restart"/>
            <w:vAlign w:val="bottom"/>
          </w:tcPr>
          <w:p w:rsidR="001D6450" w:rsidRDefault="001D6450" w:rsidP="00D5675E">
            <w:pPr>
              <w:ind w:left="10"/>
              <w:jc w:val="center"/>
              <w:rPr>
                <w:sz w:val="20"/>
                <w:szCs w:val="20"/>
              </w:rPr>
            </w:pPr>
            <w:r>
              <w:rPr>
                <w:w w:val="98"/>
                <w:sz w:val="18"/>
                <w:szCs w:val="18"/>
              </w:rPr>
              <w:t>10,5%</w:t>
            </w:r>
          </w:p>
        </w:tc>
        <w:tc>
          <w:tcPr>
            <w:tcW w:w="1200" w:type="dxa"/>
            <w:vAlign w:val="bottom"/>
          </w:tcPr>
          <w:p w:rsidR="001D6450" w:rsidRDefault="001D6450" w:rsidP="00D5675E">
            <w:pPr>
              <w:rPr>
                <w:sz w:val="15"/>
                <w:szCs w:val="15"/>
              </w:rPr>
            </w:pP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38"/>
        </w:trPr>
        <w:tc>
          <w:tcPr>
            <w:tcW w:w="1240" w:type="dxa"/>
            <w:vAlign w:val="bottom"/>
          </w:tcPr>
          <w:p w:rsidR="001D6450" w:rsidRDefault="001D6450" w:rsidP="00D5675E">
            <w:pPr>
              <w:rPr>
                <w:sz w:val="12"/>
                <w:szCs w:val="12"/>
              </w:rPr>
            </w:pPr>
          </w:p>
        </w:tc>
        <w:tc>
          <w:tcPr>
            <w:tcW w:w="2520" w:type="dxa"/>
            <w:vMerge w:val="restart"/>
            <w:vAlign w:val="bottom"/>
          </w:tcPr>
          <w:p w:rsidR="001D6450" w:rsidRDefault="001D6450" w:rsidP="00D5675E">
            <w:pPr>
              <w:ind w:left="120"/>
              <w:rPr>
                <w:sz w:val="20"/>
                <w:szCs w:val="20"/>
              </w:rPr>
            </w:pPr>
            <w:r>
              <w:rPr>
                <w:sz w:val="18"/>
                <w:szCs w:val="18"/>
              </w:rPr>
              <w:t>răspuns (RC/RP)</w:t>
            </w: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Align w:val="bottom"/>
          </w:tcPr>
          <w:p w:rsidR="001D6450" w:rsidRDefault="001D6450" w:rsidP="00D5675E">
            <w:pPr>
              <w:rPr>
                <w:sz w:val="12"/>
                <w:szCs w:val="12"/>
              </w:rPr>
            </w:pP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95"/>
        </w:trPr>
        <w:tc>
          <w:tcPr>
            <w:tcW w:w="1240" w:type="dxa"/>
            <w:vAlign w:val="bottom"/>
          </w:tcPr>
          <w:p w:rsidR="001D6450" w:rsidRDefault="001D6450" w:rsidP="00D5675E">
            <w:pPr>
              <w:rPr>
                <w:sz w:val="8"/>
                <w:szCs w:val="8"/>
              </w:rPr>
            </w:pPr>
          </w:p>
        </w:tc>
        <w:tc>
          <w:tcPr>
            <w:tcW w:w="2520" w:type="dxa"/>
            <w:vMerge/>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177"/>
        </w:trPr>
        <w:tc>
          <w:tcPr>
            <w:tcW w:w="1240" w:type="dxa"/>
            <w:vAlign w:val="bottom"/>
          </w:tcPr>
          <w:p w:rsidR="001D6450" w:rsidRDefault="001D6450" w:rsidP="00D5675E">
            <w:pPr>
              <w:rPr>
                <w:sz w:val="15"/>
                <w:szCs w:val="15"/>
              </w:rPr>
            </w:pPr>
          </w:p>
        </w:tc>
        <w:tc>
          <w:tcPr>
            <w:tcW w:w="2520" w:type="dxa"/>
            <w:vAlign w:val="bottom"/>
          </w:tcPr>
          <w:p w:rsidR="001D6450" w:rsidRDefault="001D6450" w:rsidP="00D5675E">
            <w:pPr>
              <w:spacing w:line="177" w:lineRule="exact"/>
              <w:ind w:left="120"/>
              <w:rPr>
                <w:sz w:val="20"/>
                <w:szCs w:val="20"/>
              </w:rPr>
            </w:pPr>
            <w:r>
              <w:rPr>
                <w:sz w:val="18"/>
                <w:szCs w:val="18"/>
              </w:rPr>
              <w:t>Supravieţuire generală (SG)</w:t>
            </w:r>
          </w:p>
        </w:tc>
        <w:tc>
          <w:tcPr>
            <w:tcW w:w="1100" w:type="dxa"/>
            <w:vMerge w:val="restart"/>
            <w:vAlign w:val="bottom"/>
          </w:tcPr>
          <w:p w:rsidR="001D6450" w:rsidRDefault="001D6450" w:rsidP="00D5675E">
            <w:pPr>
              <w:jc w:val="center"/>
              <w:rPr>
                <w:sz w:val="20"/>
                <w:szCs w:val="20"/>
              </w:rPr>
            </w:pPr>
            <w:r>
              <w:rPr>
                <w:sz w:val="18"/>
                <w:szCs w:val="18"/>
              </w:rPr>
              <w:t>22,9</w:t>
            </w:r>
          </w:p>
        </w:tc>
        <w:tc>
          <w:tcPr>
            <w:tcW w:w="1480" w:type="dxa"/>
            <w:vMerge w:val="restart"/>
            <w:vAlign w:val="bottom"/>
          </w:tcPr>
          <w:p w:rsidR="001D6450" w:rsidRDefault="001D6450" w:rsidP="00D5675E">
            <w:pPr>
              <w:jc w:val="center"/>
              <w:rPr>
                <w:sz w:val="20"/>
                <w:szCs w:val="20"/>
              </w:rPr>
            </w:pPr>
            <w:r>
              <w:rPr>
                <w:sz w:val="18"/>
                <w:szCs w:val="18"/>
              </w:rPr>
              <w:t>18,8</w:t>
            </w:r>
          </w:p>
        </w:tc>
        <w:tc>
          <w:tcPr>
            <w:tcW w:w="1200" w:type="dxa"/>
            <w:vAlign w:val="bottom"/>
          </w:tcPr>
          <w:p w:rsidR="001D6450" w:rsidRDefault="001D6450" w:rsidP="00D5675E">
            <w:pPr>
              <w:spacing w:line="177" w:lineRule="exact"/>
              <w:jc w:val="center"/>
              <w:rPr>
                <w:sz w:val="20"/>
                <w:szCs w:val="20"/>
              </w:rPr>
            </w:pPr>
            <w:r>
              <w:rPr>
                <w:sz w:val="18"/>
                <w:szCs w:val="18"/>
              </w:rPr>
              <w:t>0,80</w:t>
            </w:r>
          </w:p>
        </w:tc>
        <w:tc>
          <w:tcPr>
            <w:tcW w:w="1240" w:type="dxa"/>
            <w:vMerge w:val="restart"/>
            <w:vAlign w:val="bottom"/>
          </w:tcPr>
          <w:p w:rsidR="001D6450" w:rsidRDefault="001D6450" w:rsidP="00D5675E">
            <w:pPr>
              <w:jc w:val="center"/>
              <w:rPr>
                <w:sz w:val="20"/>
                <w:szCs w:val="20"/>
              </w:rPr>
            </w:pPr>
            <w:r>
              <w:rPr>
                <w:sz w:val="18"/>
                <w:szCs w:val="18"/>
              </w:rPr>
              <w:t>p=0,4170</w:t>
            </w:r>
          </w:p>
        </w:tc>
        <w:tc>
          <w:tcPr>
            <w:tcW w:w="0" w:type="dxa"/>
            <w:vAlign w:val="bottom"/>
          </w:tcPr>
          <w:p w:rsidR="001D6450" w:rsidRDefault="001D6450" w:rsidP="00D5675E">
            <w:pPr>
              <w:rPr>
                <w:sz w:val="1"/>
                <w:szCs w:val="1"/>
              </w:rPr>
            </w:pPr>
          </w:p>
        </w:tc>
      </w:tr>
      <w:tr w:rsidR="001D6450" w:rsidTr="00D5675E">
        <w:trPr>
          <w:trHeight w:val="138"/>
        </w:trPr>
        <w:tc>
          <w:tcPr>
            <w:tcW w:w="1240" w:type="dxa"/>
            <w:vAlign w:val="bottom"/>
          </w:tcPr>
          <w:p w:rsidR="001D6450" w:rsidRDefault="001D6450" w:rsidP="00D5675E">
            <w:pPr>
              <w:rPr>
                <w:sz w:val="12"/>
                <w:szCs w:val="12"/>
              </w:rPr>
            </w:pPr>
          </w:p>
        </w:tc>
        <w:tc>
          <w:tcPr>
            <w:tcW w:w="2520" w:type="dxa"/>
            <w:vMerge w:val="restart"/>
            <w:vAlign w:val="bottom"/>
          </w:tcPr>
          <w:p w:rsidR="001D6450" w:rsidRDefault="001D6450" w:rsidP="00D5675E">
            <w:pPr>
              <w:ind w:left="120"/>
              <w:rPr>
                <w:sz w:val="20"/>
                <w:szCs w:val="20"/>
              </w:rPr>
            </w:pPr>
            <w:r>
              <w:rPr>
                <w:sz w:val="18"/>
                <w:szCs w:val="18"/>
              </w:rPr>
              <w:t>(luni)</w:t>
            </w: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jc w:val="center"/>
              <w:rPr>
                <w:sz w:val="20"/>
                <w:szCs w:val="20"/>
              </w:rPr>
            </w:pPr>
            <w:r>
              <w:rPr>
                <w:w w:val="98"/>
                <w:sz w:val="18"/>
                <w:szCs w:val="18"/>
              </w:rPr>
              <w:t>[0,47-1,37]</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92"/>
        </w:trPr>
        <w:tc>
          <w:tcPr>
            <w:tcW w:w="1240" w:type="dxa"/>
            <w:tcBorders>
              <w:bottom w:val="single" w:sz="8" w:space="0" w:color="auto"/>
            </w:tcBorders>
            <w:vAlign w:val="bottom"/>
          </w:tcPr>
          <w:p w:rsidR="001D6450" w:rsidRDefault="001D6450" w:rsidP="00D5675E">
            <w:pPr>
              <w:rPr>
                <w:sz w:val="8"/>
                <w:szCs w:val="8"/>
              </w:rPr>
            </w:pPr>
          </w:p>
        </w:tc>
        <w:tc>
          <w:tcPr>
            <w:tcW w:w="2520" w:type="dxa"/>
            <w:vMerge/>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vMerge/>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179"/>
        </w:trPr>
        <w:tc>
          <w:tcPr>
            <w:tcW w:w="1240" w:type="dxa"/>
            <w:vAlign w:val="bottom"/>
          </w:tcPr>
          <w:p w:rsidR="001D6450" w:rsidRDefault="001D6450" w:rsidP="00D5675E">
            <w:pPr>
              <w:spacing w:line="179" w:lineRule="exact"/>
              <w:ind w:left="120"/>
              <w:rPr>
                <w:sz w:val="20"/>
                <w:szCs w:val="20"/>
              </w:rPr>
            </w:pPr>
            <w:r>
              <w:rPr>
                <w:sz w:val="18"/>
                <w:szCs w:val="18"/>
              </w:rPr>
              <w:t>Analiză</w:t>
            </w:r>
          </w:p>
        </w:tc>
        <w:tc>
          <w:tcPr>
            <w:tcW w:w="2520" w:type="dxa"/>
            <w:vAlign w:val="bottom"/>
          </w:tcPr>
          <w:p w:rsidR="001D6450" w:rsidRDefault="001D6450" w:rsidP="00D5675E">
            <w:pPr>
              <w:rPr>
                <w:sz w:val="15"/>
                <w:szCs w:val="15"/>
              </w:rPr>
            </w:pPr>
          </w:p>
        </w:tc>
        <w:tc>
          <w:tcPr>
            <w:tcW w:w="1100" w:type="dxa"/>
            <w:vMerge w:val="restart"/>
            <w:vAlign w:val="bottom"/>
          </w:tcPr>
          <w:p w:rsidR="001D6450" w:rsidRDefault="001D6450" w:rsidP="00D5675E">
            <w:pPr>
              <w:jc w:val="center"/>
              <w:rPr>
                <w:sz w:val="20"/>
                <w:szCs w:val="20"/>
              </w:rPr>
            </w:pPr>
            <w:r>
              <w:rPr>
                <w:w w:val="96"/>
                <w:sz w:val="18"/>
                <w:szCs w:val="18"/>
              </w:rPr>
              <w:t>n=86</w:t>
            </w:r>
          </w:p>
        </w:tc>
        <w:tc>
          <w:tcPr>
            <w:tcW w:w="1480" w:type="dxa"/>
            <w:vMerge w:val="restart"/>
            <w:vAlign w:val="bottom"/>
          </w:tcPr>
          <w:p w:rsidR="001D6450" w:rsidRDefault="001D6450" w:rsidP="00D5675E">
            <w:pPr>
              <w:ind w:left="10"/>
              <w:jc w:val="center"/>
              <w:rPr>
                <w:sz w:val="20"/>
                <w:szCs w:val="20"/>
              </w:rPr>
            </w:pPr>
            <w:r>
              <w:rPr>
                <w:sz w:val="18"/>
                <w:szCs w:val="18"/>
              </w:rPr>
              <w:t>n=87</w:t>
            </w:r>
          </w:p>
        </w:tc>
        <w:tc>
          <w:tcPr>
            <w:tcW w:w="1200" w:type="dxa"/>
            <w:vAlign w:val="bottom"/>
          </w:tcPr>
          <w:p w:rsidR="001D6450" w:rsidRDefault="001D6450" w:rsidP="00D5675E">
            <w:pPr>
              <w:rPr>
                <w:sz w:val="15"/>
                <w:szCs w:val="15"/>
              </w:rPr>
            </w:pPr>
          </w:p>
        </w:tc>
        <w:tc>
          <w:tcPr>
            <w:tcW w:w="1240" w:type="dxa"/>
            <w:vAlign w:val="bottom"/>
          </w:tcPr>
          <w:p w:rsidR="001D6450" w:rsidRDefault="001D6450" w:rsidP="00D5675E">
            <w:pPr>
              <w:rPr>
                <w:sz w:val="15"/>
                <w:szCs w:val="15"/>
              </w:rPr>
            </w:pPr>
          </w:p>
        </w:tc>
        <w:tc>
          <w:tcPr>
            <w:tcW w:w="0" w:type="dxa"/>
            <w:vAlign w:val="bottom"/>
          </w:tcPr>
          <w:p w:rsidR="001D6450" w:rsidRDefault="001D6450" w:rsidP="00D5675E">
            <w:pPr>
              <w:rPr>
                <w:sz w:val="1"/>
                <w:szCs w:val="1"/>
              </w:rPr>
            </w:pPr>
          </w:p>
        </w:tc>
      </w:tr>
      <w:tr w:rsidR="001D6450" w:rsidTr="00D5675E">
        <w:trPr>
          <w:trHeight w:val="124"/>
        </w:trPr>
        <w:tc>
          <w:tcPr>
            <w:tcW w:w="1240" w:type="dxa"/>
            <w:vMerge w:val="restart"/>
            <w:vAlign w:val="bottom"/>
          </w:tcPr>
          <w:p w:rsidR="001D6450" w:rsidRDefault="001D6450" w:rsidP="00D5675E">
            <w:pPr>
              <w:spacing w:line="204" w:lineRule="exact"/>
              <w:ind w:left="120"/>
              <w:rPr>
                <w:sz w:val="20"/>
                <w:szCs w:val="20"/>
              </w:rPr>
            </w:pPr>
            <w:r>
              <w:rPr>
                <w:sz w:val="18"/>
                <w:szCs w:val="18"/>
              </w:rPr>
              <w:t>exploratorie</w:t>
            </w:r>
          </w:p>
        </w:tc>
        <w:tc>
          <w:tcPr>
            <w:tcW w:w="2520" w:type="dxa"/>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Align w:val="bottom"/>
          </w:tcPr>
          <w:p w:rsidR="001D6450" w:rsidRDefault="001D6450" w:rsidP="00D5675E">
            <w:pPr>
              <w:rPr>
                <w:sz w:val="10"/>
                <w:szCs w:val="10"/>
              </w:rPr>
            </w:pPr>
          </w:p>
        </w:tc>
        <w:tc>
          <w:tcPr>
            <w:tcW w:w="1240" w:type="dxa"/>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80"/>
        </w:trPr>
        <w:tc>
          <w:tcPr>
            <w:tcW w:w="1240" w:type="dxa"/>
            <w:vMerge/>
            <w:vAlign w:val="bottom"/>
          </w:tcPr>
          <w:p w:rsidR="001D6450" w:rsidRDefault="001D6450" w:rsidP="00D5675E">
            <w:pPr>
              <w:rPr>
                <w:sz w:val="6"/>
                <w:szCs w:val="6"/>
              </w:rPr>
            </w:pPr>
          </w:p>
        </w:tc>
        <w:tc>
          <w:tcPr>
            <w:tcW w:w="2520" w:type="dxa"/>
            <w:tcBorders>
              <w:bottom w:val="single" w:sz="8" w:space="0" w:color="auto"/>
            </w:tcBorders>
            <w:vAlign w:val="bottom"/>
          </w:tcPr>
          <w:p w:rsidR="001D6450" w:rsidRDefault="001D6450" w:rsidP="00D5675E">
            <w:pPr>
              <w:rPr>
                <w:sz w:val="6"/>
                <w:szCs w:val="6"/>
              </w:rPr>
            </w:pPr>
          </w:p>
        </w:tc>
        <w:tc>
          <w:tcPr>
            <w:tcW w:w="1100" w:type="dxa"/>
            <w:tcBorders>
              <w:bottom w:val="single" w:sz="8" w:space="0" w:color="auto"/>
            </w:tcBorders>
            <w:vAlign w:val="bottom"/>
          </w:tcPr>
          <w:p w:rsidR="001D6450" w:rsidRDefault="001D6450" w:rsidP="00D5675E">
            <w:pPr>
              <w:rPr>
                <w:sz w:val="6"/>
                <w:szCs w:val="6"/>
              </w:rPr>
            </w:pPr>
          </w:p>
        </w:tc>
        <w:tc>
          <w:tcPr>
            <w:tcW w:w="1480" w:type="dxa"/>
            <w:tcBorders>
              <w:bottom w:val="single" w:sz="8" w:space="0" w:color="auto"/>
            </w:tcBorders>
            <w:vAlign w:val="bottom"/>
          </w:tcPr>
          <w:p w:rsidR="001D6450" w:rsidRDefault="001D6450" w:rsidP="00D5675E">
            <w:pPr>
              <w:rPr>
                <w:sz w:val="6"/>
                <w:szCs w:val="6"/>
              </w:rPr>
            </w:pPr>
          </w:p>
        </w:tc>
        <w:tc>
          <w:tcPr>
            <w:tcW w:w="1200" w:type="dxa"/>
            <w:tcBorders>
              <w:bottom w:val="single" w:sz="8" w:space="0" w:color="auto"/>
            </w:tcBorders>
            <w:vAlign w:val="bottom"/>
          </w:tcPr>
          <w:p w:rsidR="001D6450" w:rsidRDefault="001D6450" w:rsidP="00D5675E">
            <w:pPr>
              <w:rPr>
                <w:sz w:val="6"/>
                <w:szCs w:val="6"/>
              </w:rPr>
            </w:pPr>
          </w:p>
        </w:tc>
        <w:tc>
          <w:tcPr>
            <w:tcW w:w="1240" w:type="dxa"/>
            <w:tcBorders>
              <w:bottom w:val="single" w:sz="8" w:space="0" w:color="auto"/>
            </w:tcBorders>
            <w:vAlign w:val="bottom"/>
          </w:tcPr>
          <w:p w:rsidR="001D6450" w:rsidRDefault="001D6450" w:rsidP="00D5675E">
            <w:pPr>
              <w:rPr>
                <w:sz w:val="6"/>
                <w:szCs w:val="6"/>
              </w:rPr>
            </w:pPr>
          </w:p>
        </w:tc>
        <w:tc>
          <w:tcPr>
            <w:tcW w:w="0" w:type="dxa"/>
            <w:vAlign w:val="bottom"/>
          </w:tcPr>
          <w:p w:rsidR="001D6450" w:rsidRDefault="001D6450" w:rsidP="00D5675E">
            <w:pPr>
              <w:rPr>
                <w:sz w:val="1"/>
                <w:szCs w:val="1"/>
              </w:rPr>
            </w:pPr>
          </w:p>
        </w:tc>
      </w:tr>
      <w:tr w:rsidR="001D6450" w:rsidTr="00D5675E">
        <w:trPr>
          <w:trHeight w:val="189"/>
        </w:trPr>
        <w:tc>
          <w:tcPr>
            <w:tcW w:w="1240" w:type="dxa"/>
            <w:vAlign w:val="bottom"/>
          </w:tcPr>
          <w:p w:rsidR="001D6450" w:rsidRDefault="001D6450" w:rsidP="00D5675E">
            <w:pPr>
              <w:spacing w:line="189" w:lineRule="exact"/>
              <w:ind w:left="120"/>
              <w:rPr>
                <w:sz w:val="20"/>
                <w:szCs w:val="20"/>
              </w:rPr>
            </w:pPr>
            <w:r>
              <w:rPr>
                <w:sz w:val="18"/>
                <w:szCs w:val="18"/>
              </w:rPr>
              <w:t>(40%</w:t>
            </w:r>
          </w:p>
        </w:tc>
        <w:tc>
          <w:tcPr>
            <w:tcW w:w="2520" w:type="dxa"/>
            <w:vAlign w:val="bottom"/>
          </w:tcPr>
          <w:p w:rsidR="001D6450" w:rsidRDefault="001D6450" w:rsidP="00D5675E">
            <w:pPr>
              <w:spacing w:line="189" w:lineRule="exact"/>
              <w:ind w:left="120"/>
              <w:rPr>
                <w:sz w:val="20"/>
                <w:szCs w:val="20"/>
              </w:rPr>
            </w:pPr>
            <w:r>
              <w:rPr>
                <w:sz w:val="18"/>
                <w:szCs w:val="18"/>
              </w:rPr>
              <w:t>SFP (mediană în luni),</w:t>
            </w:r>
          </w:p>
        </w:tc>
        <w:tc>
          <w:tcPr>
            <w:tcW w:w="1100" w:type="dxa"/>
            <w:vMerge w:val="restart"/>
            <w:vAlign w:val="bottom"/>
          </w:tcPr>
          <w:p w:rsidR="001D6450" w:rsidRDefault="001D6450" w:rsidP="00D5675E">
            <w:pPr>
              <w:jc w:val="center"/>
              <w:rPr>
                <w:sz w:val="20"/>
                <w:szCs w:val="20"/>
              </w:rPr>
            </w:pPr>
            <w:r>
              <w:rPr>
                <w:sz w:val="18"/>
                <w:szCs w:val="18"/>
              </w:rPr>
              <w:t>9,7</w:t>
            </w:r>
          </w:p>
        </w:tc>
        <w:tc>
          <w:tcPr>
            <w:tcW w:w="1480" w:type="dxa"/>
            <w:vMerge w:val="restart"/>
            <w:vAlign w:val="bottom"/>
          </w:tcPr>
          <w:p w:rsidR="001D6450" w:rsidRDefault="001D6450" w:rsidP="00D5675E">
            <w:pPr>
              <w:ind w:left="10"/>
              <w:jc w:val="center"/>
              <w:rPr>
                <w:sz w:val="20"/>
                <w:szCs w:val="20"/>
              </w:rPr>
            </w:pPr>
            <w:r>
              <w:rPr>
                <w:w w:val="97"/>
                <w:sz w:val="18"/>
                <w:szCs w:val="18"/>
              </w:rPr>
              <w:t>5,2</w:t>
            </w:r>
          </w:p>
        </w:tc>
        <w:tc>
          <w:tcPr>
            <w:tcW w:w="1200" w:type="dxa"/>
            <w:vAlign w:val="bottom"/>
          </w:tcPr>
          <w:p w:rsidR="001D6450" w:rsidRDefault="001D6450" w:rsidP="00D5675E">
            <w:pPr>
              <w:spacing w:line="189" w:lineRule="exact"/>
              <w:jc w:val="center"/>
              <w:rPr>
                <w:sz w:val="20"/>
                <w:szCs w:val="20"/>
              </w:rPr>
            </w:pPr>
            <w:r>
              <w:rPr>
                <w:sz w:val="18"/>
                <w:szCs w:val="18"/>
              </w:rPr>
              <w:t>0,37</w:t>
            </w: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45"/>
        </w:trPr>
        <w:tc>
          <w:tcPr>
            <w:tcW w:w="1240" w:type="dxa"/>
            <w:vMerge w:val="restart"/>
            <w:vAlign w:val="bottom"/>
          </w:tcPr>
          <w:p w:rsidR="001D6450" w:rsidRDefault="001D6450" w:rsidP="00D5675E">
            <w:pPr>
              <w:ind w:left="120"/>
              <w:rPr>
                <w:sz w:val="20"/>
                <w:szCs w:val="20"/>
              </w:rPr>
            </w:pPr>
            <w:r>
              <w:rPr>
                <w:sz w:val="18"/>
                <w:szCs w:val="18"/>
              </w:rPr>
              <w:t>maturitate a</w:t>
            </w:r>
          </w:p>
        </w:tc>
        <w:tc>
          <w:tcPr>
            <w:tcW w:w="2520" w:type="dxa"/>
            <w:vMerge w:val="restart"/>
            <w:vAlign w:val="bottom"/>
          </w:tcPr>
          <w:p w:rsidR="001D6450" w:rsidRDefault="001D6450" w:rsidP="00D5675E">
            <w:pPr>
              <w:ind w:left="120"/>
              <w:rPr>
                <w:sz w:val="20"/>
                <w:szCs w:val="20"/>
              </w:rPr>
            </w:pPr>
            <w:r>
              <w:rPr>
                <w:sz w:val="18"/>
                <w:szCs w:val="18"/>
              </w:rPr>
              <w:t>evaluată de către investigator</w:t>
            </w: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jc w:val="center"/>
              <w:rPr>
                <w:sz w:val="20"/>
                <w:szCs w:val="20"/>
              </w:rPr>
            </w:pPr>
            <w:r>
              <w:rPr>
                <w:w w:val="98"/>
                <w:sz w:val="18"/>
                <w:szCs w:val="18"/>
              </w:rPr>
              <w:t>[0,27-0,54]</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64"/>
        </w:trPr>
        <w:tc>
          <w:tcPr>
            <w:tcW w:w="1240" w:type="dxa"/>
            <w:vMerge/>
            <w:vAlign w:val="bottom"/>
          </w:tcPr>
          <w:p w:rsidR="001D6450" w:rsidRDefault="001D6450" w:rsidP="00D5675E">
            <w:pPr>
              <w:rPr>
                <w:sz w:val="5"/>
                <w:szCs w:val="5"/>
              </w:rPr>
            </w:pPr>
          </w:p>
        </w:tc>
        <w:tc>
          <w:tcPr>
            <w:tcW w:w="2520" w:type="dxa"/>
            <w:vMerge/>
            <w:vAlign w:val="bottom"/>
          </w:tcPr>
          <w:p w:rsidR="001D6450" w:rsidRDefault="001D6450" w:rsidP="00D5675E">
            <w:pPr>
              <w:rPr>
                <w:sz w:val="5"/>
                <w:szCs w:val="5"/>
              </w:rPr>
            </w:pPr>
          </w:p>
        </w:tc>
        <w:tc>
          <w:tcPr>
            <w:tcW w:w="1100" w:type="dxa"/>
            <w:vAlign w:val="bottom"/>
          </w:tcPr>
          <w:p w:rsidR="001D6450" w:rsidRDefault="001D6450" w:rsidP="00D5675E">
            <w:pPr>
              <w:rPr>
                <w:sz w:val="5"/>
                <w:szCs w:val="5"/>
              </w:rPr>
            </w:pPr>
          </w:p>
        </w:tc>
        <w:tc>
          <w:tcPr>
            <w:tcW w:w="1480" w:type="dxa"/>
            <w:vAlign w:val="bottom"/>
          </w:tcPr>
          <w:p w:rsidR="001D6450" w:rsidRDefault="001D6450" w:rsidP="00D5675E">
            <w:pPr>
              <w:rPr>
                <w:sz w:val="5"/>
                <w:szCs w:val="5"/>
              </w:rPr>
            </w:pPr>
          </w:p>
        </w:tc>
        <w:tc>
          <w:tcPr>
            <w:tcW w:w="1200" w:type="dxa"/>
            <w:vMerge/>
            <w:vAlign w:val="bottom"/>
          </w:tcPr>
          <w:p w:rsidR="001D6450" w:rsidRDefault="001D6450" w:rsidP="00D5675E">
            <w:pPr>
              <w:rPr>
                <w:sz w:val="5"/>
                <w:szCs w:val="5"/>
              </w:rPr>
            </w:pPr>
          </w:p>
        </w:tc>
        <w:tc>
          <w:tcPr>
            <w:tcW w:w="1240" w:type="dxa"/>
            <w:vAlign w:val="bottom"/>
          </w:tcPr>
          <w:p w:rsidR="001D6450" w:rsidRDefault="001D6450" w:rsidP="00D5675E">
            <w:pPr>
              <w:rPr>
                <w:sz w:val="5"/>
                <w:szCs w:val="5"/>
              </w:rPr>
            </w:pPr>
          </w:p>
        </w:tc>
        <w:tc>
          <w:tcPr>
            <w:tcW w:w="0" w:type="dxa"/>
            <w:vAlign w:val="bottom"/>
          </w:tcPr>
          <w:p w:rsidR="001D6450" w:rsidRDefault="001D6450" w:rsidP="00D5675E">
            <w:pPr>
              <w:rPr>
                <w:sz w:val="1"/>
                <w:szCs w:val="1"/>
              </w:rPr>
            </w:pPr>
          </w:p>
        </w:tc>
      </w:tr>
      <w:tr w:rsidR="001D6450" w:rsidTr="00D5675E">
        <w:trPr>
          <w:trHeight w:val="46"/>
        </w:trPr>
        <w:tc>
          <w:tcPr>
            <w:tcW w:w="1240" w:type="dxa"/>
            <w:vMerge w:val="restart"/>
            <w:vAlign w:val="bottom"/>
          </w:tcPr>
          <w:p w:rsidR="001D6450" w:rsidRDefault="001D6450" w:rsidP="00D5675E">
            <w:pPr>
              <w:ind w:left="120"/>
              <w:rPr>
                <w:sz w:val="20"/>
                <w:szCs w:val="20"/>
              </w:rPr>
            </w:pPr>
            <w:r>
              <w:rPr>
                <w:sz w:val="18"/>
                <w:szCs w:val="18"/>
              </w:rPr>
              <w:t>datelor</w:t>
            </w:r>
          </w:p>
        </w:tc>
        <w:tc>
          <w:tcPr>
            <w:tcW w:w="2520" w:type="dxa"/>
            <w:tcBorders>
              <w:bottom w:val="single" w:sz="8" w:space="0" w:color="auto"/>
            </w:tcBorders>
            <w:vAlign w:val="bottom"/>
          </w:tcPr>
          <w:p w:rsidR="001D6450" w:rsidRDefault="001D6450" w:rsidP="00D5675E">
            <w:pPr>
              <w:rPr>
                <w:sz w:val="3"/>
                <w:szCs w:val="3"/>
              </w:rPr>
            </w:pPr>
          </w:p>
        </w:tc>
        <w:tc>
          <w:tcPr>
            <w:tcW w:w="1100" w:type="dxa"/>
            <w:tcBorders>
              <w:bottom w:val="single" w:sz="8" w:space="0" w:color="auto"/>
            </w:tcBorders>
            <w:vAlign w:val="bottom"/>
          </w:tcPr>
          <w:p w:rsidR="001D6450" w:rsidRDefault="001D6450" w:rsidP="00D5675E">
            <w:pPr>
              <w:rPr>
                <w:sz w:val="3"/>
                <w:szCs w:val="3"/>
              </w:rPr>
            </w:pPr>
          </w:p>
        </w:tc>
        <w:tc>
          <w:tcPr>
            <w:tcW w:w="1480" w:type="dxa"/>
            <w:tcBorders>
              <w:bottom w:val="single" w:sz="8" w:space="0" w:color="auto"/>
            </w:tcBorders>
            <w:vAlign w:val="bottom"/>
          </w:tcPr>
          <w:p w:rsidR="001D6450" w:rsidRDefault="001D6450" w:rsidP="00D5675E">
            <w:pPr>
              <w:rPr>
                <w:sz w:val="3"/>
                <w:szCs w:val="3"/>
              </w:rPr>
            </w:pPr>
          </w:p>
        </w:tc>
        <w:tc>
          <w:tcPr>
            <w:tcW w:w="1200" w:type="dxa"/>
            <w:tcBorders>
              <w:bottom w:val="single" w:sz="8" w:space="0" w:color="auto"/>
            </w:tcBorders>
            <w:vAlign w:val="bottom"/>
          </w:tcPr>
          <w:p w:rsidR="001D6450" w:rsidRDefault="001D6450" w:rsidP="00D5675E">
            <w:pPr>
              <w:rPr>
                <w:sz w:val="3"/>
                <w:szCs w:val="3"/>
              </w:rPr>
            </w:pPr>
          </w:p>
        </w:tc>
        <w:tc>
          <w:tcPr>
            <w:tcW w:w="1240" w:type="dxa"/>
            <w:tcBorders>
              <w:bottom w:val="single" w:sz="8" w:space="0" w:color="auto"/>
            </w:tcBorders>
            <w:vAlign w:val="bottom"/>
          </w:tcPr>
          <w:p w:rsidR="001D6450" w:rsidRDefault="001D6450" w:rsidP="00D5675E">
            <w:pPr>
              <w:rPr>
                <w:sz w:val="3"/>
                <w:szCs w:val="3"/>
              </w:rPr>
            </w:pPr>
          </w:p>
        </w:tc>
        <w:tc>
          <w:tcPr>
            <w:tcW w:w="0" w:type="dxa"/>
            <w:vAlign w:val="bottom"/>
          </w:tcPr>
          <w:p w:rsidR="001D6450" w:rsidRDefault="001D6450" w:rsidP="00D5675E">
            <w:pPr>
              <w:rPr>
                <w:sz w:val="1"/>
                <w:szCs w:val="1"/>
              </w:rPr>
            </w:pPr>
          </w:p>
        </w:tc>
      </w:tr>
      <w:tr w:rsidR="001D6450" w:rsidTr="00D5675E">
        <w:trPr>
          <w:trHeight w:val="160"/>
        </w:trPr>
        <w:tc>
          <w:tcPr>
            <w:tcW w:w="1240" w:type="dxa"/>
            <w:vMerge/>
            <w:vAlign w:val="bottom"/>
          </w:tcPr>
          <w:p w:rsidR="001D6450" w:rsidRDefault="001D6450" w:rsidP="00D5675E">
            <w:pPr>
              <w:rPr>
                <w:sz w:val="13"/>
                <w:szCs w:val="13"/>
              </w:rPr>
            </w:pPr>
          </w:p>
        </w:tc>
        <w:tc>
          <w:tcPr>
            <w:tcW w:w="2520" w:type="dxa"/>
            <w:vAlign w:val="bottom"/>
          </w:tcPr>
          <w:p w:rsidR="001D6450" w:rsidRDefault="001D6450" w:rsidP="00D5675E">
            <w:pPr>
              <w:spacing w:line="160" w:lineRule="exact"/>
              <w:ind w:left="120"/>
              <w:rPr>
                <w:sz w:val="20"/>
                <w:szCs w:val="20"/>
              </w:rPr>
            </w:pPr>
            <w:r>
              <w:rPr>
                <w:sz w:val="18"/>
                <w:szCs w:val="18"/>
              </w:rPr>
              <w:t>Cea mai bună rată globală de</w:t>
            </w:r>
          </w:p>
        </w:tc>
        <w:tc>
          <w:tcPr>
            <w:tcW w:w="1100" w:type="dxa"/>
            <w:vMerge w:val="restart"/>
            <w:vAlign w:val="bottom"/>
          </w:tcPr>
          <w:p w:rsidR="001D6450" w:rsidRDefault="001D6450" w:rsidP="00D5675E">
            <w:pPr>
              <w:jc w:val="center"/>
              <w:rPr>
                <w:sz w:val="20"/>
                <w:szCs w:val="20"/>
              </w:rPr>
            </w:pPr>
            <w:r>
              <w:rPr>
                <w:sz w:val="18"/>
                <w:szCs w:val="18"/>
              </w:rPr>
              <w:t>58,1%</w:t>
            </w:r>
          </w:p>
        </w:tc>
        <w:tc>
          <w:tcPr>
            <w:tcW w:w="1480" w:type="dxa"/>
            <w:vMerge w:val="restart"/>
            <w:vAlign w:val="bottom"/>
          </w:tcPr>
          <w:p w:rsidR="001D6450" w:rsidRDefault="001D6450" w:rsidP="00D5675E">
            <w:pPr>
              <w:ind w:left="10"/>
              <w:jc w:val="center"/>
              <w:rPr>
                <w:sz w:val="20"/>
                <w:szCs w:val="20"/>
              </w:rPr>
            </w:pPr>
            <w:r>
              <w:rPr>
                <w:w w:val="98"/>
                <w:sz w:val="18"/>
                <w:szCs w:val="18"/>
              </w:rPr>
              <w:t>14,9%</w:t>
            </w:r>
          </w:p>
        </w:tc>
        <w:tc>
          <w:tcPr>
            <w:tcW w:w="1200" w:type="dxa"/>
            <w:vAlign w:val="bottom"/>
          </w:tcPr>
          <w:p w:rsidR="001D6450" w:rsidRDefault="001D6450" w:rsidP="00D5675E">
            <w:pPr>
              <w:rPr>
                <w:sz w:val="13"/>
                <w:szCs w:val="13"/>
              </w:rPr>
            </w:pP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57"/>
        </w:trPr>
        <w:tc>
          <w:tcPr>
            <w:tcW w:w="1240" w:type="dxa"/>
            <w:vMerge w:val="restart"/>
            <w:vAlign w:val="bottom"/>
          </w:tcPr>
          <w:p w:rsidR="001D6450" w:rsidRDefault="001D6450" w:rsidP="00D5675E">
            <w:pPr>
              <w:ind w:left="120"/>
              <w:rPr>
                <w:sz w:val="20"/>
                <w:szCs w:val="20"/>
              </w:rPr>
            </w:pPr>
            <w:r>
              <w:rPr>
                <w:sz w:val="18"/>
                <w:szCs w:val="18"/>
              </w:rPr>
              <w:t>privind SG)</w:t>
            </w:r>
          </w:p>
        </w:tc>
        <w:tc>
          <w:tcPr>
            <w:tcW w:w="2520" w:type="dxa"/>
            <w:vMerge w:val="restart"/>
            <w:vAlign w:val="bottom"/>
          </w:tcPr>
          <w:p w:rsidR="001D6450" w:rsidRDefault="001D6450" w:rsidP="00D5675E">
            <w:pPr>
              <w:ind w:left="120"/>
              <w:rPr>
                <w:sz w:val="20"/>
                <w:szCs w:val="20"/>
              </w:rPr>
            </w:pPr>
            <w:r>
              <w:rPr>
                <w:sz w:val="18"/>
                <w:szCs w:val="18"/>
              </w:rPr>
              <w:t>răspuns (RC/RP)</w:t>
            </w:r>
          </w:p>
        </w:tc>
        <w:tc>
          <w:tcPr>
            <w:tcW w:w="1100" w:type="dxa"/>
            <w:vMerge/>
            <w:vAlign w:val="bottom"/>
          </w:tcPr>
          <w:p w:rsidR="001D6450" w:rsidRDefault="001D6450" w:rsidP="00D5675E">
            <w:pPr>
              <w:rPr>
                <w:sz w:val="13"/>
                <w:szCs w:val="13"/>
              </w:rPr>
            </w:pPr>
          </w:p>
        </w:tc>
        <w:tc>
          <w:tcPr>
            <w:tcW w:w="1480" w:type="dxa"/>
            <w:vMerge/>
            <w:vAlign w:val="bottom"/>
          </w:tcPr>
          <w:p w:rsidR="001D6450" w:rsidRDefault="001D6450" w:rsidP="00D5675E">
            <w:pPr>
              <w:rPr>
                <w:sz w:val="13"/>
                <w:szCs w:val="13"/>
              </w:rPr>
            </w:pPr>
          </w:p>
        </w:tc>
        <w:tc>
          <w:tcPr>
            <w:tcW w:w="1200" w:type="dxa"/>
            <w:vAlign w:val="bottom"/>
          </w:tcPr>
          <w:p w:rsidR="001D6450" w:rsidRDefault="001D6450" w:rsidP="00D5675E">
            <w:pPr>
              <w:rPr>
                <w:sz w:val="13"/>
                <w:szCs w:val="13"/>
              </w:rPr>
            </w:pPr>
          </w:p>
        </w:tc>
        <w:tc>
          <w:tcPr>
            <w:tcW w:w="1240" w:type="dxa"/>
            <w:vMerge/>
            <w:vAlign w:val="bottom"/>
          </w:tcPr>
          <w:p w:rsidR="001D6450" w:rsidRDefault="001D6450" w:rsidP="00D5675E">
            <w:pPr>
              <w:rPr>
                <w:sz w:val="13"/>
                <w:szCs w:val="13"/>
              </w:rPr>
            </w:pPr>
          </w:p>
        </w:tc>
        <w:tc>
          <w:tcPr>
            <w:tcW w:w="0" w:type="dxa"/>
            <w:vAlign w:val="bottom"/>
          </w:tcPr>
          <w:p w:rsidR="001D6450" w:rsidRDefault="001D6450" w:rsidP="00D5675E">
            <w:pPr>
              <w:rPr>
                <w:sz w:val="1"/>
                <w:szCs w:val="1"/>
              </w:rPr>
            </w:pPr>
          </w:p>
        </w:tc>
      </w:tr>
      <w:tr w:rsidR="001D6450" w:rsidTr="00D5675E">
        <w:trPr>
          <w:trHeight w:val="49"/>
        </w:trPr>
        <w:tc>
          <w:tcPr>
            <w:tcW w:w="1240" w:type="dxa"/>
            <w:vMerge/>
            <w:vAlign w:val="bottom"/>
          </w:tcPr>
          <w:p w:rsidR="001D6450" w:rsidRDefault="001D6450" w:rsidP="00D5675E">
            <w:pPr>
              <w:rPr>
                <w:sz w:val="4"/>
                <w:szCs w:val="4"/>
              </w:rPr>
            </w:pPr>
          </w:p>
        </w:tc>
        <w:tc>
          <w:tcPr>
            <w:tcW w:w="2520" w:type="dxa"/>
            <w:vMerge/>
            <w:vAlign w:val="bottom"/>
          </w:tcPr>
          <w:p w:rsidR="001D6450" w:rsidRDefault="001D6450" w:rsidP="00D5675E">
            <w:pPr>
              <w:rPr>
                <w:sz w:val="4"/>
                <w:szCs w:val="4"/>
              </w:rPr>
            </w:pPr>
          </w:p>
        </w:tc>
        <w:tc>
          <w:tcPr>
            <w:tcW w:w="1100" w:type="dxa"/>
            <w:vAlign w:val="bottom"/>
          </w:tcPr>
          <w:p w:rsidR="001D6450" w:rsidRDefault="001D6450" w:rsidP="00D5675E">
            <w:pPr>
              <w:rPr>
                <w:sz w:val="4"/>
                <w:szCs w:val="4"/>
              </w:rPr>
            </w:pPr>
          </w:p>
        </w:tc>
        <w:tc>
          <w:tcPr>
            <w:tcW w:w="1480" w:type="dxa"/>
            <w:vAlign w:val="bottom"/>
          </w:tcPr>
          <w:p w:rsidR="001D6450" w:rsidRDefault="001D6450" w:rsidP="00D5675E">
            <w:pPr>
              <w:rPr>
                <w:sz w:val="4"/>
                <w:szCs w:val="4"/>
              </w:rPr>
            </w:pPr>
          </w:p>
        </w:tc>
        <w:tc>
          <w:tcPr>
            <w:tcW w:w="1200" w:type="dxa"/>
            <w:vAlign w:val="bottom"/>
          </w:tcPr>
          <w:p w:rsidR="001D6450" w:rsidRDefault="001D6450" w:rsidP="00D5675E">
            <w:pPr>
              <w:rPr>
                <w:sz w:val="4"/>
                <w:szCs w:val="4"/>
              </w:rPr>
            </w:pPr>
          </w:p>
        </w:tc>
        <w:tc>
          <w:tcPr>
            <w:tcW w:w="1240" w:type="dxa"/>
            <w:vAlign w:val="bottom"/>
          </w:tcPr>
          <w:p w:rsidR="001D6450" w:rsidRDefault="001D6450" w:rsidP="00D5675E">
            <w:pPr>
              <w:rPr>
                <w:sz w:val="4"/>
                <w:szCs w:val="4"/>
              </w:rPr>
            </w:pPr>
          </w:p>
        </w:tc>
        <w:tc>
          <w:tcPr>
            <w:tcW w:w="0" w:type="dxa"/>
            <w:vAlign w:val="bottom"/>
          </w:tcPr>
          <w:p w:rsidR="001D6450" w:rsidRDefault="001D6450" w:rsidP="00D5675E">
            <w:pPr>
              <w:rPr>
                <w:sz w:val="1"/>
                <w:szCs w:val="1"/>
              </w:rPr>
            </w:pPr>
          </w:p>
        </w:tc>
      </w:tr>
      <w:tr w:rsidR="001D6450" w:rsidTr="00D5675E">
        <w:trPr>
          <w:trHeight w:val="43"/>
        </w:trPr>
        <w:tc>
          <w:tcPr>
            <w:tcW w:w="1240" w:type="dxa"/>
            <w:vMerge w:val="restart"/>
            <w:vAlign w:val="bottom"/>
          </w:tcPr>
          <w:p w:rsidR="001D6450" w:rsidRDefault="001D6450" w:rsidP="00D5675E">
            <w:pPr>
              <w:ind w:left="120"/>
              <w:rPr>
                <w:sz w:val="20"/>
                <w:szCs w:val="20"/>
              </w:rPr>
            </w:pPr>
            <w:r>
              <w:rPr>
                <w:sz w:val="18"/>
                <w:szCs w:val="18"/>
              </w:rPr>
              <w:t>(n=173)</w:t>
            </w:r>
          </w:p>
        </w:tc>
        <w:tc>
          <w:tcPr>
            <w:tcW w:w="2520" w:type="dxa"/>
            <w:tcBorders>
              <w:bottom w:val="single" w:sz="8" w:space="0" w:color="auto"/>
            </w:tcBorders>
            <w:vAlign w:val="bottom"/>
          </w:tcPr>
          <w:p w:rsidR="001D6450" w:rsidRDefault="001D6450" w:rsidP="00D5675E">
            <w:pPr>
              <w:rPr>
                <w:sz w:val="3"/>
                <w:szCs w:val="3"/>
              </w:rPr>
            </w:pPr>
          </w:p>
        </w:tc>
        <w:tc>
          <w:tcPr>
            <w:tcW w:w="1100" w:type="dxa"/>
            <w:tcBorders>
              <w:bottom w:val="single" w:sz="8" w:space="0" w:color="auto"/>
            </w:tcBorders>
            <w:vAlign w:val="bottom"/>
          </w:tcPr>
          <w:p w:rsidR="001D6450" w:rsidRDefault="001D6450" w:rsidP="00D5675E">
            <w:pPr>
              <w:rPr>
                <w:sz w:val="3"/>
                <w:szCs w:val="3"/>
              </w:rPr>
            </w:pPr>
          </w:p>
        </w:tc>
        <w:tc>
          <w:tcPr>
            <w:tcW w:w="1480" w:type="dxa"/>
            <w:tcBorders>
              <w:bottom w:val="single" w:sz="8" w:space="0" w:color="auto"/>
            </w:tcBorders>
            <w:vAlign w:val="bottom"/>
          </w:tcPr>
          <w:p w:rsidR="001D6450" w:rsidRDefault="001D6450" w:rsidP="00D5675E">
            <w:pPr>
              <w:rPr>
                <w:sz w:val="3"/>
                <w:szCs w:val="3"/>
              </w:rPr>
            </w:pPr>
          </w:p>
        </w:tc>
        <w:tc>
          <w:tcPr>
            <w:tcW w:w="1200" w:type="dxa"/>
            <w:tcBorders>
              <w:bottom w:val="single" w:sz="8" w:space="0" w:color="auto"/>
            </w:tcBorders>
            <w:vAlign w:val="bottom"/>
          </w:tcPr>
          <w:p w:rsidR="001D6450" w:rsidRDefault="001D6450" w:rsidP="00D5675E">
            <w:pPr>
              <w:rPr>
                <w:sz w:val="3"/>
                <w:szCs w:val="3"/>
              </w:rPr>
            </w:pPr>
          </w:p>
        </w:tc>
        <w:tc>
          <w:tcPr>
            <w:tcW w:w="1240" w:type="dxa"/>
            <w:tcBorders>
              <w:bottom w:val="single" w:sz="8" w:space="0" w:color="auto"/>
            </w:tcBorders>
            <w:vAlign w:val="bottom"/>
          </w:tcPr>
          <w:p w:rsidR="001D6450" w:rsidRDefault="001D6450" w:rsidP="00D5675E">
            <w:pPr>
              <w:rPr>
                <w:sz w:val="3"/>
                <w:szCs w:val="3"/>
              </w:rPr>
            </w:pPr>
          </w:p>
        </w:tc>
        <w:tc>
          <w:tcPr>
            <w:tcW w:w="0" w:type="dxa"/>
            <w:vAlign w:val="bottom"/>
          </w:tcPr>
          <w:p w:rsidR="001D6450" w:rsidRDefault="001D6450" w:rsidP="00D5675E">
            <w:pPr>
              <w:rPr>
                <w:sz w:val="1"/>
                <w:szCs w:val="1"/>
              </w:rPr>
            </w:pPr>
          </w:p>
        </w:tc>
      </w:tr>
      <w:tr w:rsidR="001D6450" w:rsidTr="00D5675E">
        <w:trPr>
          <w:trHeight w:val="178"/>
        </w:trPr>
        <w:tc>
          <w:tcPr>
            <w:tcW w:w="1240" w:type="dxa"/>
            <w:vMerge/>
            <w:vAlign w:val="bottom"/>
          </w:tcPr>
          <w:p w:rsidR="001D6450" w:rsidRDefault="001D6450" w:rsidP="00D5675E">
            <w:pPr>
              <w:rPr>
                <w:sz w:val="15"/>
                <w:szCs w:val="15"/>
              </w:rPr>
            </w:pPr>
          </w:p>
        </w:tc>
        <w:tc>
          <w:tcPr>
            <w:tcW w:w="2520" w:type="dxa"/>
            <w:vMerge w:val="restart"/>
            <w:vAlign w:val="bottom"/>
          </w:tcPr>
          <w:p w:rsidR="001D6450" w:rsidRDefault="001D6450" w:rsidP="00D5675E">
            <w:pPr>
              <w:ind w:left="120"/>
              <w:rPr>
                <w:sz w:val="20"/>
                <w:szCs w:val="20"/>
              </w:rPr>
            </w:pPr>
            <w:r>
              <w:rPr>
                <w:sz w:val="18"/>
                <w:szCs w:val="18"/>
              </w:rPr>
              <w:t>SG (luni)</w:t>
            </w:r>
          </w:p>
        </w:tc>
        <w:tc>
          <w:tcPr>
            <w:tcW w:w="1100" w:type="dxa"/>
            <w:vMerge w:val="restart"/>
            <w:vAlign w:val="bottom"/>
          </w:tcPr>
          <w:p w:rsidR="001D6450" w:rsidRDefault="001D6450" w:rsidP="00D5675E">
            <w:pPr>
              <w:jc w:val="center"/>
              <w:rPr>
                <w:sz w:val="20"/>
                <w:szCs w:val="20"/>
              </w:rPr>
            </w:pPr>
            <w:r>
              <w:rPr>
                <w:sz w:val="18"/>
                <w:szCs w:val="18"/>
              </w:rPr>
              <w:t>19,3</w:t>
            </w:r>
          </w:p>
        </w:tc>
        <w:tc>
          <w:tcPr>
            <w:tcW w:w="1480" w:type="dxa"/>
            <w:vMerge w:val="restart"/>
            <w:vAlign w:val="bottom"/>
          </w:tcPr>
          <w:p w:rsidR="001D6450" w:rsidRDefault="001D6450" w:rsidP="00D5675E">
            <w:pPr>
              <w:jc w:val="center"/>
              <w:rPr>
                <w:sz w:val="20"/>
                <w:szCs w:val="20"/>
              </w:rPr>
            </w:pPr>
            <w:r>
              <w:rPr>
                <w:sz w:val="18"/>
                <w:szCs w:val="18"/>
              </w:rPr>
              <w:t>19,5</w:t>
            </w:r>
          </w:p>
        </w:tc>
        <w:tc>
          <w:tcPr>
            <w:tcW w:w="1200" w:type="dxa"/>
            <w:vMerge w:val="restart"/>
            <w:vAlign w:val="bottom"/>
          </w:tcPr>
          <w:p w:rsidR="001D6450" w:rsidRDefault="001D6450" w:rsidP="00D5675E">
            <w:pPr>
              <w:jc w:val="center"/>
              <w:rPr>
                <w:sz w:val="20"/>
                <w:szCs w:val="20"/>
              </w:rPr>
            </w:pPr>
            <w:r>
              <w:rPr>
                <w:sz w:val="18"/>
                <w:szCs w:val="18"/>
              </w:rPr>
              <w:t>1,04</w:t>
            </w:r>
          </w:p>
        </w:tc>
        <w:tc>
          <w:tcPr>
            <w:tcW w:w="1240" w:type="dxa"/>
            <w:vMerge w:val="restart"/>
            <w:vAlign w:val="bottom"/>
          </w:tcPr>
          <w:p w:rsidR="001D6450" w:rsidRDefault="001D6450" w:rsidP="00D5675E">
            <w:pPr>
              <w:jc w:val="center"/>
              <w:rPr>
                <w:sz w:val="20"/>
                <w:szCs w:val="20"/>
              </w:rPr>
            </w:pPr>
            <w:r>
              <w:rPr>
                <w:sz w:val="18"/>
                <w:szCs w:val="18"/>
              </w:rPr>
              <w:t>p=0,8702</w:t>
            </w:r>
          </w:p>
        </w:tc>
        <w:tc>
          <w:tcPr>
            <w:tcW w:w="0" w:type="dxa"/>
            <w:vAlign w:val="bottom"/>
          </w:tcPr>
          <w:p w:rsidR="001D6450" w:rsidRDefault="001D6450" w:rsidP="00D5675E">
            <w:pPr>
              <w:rPr>
                <w:sz w:val="1"/>
                <w:szCs w:val="1"/>
              </w:rPr>
            </w:pPr>
          </w:p>
        </w:tc>
      </w:tr>
      <w:tr w:rsidR="001D6450" w:rsidTr="00D5675E">
        <w:trPr>
          <w:trHeight w:val="88"/>
        </w:trPr>
        <w:tc>
          <w:tcPr>
            <w:tcW w:w="1240" w:type="dxa"/>
            <w:vAlign w:val="bottom"/>
          </w:tcPr>
          <w:p w:rsidR="001D6450" w:rsidRDefault="001D6450" w:rsidP="00D5675E">
            <w:pPr>
              <w:rPr>
                <w:sz w:val="7"/>
                <w:szCs w:val="7"/>
              </w:rPr>
            </w:pPr>
          </w:p>
        </w:tc>
        <w:tc>
          <w:tcPr>
            <w:tcW w:w="2520" w:type="dxa"/>
            <w:vMerge/>
            <w:vAlign w:val="bottom"/>
          </w:tcPr>
          <w:p w:rsidR="001D6450" w:rsidRDefault="001D6450" w:rsidP="00D5675E">
            <w:pPr>
              <w:rPr>
                <w:sz w:val="7"/>
                <w:szCs w:val="7"/>
              </w:rPr>
            </w:pPr>
          </w:p>
        </w:tc>
        <w:tc>
          <w:tcPr>
            <w:tcW w:w="1100" w:type="dxa"/>
            <w:vMerge/>
            <w:vAlign w:val="bottom"/>
          </w:tcPr>
          <w:p w:rsidR="001D6450" w:rsidRDefault="001D6450" w:rsidP="00D5675E">
            <w:pPr>
              <w:rPr>
                <w:sz w:val="7"/>
                <w:szCs w:val="7"/>
              </w:rPr>
            </w:pPr>
          </w:p>
        </w:tc>
        <w:tc>
          <w:tcPr>
            <w:tcW w:w="1480" w:type="dxa"/>
            <w:vMerge/>
            <w:vAlign w:val="bottom"/>
          </w:tcPr>
          <w:p w:rsidR="001D6450" w:rsidRDefault="001D6450" w:rsidP="00D5675E">
            <w:pPr>
              <w:rPr>
                <w:sz w:val="7"/>
                <w:szCs w:val="7"/>
              </w:rPr>
            </w:pPr>
          </w:p>
        </w:tc>
        <w:tc>
          <w:tcPr>
            <w:tcW w:w="1200" w:type="dxa"/>
            <w:vMerge/>
            <w:vAlign w:val="bottom"/>
          </w:tcPr>
          <w:p w:rsidR="001D6450" w:rsidRDefault="001D6450" w:rsidP="00D5675E">
            <w:pPr>
              <w:rPr>
                <w:sz w:val="7"/>
                <w:szCs w:val="7"/>
              </w:rPr>
            </w:pPr>
          </w:p>
        </w:tc>
        <w:tc>
          <w:tcPr>
            <w:tcW w:w="1240" w:type="dxa"/>
            <w:vMerge/>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38"/>
        </w:trPr>
        <w:tc>
          <w:tcPr>
            <w:tcW w:w="1240" w:type="dxa"/>
            <w:vMerge w:val="restart"/>
            <w:vAlign w:val="bottom"/>
          </w:tcPr>
          <w:p w:rsidR="001D6450" w:rsidRDefault="001D6450" w:rsidP="00D5675E">
            <w:pPr>
              <w:ind w:left="120"/>
              <w:rPr>
                <w:sz w:val="20"/>
                <w:szCs w:val="20"/>
              </w:rPr>
            </w:pPr>
            <w:r>
              <w:rPr>
                <w:sz w:val="10"/>
                <w:szCs w:val="10"/>
              </w:rPr>
              <w:t>Data de închidere a bazei</w:t>
            </w:r>
          </w:p>
        </w:tc>
        <w:tc>
          <w:tcPr>
            <w:tcW w:w="2520" w:type="dxa"/>
            <w:vMerge/>
            <w:vAlign w:val="bottom"/>
          </w:tcPr>
          <w:p w:rsidR="001D6450" w:rsidRDefault="001D6450" w:rsidP="00D5675E">
            <w:pPr>
              <w:rPr>
                <w:sz w:val="12"/>
                <w:szCs w:val="12"/>
              </w:rPr>
            </w:pP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spacing w:line="190" w:lineRule="exact"/>
              <w:jc w:val="center"/>
              <w:rPr>
                <w:sz w:val="20"/>
                <w:szCs w:val="20"/>
              </w:rPr>
            </w:pPr>
            <w:r>
              <w:rPr>
                <w:w w:val="98"/>
                <w:sz w:val="18"/>
                <w:szCs w:val="18"/>
              </w:rPr>
              <w:t>[0,65-1,68]</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52"/>
        </w:trPr>
        <w:tc>
          <w:tcPr>
            <w:tcW w:w="1240" w:type="dxa"/>
            <w:vMerge/>
            <w:vAlign w:val="bottom"/>
          </w:tcPr>
          <w:p w:rsidR="001D6450" w:rsidRDefault="001D6450" w:rsidP="00D5675E">
            <w:pPr>
              <w:rPr>
                <w:sz w:val="4"/>
                <w:szCs w:val="4"/>
              </w:rPr>
            </w:pPr>
          </w:p>
        </w:tc>
        <w:tc>
          <w:tcPr>
            <w:tcW w:w="2520" w:type="dxa"/>
            <w:vAlign w:val="bottom"/>
          </w:tcPr>
          <w:p w:rsidR="001D6450" w:rsidRDefault="001D6450" w:rsidP="00D5675E">
            <w:pPr>
              <w:rPr>
                <w:sz w:val="4"/>
                <w:szCs w:val="4"/>
              </w:rPr>
            </w:pPr>
          </w:p>
        </w:tc>
        <w:tc>
          <w:tcPr>
            <w:tcW w:w="1100" w:type="dxa"/>
            <w:vAlign w:val="bottom"/>
          </w:tcPr>
          <w:p w:rsidR="001D6450" w:rsidRDefault="001D6450" w:rsidP="00D5675E">
            <w:pPr>
              <w:rPr>
                <w:sz w:val="4"/>
                <w:szCs w:val="4"/>
              </w:rPr>
            </w:pPr>
          </w:p>
        </w:tc>
        <w:tc>
          <w:tcPr>
            <w:tcW w:w="1480" w:type="dxa"/>
            <w:vAlign w:val="bottom"/>
          </w:tcPr>
          <w:p w:rsidR="001D6450" w:rsidRDefault="001D6450" w:rsidP="00D5675E">
            <w:pPr>
              <w:rPr>
                <w:sz w:val="4"/>
                <w:szCs w:val="4"/>
              </w:rPr>
            </w:pPr>
          </w:p>
        </w:tc>
        <w:tc>
          <w:tcPr>
            <w:tcW w:w="1200" w:type="dxa"/>
            <w:vMerge/>
            <w:vAlign w:val="bottom"/>
          </w:tcPr>
          <w:p w:rsidR="001D6450" w:rsidRDefault="001D6450" w:rsidP="00D5675E">
            <w:pPr>
              <w:rPr>
                <w:sz w:val="4"/>
                <w:szCs w:val="4"/>
              </w:rPr>
            </w:pPr>
          </w:p>
        </w:tc>
        <w:tc>
          <w:tcPr>
            <w:tcW w:w="1240" w:type="dxa"/>
            <w:vAlign w:val="bottom"/>
          </w:tcPr>
          <w:p w:rsidR="001D6450" w:rsidRDefault="001D6450" w:rsidP="00D5675E">
            <w:pPr>
              <w:rPr>
                <w:sz w:val="4"/>
                <w:szCs w:val="4"/>
              </w:rPr>
            </w:pPr>
          </w:p>
        </w:tc>
        <w:tc>
          <w:tcPr>
            <w:tcW w:w="0" w:type="dxa"/>
            <w:vAlign w:val="bottom"/>
          </w:tcPr>
          <w:p w:rsidR="001D6450" w:rsidRDefault="001D6450" w:rsidP="00D5675E">
            <w:pPr>
              <w:rPr>
                <w:sz w:val="1"/>
                <w:szCs w:val="1"/>
              </w:rPr>
            </w:pPr>
          </w:p>
        </w:tc>
      </w:tr>
      <w:tr w:rsidR="001D6450" w:rsidTr="00D5675E">
        <w:trPr>
          <w:trHeight w:val="129"/>
        </w:trPr>
        <w:tc>
          <w:tcPr>
            <w:tcW w:w="1240" w:type="dxa"/>
            <w:tcBorders>
              <w:bottom w:val="single" w:sz="8" w:space="0" w:color="auto"/>
            </w:tcBorders>
            <w:vAlign w:val="bottom"/>
          </w:tcPr>
          <w:p w:rsidR="001D6450" w:rsidRDefault="001D6450" w:rsidP="00D5675E">
            <w:pPr>
              <w:ind w:left="120"/>
              <w:rPr>
                <w:sz w:val="20"/>
                <w:szCs w:val="20"/>
              </w:rPr>
            </w:pPr>
            <w:r>
              <w:rPr>
                <w:sz w:val="10"/>
                <w:szCs w:val="10"/>
              </w:rPr>
              <w:t>de date: Ianuarie 2011</w:t>
            </w:r>
          </w:p>
        </w:tc>
        <w:tc>
          <w:tcPr>
            <w:tcW w:w="2520" w:type="dxa"/>
            <w:tcBorders>
              <w:bottom w:val="single" w:sz="8" w:space="0" w:color="auto"/>
            </w:tcBorders>
            <w:vAlign w:val="bottom"/>
          </w:tcPr>
          <w:p w:rsidR="001D6450" w:rsidRDefault="001D6450" w:rsidP="00D5675E">
            <w:pPr>
              <w:rPr>
                <w:sz w:val="11"/>
                <w:szCs w:val="11"/>
              </w:rPr>
            </w:pPr>
          </w:p>
        </w:tc>
        <w:tc>
          <w:tcPr>
            <w:tcW w:w="1100" w:type="dxa"/>
            <w:tcBorders>
              <w:bottom w:val="single" w:sz="8" w:space="0" w:color="auto"/>
            </w:tcBorders>
            <w:vAlign w:val="bottom"/>
          </w:tcPr>
          <w:p w:rsidR="001D6450" w:rsidRDefault="001D6450" w:rsidP="00D5675E">
            <w:pPr>
              <w:rPr>
                <w:sz w:val="11"/>
                <w:szCs w:val="11"/>
              </w:rPr>
            </w:pPr>
          </w:p>
        </w:tc>
        <w:tc>
          <w:tcPr>
            <w:tcW w:w="1480" w:type="dxa"/>
            <w:tcBorders>
              <w:bottom w:val="single" w:sz="8" w:space="0" w:color="auto"/>
            </w:tcBorders>
            <w:vAlign w:val="bottom"/>
          </w:tcPr>
          <w:p w:rsidR="001D6450" w:rsidRDefault="001D6450" w:rsidP="00D5675E">
            <w:pPr>
              <w:rPr>
                <w:sz w:val="11"/>
                <w:szCs w:val="11"/>
              </w:rPr>
            </w:pPr>
          </w:p>
        </w:tc>
        <w:tc>
          <w:tcPr>
            <w:tcW w:w="1200" w:type="dxa"/>
            <w:tcBorders>
              <w:bottom w:val="single" w:sz="8" w:space="0" w:color="auto"/>
            </w:tcBorders>
            <w:vAlign w:val="bottom"/>
          </w:tcPr>
          <w:p w:rsidR="001D6450" w:rsidRDefault="001D6450" w:rsidP="00D5675E">
            <w:pPr>
              <w:rPr>
                <w:sz w:val="11"/>
                <w:szCs w:val="11"/>
              </w:rPr>
            </w:pPr>
          </w:p>
        </w:tc>
        <w:tc>
          <w:tcPr>
            <w:tcW w:w="1240" w:type="dxa"/>
            <w:tcBorders>
              <w:bottom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179"/>
        </w:trPr>
        <w:tc>
          <w:tcPr>
            <w:tcW w:w="1240" w:type="dxa"/>
            <w:vAlign w:val="bottom"/>
          </w:tcPr>
          <w:p w:rsidR="001D6450" w:rsidRDefault="001D6450" w:rsidP="00D5675E">
            <w:pPr>
              <w:spacing w:line="179" w:lineRule="exact"/>
              <w:ind w:left="120"/>
              <w:rPr>
                <w:sz w:val="20"/>
                <w:szCs w:val="20"/>
              </w:rPr>
            </w:pPr>
            <w:r>
              <w:rPr>
                <w:sz w:val="18"/>
                <w:szCs w:val="18"/>
              </w:rPr>
              <w:t>Analiză</w:t>
            </w:r>
          </w:p>
        </w:tc>
        <w:tc>
          <w:tcPr>
            <w:tcW w:w="2520" w:type="dxa"/>
            <w:vAlign w:val="bottom"/>
          </w:tcPr>
          <w:p w:rsidR="001D6450" w:rsidRDefault="001D6450" w:rsidP="00D5675E">
            <w:pPr>
              <w:rPr>
                <w:sz w:val="15"/>
                <w:szCs w:val="15"/>
              </w:rPr>
            </w:pPr>
          </w:p>
        </w:tc>
        <w:tc>
          <w:tcPr>
            <w:tcW w:w="1100" w:type="dxa"/>
            <w:vMerge w:val="restart"/>
            <w:vAlign w:val="bottom"/>
          </w:tcPr>
          <w:p w:rsidR="001D6450" w:rsidRDefault="001D6450" w:rsidP="00D5675E">
            <w:pPr>
              <w:jc w:val="center"/>
              <w:rPr>
                <w:sz w:val="20"/>
                <w:szCs w:val="20"/>
              </w:rPr>
            </w:pPr>
            <w:r>
              <w:rPr>
                <w:w w:val="96"/>
                <w:sz w:val="18"/>
                <w:szCs w:val="18"/>
              </w:rPr>
              <w:t>n=86</w:t>
            </w:r>
          </w:p>
        </w:tc>
        <w:tc>
          <w:tcPr>
            <w:tcW w:w="1480" w:type="dxa"/>
            <w:vMerge w:val="restart"/>
            <w:vAlign w:val="bottom"/>
          </w:tcPr>
          <w:p w:rsidR="001D6450" w:rsidRDefault="001D6450" w:rsidP="00D5675E">
            <w:pPr>
              <w:ind w:left="10"/>
              <w:jc w:val="center"/>
              <w:rPr>
                <w:sz w:val="20"/>
                <w:szCs w:val="20"/>
              </w:rPr>
            </w:pPr>
            <w:r>
              <w:rPr>
                <w:sz w:val="18"/>
                <w:szCs w:val="18"/>
              </w:rPr>
              <w:t>n=87</w:t>
            </w:r>
          </w:p>
        </w:tc>
        <w:tc>
          <w:tcPr>
            <w:tcW w:w="1200" w:type="dxa"/>
            <w:vAlign w:val="bottom"/>
          </w:tcPr>
          <w:p w:rsidR="001D6450" w:rsidRDefault="001D6450" w:rsidP="00D5675E">
            <w:pPr>
              <w:rPr>
                <w:sz w:val="15"/>
                <w:szCs w:val="15"/>
              </w:rPr>
            </w:pPr>
          </w:p>
        </w:tc>
        <w:tc>
          <w:tcPr>
            <w:tcW w:w="1240" w:type="dxa"/>
            <w:vAlign w:val="bottom"/>
          </w:tcPr>
          <w:p w:rsidR="001D6450" w:rsidRDefault="001D6450" w:rsidP="00D5675E">
            <w:pPr>
              <w:rPr>
                <w:sz w:val="15"/>
                <w:szCs w:val="15"/>
              </w:rPr>
            </w:pPr>
          </w:p>
        </w:tc>
        <w:tc>
          <w:tcPr>
            <w:tcW w:w="0" w:type="dxa"/>
            <w:vAlign w:val="bottom"/>
          </w:tcPr>
          <w:p w:rsidR="001D6450" w:rsidRDefault="001D6450" w:rsidP="00D5675E">
            <w:pPr>
              <w:rPr>
                <w:sz w:val="1"/>
                <w:szCs w:val="1"/>
              </w:rPr>
            </w:pPr>
          </w:p>
        </w:tc>
      </w:tr>
      <w:tr w:rsidR="001D6450" w:rsidTr="00D5675E">
        <w:trPr>
          <w:trHeight w:val="112"/>
        </w:trPr>
        <w:tc>
          <w:tcPr>
            <w:tcW w:w="1240" w:type="dxa"/>
            <w:vMerge w:val="restart"/>
            <w:vAlign w:val="bottom"/>
          </w:tcPr>
          <w:p w:rsidR="001D6450" w:rsidRDefault="001D6450" w:rsidP="00D5675E">
            <w:pPr>
              <w:spacing w:line="180" w:lineRule="exact"/>
              <w:ind w:left="120"/>
              <w:rPr>
                <w:sz w:val="20"/>
                <w:szCs w:val="20"/>
              </w:rPr>
            </w:pPr>
            <w:r>
              <w:rPr>
                <w:sz w:val="18"/>
                <w:szCs w:val="18"/>
              </w:rPr>
              <w:t>actualizată</w:t>
            </w:r>
          </w:p>
        </w:tc>
        <w:tc>
          <w:tcPr>
            <w:tcW w:w="2520" w:type="dxa"/>
            <w:vAlign w:val="bottom"/>
          </w:tcPr>
          <w:p w:rsidR="001D6450" w:rsidRDefault="001D6450" w:rsidP="00D5675E">
            <w:pPr>
              <w:rPr>
                <w:sz w:val="9"/>
                <w:szCs w:val="9"/>
              </w:rPr>
            </w:pPr>
          </w:p>
        </w:tc>
        <w:tc>
          <w:tcPr>
            <w:tcW w:w="1100" w:type="dxa"/>
            <w:vMerge/>
            <w:vAlign w:val="bottom"/>
          </w:tcPr>
          <w:p w:rsidR="001D6450" w:rsidRDefault="001D6450" w:rsidP="00D5675E">
            <w:pPr>
              <w:rPr>
                <w:sz w:val="9"/>
                <w:szCs w:val="9"/>
              </w:rPr>
            </w:pPr>
          </w:p>
        </w:tc>
        <w:tc>
          <w:tcPr>
            <w:tcW w:w="1480" w:type="dxa"/>
            <w:vMerge/>
            <w:vAlign w:val="bottom"/>
          </w:tcPr>
          <w:p w:rsidR="001D6450" w:rsidRDefault="001D6450" w:rsidP="00D5675E">
            <w:pPr>
              <w:rPr>
                <w:sz w:val="9"/>
                <w:szCs w:val="9"/>
              </w:rPr>
            </w:pPr>
          </w:p>
        </w:tc>
        <w:tc>
          <w:tcPr>
            <w:tcW w:w="1200" w:type="dxa"/>
            <w:vAlign w:val="bottom"/>
          </w:tcPr>
          <w:p w:rsidR="001D6450" w:rsidRDefault="001D6450" w:rsidP="00D5675E">
            <w:pPr>
              <w:rPr>
                <w:sz w:val="9"/>
                <w:szCs w:val="9"/>
              </w:rPr>
            </w:pPr>
          </w:p>
        </w:tc>
        <w:tc>
          <w:tcPr>
            <w:tcW w:w="1240" w:type="dxa"/>
            <w:vAlign w:val="bottom"/>
          </w:tcPr>
          <w:p w:rsidR="001D6450" w:rsidRDefault="001D6450" w:rsidP="00D5675E">
            <w:pPr>
              <w:rPr>
                <w:sz w:val="9"/>
                <w:szCs w:val="9"/>
              </w:rPr>
            </w:pPr>
          </w:p>
        </w:tc>
        <w:tc>
          <w:tcPr>
            <w:tcW w:w="0" w:type="dxa"/>
            <w:vAlign w:val="bottom"/>
          </w:tcPr>
          <w:p w:rsidR="001D6450" w:rsidRDefault="001D6450" w:rsidP="00D5675E">
            <w:pPr>
              <w:rPr>
                <w:sz w:val="1"/>
                <w:szCs w:val="1"/>
              </w:rPr>
            </w:pPr>
          </w:p>
        </w:tc>
      </w:tr>
      <w:tr w:rsidR="001D6450" w:rsidTr="00D5675E">
        <w:trPr>
          <w:trHeight w:val="68"/>
        </w:trPr>
        <w:tc>
          <w:tcPr>
            <w:tcW w:w="1240" w:type="dxa"/>
            <w:vMerge/>
            <w:vAlign w:val="bottom"/>
          </w:tcPr>
          <w:p w:rsidR="001D6450" w:rsidRDefault="001D6450" w:rsidP="00D5675E">
            <w:pPr>
              <w:rPr>
                <w:sz w:val="5"/>
                <w:szCs w:val="5"/>
              </w:rPr>
            </w:pPr>
          </w:p>
        </w:tc>
        <w:tc>
          <w:tcPr>
            <w:tcW w:w="2520" w:type="dxa"/>
            <w:tcBorders>
              <w:bottom w:val="single" w:sz="8" w:space="0" w:color="auto"/>
            </w:tcBorders>
            <w:vAlign w:val="bottom"/>
          </w:tcPr>
          <w:p w:rsidR="001D6450" w:rsidRDefault="001D6450" w:rsidP="00D5675E">
            <w:pPr>
              <w:rPr>
                <w:sz w:val="5"/>
                <w:szCs w:val="5"/>
              </w:rPr>
            </w:pPr>
          </w:p>
        </w:tc>
        <w:tc>
          <w:tcPr>
            <w:tcW w:w="1100" w:type="dxa"/>
            <w:tcBorders>
              <w:bottom w:val="single" w:sz="8" w:space="0" w:color="auto"/>
            </w:tcBorders>
            <w:vAlign w:val="bottom"/>
          </w:tcPr>
          <w:p w:rsidR="001D6450" w:rsidRDefault="001D6450" w:rsidP="00D5675E">
            <w:pPr>
              <w:rPr>
                <w:sz w:val="5"/>
                <w:szCs w:val="5"/>
              </w:rPr>
            </w:pPr>
          </w:p>
        </w:tc>
        <w:tc>
          <w:tcPr>
            <w:tcW w:w="1480" w:type="dxa"/>
            <w:tcBorders>
              <w:bottom w:val="single" w:sz="8" w:space="0" w:color="auto"/>
            </w:tcBorders>
            <w:vAlign w:val="bottom"/>
          </w:tcPr>
          <w:p w:rsidR="001D6450" w:rsidRDefault="001D6450" w:rsidP="00D5675E">
            <w:pPr>
              <w:rPr>
                <w:sz w:val="5"/>
                <w:szCs w:val="5"/>
              </w:rPr>
            </w:pPr>
          </w:p>
        </w:tc>
        <w:tc>
          <w:tcPr>
            <w:tcW w:w="1200" w:type="dxa"/>
            <w:tcBorders>
              <w:bottom w:val="single" w:sz="8" w:space="0" w:color="auto"/>
            </w:tcBorders>
            <w:vAlign w:val="bottom"/>
          </w:tcPr>
          <w:p w:rsidR="001D6450" w:rsidRDefault="001D6450" w:rsidP="00D5675E">
            <w:pPr>
              <w:rPr>
                <w:sz w:val="5"/>
                <w:szCs w:val="5"/>
              </w:rPr>
            </w:pPr>
          </w:p>
        </w:tc>
        <w:tc>
          <w:tcPr>
            <w:tcW w:w="1240" w:type="dxa"/>
            <w:tcBorders>
              <w:bottom w:val="single" w:sz="8" w:space="0" w:color="auto"/>
            </w:tcBorders>
            <w:vAlign w:val="bottom"/>
          </w:tcPr>
          <w:p w:rsidR="001D6450" w:rsidRDefault="001D6450" w:rsidP="00D5675E">
            <w:pPr>
              <w:rPr>
                <w:sz w:val="5"/>
                <w:szCs w:val="5"/>
              </w:rPr>
            </w:pPr>
          </w:p>
        </w:tc>
        <w:tc>
          <w:tcPr>
            <w:tcW w:w="0" w:type="dxa"/>
            <w:vAlign w:val="bottom"/>
          </w:tcPr>
          <w:p w:rsidR="001D6450" w:rsidRDefault="001D6450" w:rsidP="00D5675E">
            <w:pPr>
              <w:rPr>
                <w:sz w:val="1"/>
                <w:szCs w:val="1"/>
              </w:rPr>
            </w:pPr>
          </w:p>
        </w:tc>
      </w:tr>
      <w:tr w:rsidR="001D6450" w:rsidTr="00D5675E">
        <w:trPr>
          <w:trHeight w:val="194"/>
        </w:trPr>
        <w:tc>
          <w:tcPr>
            <w:tcW w:w="1240" w:type="dxa"/>
            <w:vAlign w:val="bottom"/>
          </w:tcPr>
          <w:p w:rsidR="001D6450" w:rsidRDefault="001D6450" w:rsidP="00D5675E">
            <w:pPr>
              <w:spacing w:line="194" w:lineRule="exact"/>
              <w:ind w:left="120"/>
              <w:rPr>
                <w:sz w:val="20"/>
                <w:szCs w:val="20"/>
              </w:rPr>
            </w:pPr>
            <w:r>
              <w:rPr>
                <w:sz w:val="18"/>
                <w:szCs w:val="18"/>
              </w:rPr>
              <w:t>(62%</w:t>
            </w:r>
          </w:p>
        </w:tc>
        <w:tc>
          <w:tcPr>
            <w:tcW w:w="2520" w:type="dxa"/>
            <w:vMerge w:val="restart"/>
            <w:vAlign w:val="bottom"/>
          </w:tcPr>
          <w:p w:rsidR="001D6450" w:rsidRDefault="001D6450" w:rsidP="00D5675E">
            <w:pPr>
              <w:ind w:left="120"/>
              <w:rPr>
                <w:sz w:val="20"/>
                <w:szCs w:val="20"/>
              </w:rPr>
            </w:pPr>
            <w:r>
              <w:rPr>
                <w:sz w:val="18"/>
                <w:szCs w:val="18"/>
              </w:rPr>
              <w:t>SFP (mediană în luni)</w:t>
            </w:r>
          </w:p>
        </w:tc>
        <w:tc>
          <w:tcPr>
            <w:tcW w:w="1100" w:type="dxa"/>
            <w:vMerge w:val="restart"/>
            <w:vAlign w:val="bottom"/>
          </w:tcPr>
          <w:p w:rsidR="001D6450" w:rsidRDefault="001D6450" w:rsidP="00D5675E">
            <w:pPr>
              <w:jc w:val="center"/>
              <w:rPr>
                <w:sz w:val="20"/>
                <w:szCs w:val="20"/>
              </w:rPr>
            </w:pPr>
            <w:r>
              <w:rPr>
                <w:sz w:val="18"/>
                <w:szCs w:val="18"/>
              </w:rPr>
              <w:t>10,4</w:t>
            </w:r>
          </w:p>
        </w:tc>
        <w:tc>
          <w:tcPr>
            <w:tcW w:w="1480" w:type="dxa"/>
            <w:vMerge w:val="restart"/>
            <w:vAlign w:val="bottom"/>
          </w:tcPr>
          <w:p w:rsidR="001D6450" w:rsidRDefault="001D6450" w:rsidP="00D5675E">
            <w:pPr>
              <w:ind w:left="10"/>
              <w:jc w:val="center"/>
              <w:rPr>
                <w:sz w:val="20"/>
                <w:szCs w:val="20"/>
              </w:rPr>
            </w:pPr>
            <w:r>
              <w:rPr>
                <w:w w:val="97"/>
                <w:sz w:val="18"/>
                <w:szCs w:val="18"/>
              </w:rPr>
              <w:t>5,1</w:t>
            </w:r>
          </w:p>
        </w:tc>
        <w:tc>
          <w:tcPr>
            <w:tcW w:w="1200" w:type="dxa"/>
            <w:vAlign w:val="bottom"/>
          </w:tcPr>
          <w:p w:rsidR="001D6450" w:rsidRDefault="001D6450" w:rsidP="00D5675E">
            <w:pPr>
              <w:spacing w:line="194" w:lineRule="exact"/>
              <w:jc w:val="center"/>
              <w:rPr>
                <w:sz w:val="20"/>
                <w:szCs w:val="20"/>
              </w:rPr>
            </w:pPr>
            <w:r>
              <w:rPr>
                <w:sz w:val="18"/>
                <w:szCs w:val="18"/>
              </w:rPr>
              <w:t>0,34</w:t>
            </w:r>
          </w:p>
        </w:tc>
        <w:tc>
          <w:tcPr>
            <w:tcW w:w="1240" w:type="dxa"/>
            <w:vMerge w:val="restart"/>
            <w:vAlign w:val="bottom"/>
          </w:tcPr>
          <w:p w:rsidR="001D6450" w:rsidRDefault="001D6450" w:rsidP="00D5675E">
            <w:pPr>
              <w:jc w:val="center"/>
              <w:rPr>
                <w:sz w:val="20"/>
                <w:szCs w:val="20"/>
              </w:rPr>
            </w:pPr>
            <w:r>
              <w:rPr>
                <w:sz w:val="18"/>
                <w:szCs w:val="18"/>
              </w:rPr>
              <w:t>p&lt;0,0001</w:t>
            </w:r>
          </w:p>
        </w:tc>
        <w:tc>
          <w:tcPr>
            <w:tcW w:w="0" w:type="dxa"/>
            <w:vAlign w:val="bottom"/>
          </w:tcPr>
          <w:p w:rsidR="001D6450" w:rsidRDefault="001D6450" w:rsidP="00D5675E">
            <w:pPr>
              <w:rPr>
                <w:sz w:val="1"/>
                <w:szCs w:val="1"/>
              </w:rPr>
            </w:pPr>
          </w:p>
        </w:tc>
      </w:tr>
      <w:tr w:rsidR="001D6450" w:rsidTr="00D5675E">
        <w:trPr>
          <w:trHeight w:val="124"/>
        </w:trPr>
        <w:tc>
          <w:tcPr>
            <w:tcW w:w="1240" w:type="dxa"/>
            <w:vMerge w:val="restart"/>
            <w:vAlign w:val="bottom"/>
          </w:tcPr>
          <w:p w:rsidR="001D6450" w:rsidRDefault="001D6450" w:rsidP="00D5675E">
            <w:pPr>
              <w:ind w:left="120"/>
              <w:rPr>
                <w:sz w:val="20"/>
                <w:szCs w:val="20"/>
              </w:rPr>
            </w:pPr>
            <w:r>
              <w:rPr>
                <w:sz w:val="18"/>
                <w:szCs w:val="18"/>
              </w:rPr>
              <w:t>maturitate a</w:t>
            </w:r>
          </w:p>
        </w:tc>
        <w:tc>
          <w:tcPr>
            <w:tcW w:w="2520" w:type="dxa"/>
            <w:vMerge/>
            <w:vAlign w:val="bottom"/>
          </w:tcPr>
          <w:p w:rsidR="001D6450" w:rsidRDefault="001D6450" w:rsidP="00D5675E">
            <w:pPr>
              <w:rPr>
                <w:sz w:val="10"/>
                <w:szCs w:val="10"/>
              </w:rPr>
            </w:pPr>
          </w:p>
        </w:tc>
        <w:tc>
          <w:tcPr>
            <w:tcW w:w="1100" w:type="dxa"/>
            <w:vMerge/>
            <w:vAlign w:val="bottom"/>
          </w:tcPr>
          <w:p w:rsidR="001D6450" w:rsidRDefault="001D6450" w:rsidP="00D5675E">
            <w:pPr>
              <w:rPr>
                <w:sz w:val="10"/>
                <w:szCs w:val="10"/>
              </w:rPr>
            </w:pPr>
          </w:p>
        </w:tc>
        <w:tc>
          <w:tcPr>
            <w:tcW w:w="1480" w:type="dxa"/>
            <w:vMerge/>
            <w:vAlign w:val="bottom"/>
          </w:tcPr>
          <w:p w:rsidR="001D6450" w:rsidRDefault="001D6450" w:rsidP="00D5675E">
            <w:pPr>
              <w:rPr>
                <w:sz w:val="10"/>
                <w:szCs w:val="10"/>
              </w:rPr>
            </w:pPr>
          </w:p>
        </w:tc>
        <w:tc>
          <w:tcPr>
            <w:tcW w:w="1200" w:type="dxa"/>
            <w:vMerge w:val="restart"/>
            <w:vAlign w:val="bottom"/>
          </w:tcPr>
          <w:p w:rsidR="001D6450" w:rsidRDefault="001D6450" w:rsidP="00D5675E">
            <w:pPr>
              <w:jc w:val="center"/>
              <w:rPr>
                <w:sz w:val="20"/>
                <w:szCs w:val="20"/>
              </w:rPr>
            </w:pPr>
            <w:r>
              <w:rPr>
                <w:w w:val="98"/>
                <w:sz w:val="18"/>
                <w:szCs w:val="18"/>
              </w:rPr>
              <w:t>[0,23-0,49]</w:t>
            </w:r>
          </w:p>
        </w:tc>
        <w:tc>
          <w:tcPr>
            <w:tcW w:w="1240" w:type="dxa"/>
            <w:vMerge/>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92"/>
        </w:trPr>
        <w:tc>
          <w:tcPr>
            <w:tcW w:w="1240" w:type="dxa"/>
            <w:vMerge/>
            <w:vAlign w:val="bottom"/>
          </w:tcPr>
          <w:p w:rsidR="001D6450" w:rsidRDefault="001D6450" w:rsidP="00D5675E">
            <w:pPr>
              <w:rPr>
                <w:sz w:val="8"/>
                <w:szCs w:val="8"/>
              </w:rPr>
            </w:pPr>
          </w:p>
        </w:tc>
        <w:tc>
          <w:tcPr>
            <w:tcW w:w="2520" w:type="dxa"/>
            <w:tcBorders>
              <w:bottom w:val="single" w:sz="8" w:space="0" w:color="auto"/>
            </w:tcBorders>
            <w:vAlign w:val="bottom"/>
          </w:tcPr>
          <w:p w:rsidR="001D6450" w:rsidRDefault="001D6450" w:rsidP="00D5675E">
            <w:pPr>
              <w:rPr>
                <w:sz w:val="8"/>
                <w:szCs w:val="8"/>
              </w:rPr>
            </w:pPr>
          </w:p>
        </w:tc>
        <w:tc>
          <w:tcPr>
            <w:tcW w:w="1100" w:type="dxa"/>
            <w:tcBorders>
              <w:bottom w:val="single" w:sz="8" w:space="0" w:color="auto"/>
            </w:tcBorders>
            <w:vAlign w:val="bottom"/>
          </w:tcPr>
          <w:p w:rsidR="001D6450" w:rsidRDefault="001D6450" w:rsidP="00D5675E">
            <w:pPr>
              <w:rPr>
                <w:sz w:val="8"/>
                <w:szCs w:val="8"/>
              </w:rPr>
            </w:pPr>
          </w:p>
        </w:tc>
        <w:tc>
          <w:tcPr>
            <w:tcW w:w="1480" w:type="dxa"/>
            <w:tcBorders>
              <w:bottom w:val="single" w:sz="8" w:space="0" w:color="auto"/>
            </w:tcBorders>
            <w:vAlign w:val="bottom"/>
          </w:tcPr>
          <w:p w:rsidR="001D6450" w:rsidRDefault="001D6450" w:rsidP="00D5675E">
            <w:pPr>
              <w:rPr>
                <w:sz w:val="8"/>
                <w:szCs w:val="8"/>
              </w:rPr>
            </w:pPr>
          </w:p>
        </w:tc>
        <w:tc>
          <w:tcPr>
            <w:tcW w:w="1200" w:type="dxa"/>
            <w:vMerge/>
            <w:tcBorders>
              <w:bottom w:val="single" w:sz="8" w:space="0" w:color="auto"/>
            </w:tcBorders>
            <w:vAlign w:val="bottom"/>
          </w:tcPr>
          <w:p w:rsidR="001D6450" w:rsidRDefault="001D6450" w:rsidP="00D5675E">
            <w:pPr>
              <w:rPr>
                <w:sz w:val="8"/>
                <w:szCs w:val="8"/>
              </w:rPr>
            </w:pPr>
          </w:p>
        </w:tc>
        <w:tc>
          <w:tcPr>
            <w:tcW w:w="1240" w:type="dxa"/>
            <w:tcBorders>
              <w:bottom w:val="single" w:sz="8" w:space="0" w:color="auto"/>
            </w:tcBorders>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199"/>
        </w:trPr>
        <w:tc>
          <w:tcPr>
            <w:tcW w:w="1240" w:type="dxa"/>
            <w:vAlign w:val="bottom"/>
          </w:tcPr>
          <w:p w:rsidR="001D6450" w:rsidRDefault="00F22DEE" w:rsidP="00D5675E">
            <w:pPr>
              <w:spacing w:line="199" w:lineRule="exact"/>
              <w:ind w:left="120"/>
              <w:rPr>
                <w:sz w:val="20"/>
                <w:szCs w:val="20"/>
              </w:rPr>
            </w:pPr>
            <w:r>
              <w:rPr>
                <w:sz w:val="18"/>
                <w:szCs w:val="18"/>
              </w:rPr>
              <w:t>D</w:t>
            </w:r>
            <w:r w:rsidR="001D6450">
              <w:rPr>
                <w:sz w:val="18"/>
                <w:szCs w:val="18"/>
              </w:rPr>
              <w:t>atelor</w:t>
            </w:r>
          </w:p>
        </w:tc>
        <w:tc>
          <w:tcPr>
            <w:tcW w:w="2520" w:type="dxa"/>
            <w:vAlign w:val="bottom"/>
          </w:tcPr>
          <w:p w:rsidR="001D6450" w:rsidRDefault="001D6450" w:rsidP="00D5675E">
            <w:pPr>
              <w:rPr>
                <w:sz w:val="17"/>
                <w:szCs w:val="17"/>
              </w:rPr>
            </w:pPr>
          </w:p>
        </w:tc>
        <w:tc>
          <w:tcPr>
            <w:tcW w:w="1100" w:type="dxa"/>
            <w:vAlign w:val="bottom"/>
          </w:tcPr>
          <w:p w:rsidR="001D6450" w:rsidRDefault="001D6450" w:rsidP="00D5675E">
            <w:pPr>
              <w:rPr>
                <w:sz w:val="17"/>
                <w:szCs w:val="17"/>
              </w:rPr>
            </w:pPr>
          </w:p>
        </w:tc>
        <w:tc>
          <w:tcPr>
            <w:tcW w:w="1480" w:type="dxa"/>
            <w:vAlign w:val="bottom"/>
          </w:tcPr>
          <w:p w:rsidR="001D6450" w:rsidRDefault="001D6450" w:rsidP="00D5675E">
            <w:pPr>
              <w:rPr>
                <w:sz w:val="17"/>
                <w:szCs w:val="17"/>
              </w:rPr>
            </w:pPr>
          </w:p>
        </w:tc>
        <w:tc>
          <w:tcPr>
            <w:tcW w:w="1200" w:type="dxa"/>
            <w:vAlign w:val="bottom"/>
          </w:tcPr>
          <w:p w:rsidR="001D6450" w:rsidRDefault="001D6450" w:rsidP="00D5675E">
            <w:pPr>
              <w:rPr>
                <w:sz w:val="17"/>
                <w:szCs w:val="17"/>
              </w:rPr>
            </w:pPr>
          </w:p>
        </w:tc>
        <w:tc>
          <w:tcPr>
            <w:tcW w:w="1240" w:type="dxa"/>
            <w:vAlign w:val="bottom"/>
          </w:tcPr>
          <w:p w:rsidR="001D6450" w:rsidRDefault="001D6450" w:rsidP="00D5675E">
            <w:pPr>
              <w:rPr>
                <w:sz w:val="17"/>
                <w:szCs w:val="17"/>
              </w:rPr>
            </w:pPr>
          </w:p>
        </w:tc>
        <w:tc>
          <w:tcPr>
            <w:tcW w:w="0" w:type="dxa"/>
            <w:vAlign w:val="bottom"/>
          </w:tcPr>
          <w:p w:rsidR="001D6450" w:rsidRDefault="001D6450" w:rsidP="00D5675E">
            <w:pPr>
              <w:rPr>
                <w:sz w:val="1"/>
                <w:szCs w:val="1"/>
              </w:rPr>
            </w:pPr>
          </w:p>
        </w:tc>
      </w:tr>
      <w:tr w:rsidR="001D6450" w:rsidTr="00D5675E">
        <w:trPr>
          <w:trHeight w:val="206"/>
        </w:trPr>
        <w:tc>
          <w:tcPr>
            <w:tcW w:w="1240" w:type="dxa"/>
            <w:vAlign w:val="bottom"/>
          </w:tcPr>
          <w:p w:rsidR="001D6450" w:rsidRDefault="001D6450" w:rsidP="00D5675E">
            <w:pPr>
              <w:ind w:left="120"/>
              <w:rPr>
                <w:sz w:val="20"/>
                <w:szCs w:val="20"/>
              </w:rPr>
            </w:pPr>
            <w:r>
              <w:rPr>
                <w:sz w:val="18"/>
                <w:szCs w:val="18"/>
              </w:rPr>
              <w:t>privind SG)</w:t>
            </w:r>
          </w:p>
        </w:tc>
        <w:tc>
          <w:tcPr>
            <w:tcW w:w="2520" w:type="dxa"/>
            <w:vAlign w:val="bottom"/>
          </w:tcPr>
          <w:p w:rsidR="001D6450" w:rsidRDefault="001D6450" w:rsidP="00D5675E">
            <w:pPr>
              <w:rPr>
                <w:sz w:val="17"/>
                <w:szCs w:val="17"/>
              </w:rPr>
            </w:pPr>
          </w:p>
        </w:tc>
        <w:tc>
          <w:tcPr>
            <w:tcW w:w="1100" w:type="dxa"/>
            <w:vAlign w:val="bottom"/>
          </w:tcPr>
          <w:p w:rsidR="001D6450" w:rsidRDefault="001D6450" w:rsidP="00D5675E">
            <w:pPr>
              <w:rPr>
                <w:sz w:val="17"/>
                <w:szCs w:val="17"/>
              </w:rPr>
            </w:pPr>
          </w:p>
        </w:tc>
        <w:tc>
          <w:tcPr>
            <w:tcW w:w="1480" w:type="dxa"/>
            <w:vAlign w:val="bottom"/>
          </w:tcPr>
          <w:p w:rsidR="001D6450" w:rsidRDefault="001D6450" w:rsidP="00D5675E">
            <w:pPr>
              <w:rPr>
                <w:sz w:val="17"/>
                <w:szCs w:val="17"/>
              </w:rPr>
            </w:pPr>
          </w:p>
        </w:tc>
        <w:tc>
          <w:tcPr>
            <w:tcW w:w="1200" w:type="dxa"/>
            <w:vAlign w:val="bottom"/>
          </w:tcPr>
          <w:p w:rsidR="001D6450" w:rsidRDefault="001D6450" w:rsidP="00D5675E">
            <w:pPr>
              <w:rPr>
                <w:sz w:val="17"/>
                <w:szCs w:val="17"/>
              </w:rPr>
            </w:pPr>
          </w:p>
        </w:tc>
        <w:tc>
          <w:tcPr>
            <w:tcW w:w="1240" w:type="dxa"/>
            <w:vAlign w:val="bottom"/>
          </w:tcPr>
          <w:p w:rsidR="001D6450" w:rsidRDefault="001D6450" w:rsidP="00D5675E">
            <w:pPr>
              <w:rPr>
                <w:sz w:val="17"/>
                <w:szCs w:val="17"/>
              </w:rPr>
            </w:pPr>
          </w:p>
        </w:tc>
        <w:tc>
          <w:tcPr>
            <w:tcW w:w="0" w:type="dxa"/>
            <w:vAlign w:val="bottom"/>
          </w:tcPr>
          <w:p w:rsidR="001D6450" w:rsidRDefault="001D6450" w:rsidP="00D5675E">
            <w:pPr>
              <w:rPr>
                <w:sz w:val="1"/>
                <w:szCs w:val="1"/>
              </w:rPr>
            </w:pPr>
          </w:p>
        </w:tc>
      </w:tr>
      <w:tr w:rsidR="001D6450" w:rsidTr="00D5675E">
        <w:trPr>
          <w:trHeight w:val="209"/>
        </w:trPr>
        <w:tc>
          <w:tcPr>
            <w:tcW w:w="1240" w:type="dxa"/>
            <w:vAlign w:val="bottom"/>
          </w:tcPr>
          <w:p w:rsidR="001D6450" w:rsidRDefault="001D6450" w:rsidP="00D5675E">
            <w:pPr>
              <w:ind w:left="120"/>
              <w:rPr>
                <w:sz w:val="20"/>
                <w:szCs w:val="20"/>
              </w:rPr>
            </w:pPr>
            <w:r>
              <w:rPr>
                <w:sz w:val="18"/>
                <w:szCs w:val="18"/>
              </w:rPr>
              <w:t>(n=173)</w:t>
            </w:r>
          </w:p>
        </w:tc>
        <w:tc>
          <w:tcPr>
            <w:tcW w:w="2520" w:type="dxa"/>
            <w:vMerge w:val="restart"/>
            <w:vAlign w:val="bottom"/>
          </w:tcPr>
          <w:p w:rsidR="001D6450" w:rsidRDefault="001D6450" w:rsidP="00D5675E">
            <w:pPr>
              <w:ind w:left="120"/>
              <w:rPr>
                <w:sz w:val="20"/>
                <w:szCs w:val="20"/>
              </w:rPr>
            </w:pPr>
            <w:r>
              <w:rPr>
                <w:sz w:val="18"/>
                <w:szCs w:val="18"/>
              </w:rPr>
              <w:t>SG*** (luni)</w:t>
            </w:r>
          </w:p>
        </w:tc>
        <w:tc>
          <w:tcPr>
            <w:tcW w:w="1100" w:type="dxa"/>
            <w:vMerge w:val="restart"/>
            <w:vAlign w:val="bottom"/>
          </w:tcPr>
          <w:p w:rsidR="001D6450" w:rsidRDefault="001D6450" w:rsidP="00D5675E">
            <w:pPr>
              <w:jc w:val="center"/>
              <w:rPr>
                <w:sz w:val="20"/>
                <w:szCs w:val="20"/>
              </w:rPr>
            </w:pPr>
            <w:r>
              <w:rPr>
                <w:sz w:val="18"/>
                <w:szCs w:val="18"/>
              </w:rPr>
              <w:t>22,9</w:t>
            </w:r>
          </w:p>
        </w:tc>
        <w:tc>
          <w:tcPr>
            <w:tcW w:w="1480" w:type="dxa"/>
            <w:vMerge w:val="restart"/>
            <w:vAlign w:val="bottom"/>
          </w:tcPr>
          <w:p w:rsidR="001D6450" w:rsidRDefault="001D6450" w:rsidP="00D5675E">
            <w:pPr>
              <w:jc w:val="center"/>
              <w:rPr>
                <w:sz w:val="20"/>
                <w:szCs w:val="20"/>
              </w:rPr>
            </w:pPr>
            <w:r>
              <w:rPr>
                <w:sz w:val="18"/>
                <w:szCs w:val="18"/>
              </w:rPr>
              <w:t>20,8</w:t>
            </w:r>
          </w:p>
        </w:tc>
        <w:tc>
          <w:tcPr>
            <w:tcW w:w="1200" w:type="dxa"/>
            <w:vAlign w:val="bottom"/>
          </w:tcPr>
          <w:p w:rsidR="001D6450" w:rsidRDefault="001D6450" w:rsidP="00D5675E">
            <w:pPr>
              <w:jc w:val="center"/>
              <w:rPr>
                <w:sz w:val="20"/>
                <w:szCs w:val="20"/>
              </w:rPr>
            </w:pPr>
            <w:r>
              <w:rPr>
                <w:sz w:val="18"/>
                <w:szCs w:val="18"/>
              </w:rPr>
              <w:t>0,93</w:t>
            </w:r>
          </w:p>
        </w:tc>
        <w:tc>
          <w:tcPr>
            <w:tcW w:w="1240" w:type="dxa"/>
            <w:vMerge w:val="restart"/>
            <w:vAlign w:val="bottom"/>
          </w:tcPr>
          <w:p w:rsidR="001D6450" w:rsidRDefault="001D6450" w:rsidP="00D5675E">
            <w:pPr>
              <w:jc w:val="center"/>
              <w:rPr>
                <w:sz w:val="20"/>
                <w:szCs w:val="20"/>
              </w:rPr>
            </w:pPr>
            <w:r>
              <w:rPr>
                <w:sz w:val="18"/>
                <w:szCs w:val="18"/>
              </w:rPr>
              <w:t>p=0,7149</w:t>
            </w:r>
          </w:p>
        </w:tc>
        <w:tc>
          <w:tcPr>
            <w:tcW w:w="0" w:type="dxa"/>
            <w:vAlign w:val="bottom"/>
          </w:tcPr>
          <w:p w:rsidR="001D6450" w:rsidRDefault="001D6450" w:rsidP="00D5675E">
            <w:pPr>
              <w:rPr>
                <w:sz w:val="1"/>
                <w:szCs w:val="1"/>
              </w:rPr>
            </w:pPr>
          </w:p>
        </w:tc>
      </w:tr>
      <w:tr w:rsidR="001D6450" w:rsidTr="00D5675E">
        <w:trPr>
          <w:trHeight w:val="138"/>
        </w:trPr>
        <w:tc>
          <w:tcPr>
            <w:tcW w:w="1240" w:type="dxa"/>
            <w:vAlign w:val="bottom"/>
          </w:tcPr>
          <w:p w:rsidR="001D6450" w:rsidRDefault="001D6450" w:rsidP="00D5675E">
            <w:pPr>
              <w:rPr>
                <w:sz w:val="12"/>
                <w:szCs w:val="12"/>
              </w:rPr>
            </w:pPr>
          </w:p>
        </w:tc>
        <w:tc>
          <w:tcPr>
            <w:tcW w:w="2520" w:type="dxa"/>
            <w:vMerge/>
            <w:vAlign w:val="bottom"/>
          </w:tcPr>
          <w:p w:rsidR="001D6450" w:rsidRDefault="001D6450" w:rsidP="00D5675E">
            <w:pPr>
              <w:rPr>
                <w:sz w:val="12"/>
                <w:szCs w:val="12"/>
              </w:rPr>
            </w:pPr>
          </w:p>
        </w:tc>
        <w:tc>
          <w:tcPr>
            <w:tcW w:w="1100" w:type="dxa"/>
            <w:vMerge/>
            <w:vAlign w:val="bottom"/>
          </w:tcPr>
          <w:p w:rsidR="001D6450" w:rsidRDefault="001D6450" w:rsidP="00D5675E">
            <w:pPr>
              <w:rPr>
                <w:sz w:val="12"/>
                <w:szCs w:val="12"/>
              </w:rPr>
            </w:pPr>
          </w:p>
        </w:tc>
        <w:tc>
          <w:tcPr>
            <w:tcW w:w="1480" w:type="dxa"/>
            <w:vMerge/>
            <w:vAlign w:val="bottom"/>
          </w:tcPr>
          <w:p w:rsidR="001D6450" w:rsidRDefault="001D6450" w:rsidP="00D5675E">
            <w:pPr>
              <w:rPr>
                <w:sz w:val="12"/>
                <w:szCs w:val="12"/>
              </w:rPr>
            </w:pPr>
          </w:p>
        </w:tc>
        <w:tc>
          <w:tcPr>
            <w:tcW w:w="1200" w:type="dxa"/>
            <w:vMerge w:val="restart"/>
            <w:vAlign w:val="bottom"/>
          </w:tcPr>
          <w:p w:rsidR="001D6450" w:rsidRDefault="001D6450" w:rsidP="00D5675E">
            <w:pPr>
              <w:jc w:val="center"/>
              <w:rPr>
                <w:sz w:val="20"/>
                <w:szCs w:val="20"/>
              </w:rPr>
            </w:pPr>
            <w:r>
              <w:rPr>
                <w:w w:val="98"/>
                <w:sz w:val="18"/>
                <w:szCs w:val="18"/>
              </w:rPr>
              <w:t>[0,64-1,36]</w:t>
            </w:r>
          </w:p>
        </w:tc>
        <w:tc>
          <w:tcPr>
            <w:tcW w:w="1240" w:type="dxa"/>
            <w:vMerge/>
            <w:vAlign w:val="bottom"/>
          </w:tcPr>
          <w:p w:rsidR="001D6450" w:rsidRDefault="001D6450" w:rsidP="00D5675E">
            <w:pPr>
              <w:rPr>
                <w:sz w:val="12"/>
                <w:szCs w:val="12"/>
              </w:rPr>
            </w:pPr>
          </w:p>
        </w:tc>
        <w:tc>
          <w:tcPr>
            <w:tcW w:w="0" w:type="dxa"/>
            <w:vAlign w:val="bottom"/>
          </w:tcPr>
          <w:p w:rsidR="001D6450" w:rsidRDefault="001D6450" w:rsidP="00D5675E">
            <w:pPr>
              <w:rPr>
                <w:sz w:val="1"/>
                <w:szCs w:val="1"/>
              </w:rPr>
            </w:pPr>
          </w:p>
        </w:tc>
      </w:tr>
      <w:tr w:rsidR="001D6450" w:rsidTr="00D5675E">
        <w:trPr>
          <w:trHeight w:val="103"/>
        </w:trPr>
        <w:tc>
          <w:tcPr>
            <w:tcW w:w="1240" w:type="dxa"/>
            <w:vMerge w:val="restart"/>
            <w:vAlign w:val="bottom"/>
          </w:tcPr>
          <w:p w:rsidR="001D6450" w:rsidRDefault="001D6450" w:rsidP="00D5675E">
            <w:pPr>
              <w:ind w:left="120"/>
              <w:rPr>
                <w:sz w:val="20"/>
                <w:szCs w:val="20"/>
              </w:rPr>
            </w:pPr>
            <w:r>
              <w:rPr>
                <w:sz w:val="10"/>
                <w:szCs w:val="10"/>
              </w:rPr>
              <w:t>Data de închidere a bazei</w:t>
            </w:r>
          </w:p>
        </w:tc>
        <w:tc>
          <w:tcPr>
            <w:tcW w:w="2520" w:type="dxa"/>
            <w:vAlign w:val="bottom"/>
          </w:tcPr>
          <w:p w:rsidR="001D6450" w:rsidRDefault="001D6450" w:rsidP="00D5675E">
            <w:pPr>
              <w:rPr>
                <w:sz w:val="8"/>
                <w:szCs w:val="8"/>
              </w:rPr>
            </w:pPr>
          </w:p>
        </w:tc>
        <w:tc>
          <w:tcPr>
            <w:tcW w:w="1100" w:type="dxa"/>
            <w:vAlign w:val="bottom"/>
          </w:tcPr>
          <w:p w:rsidR="001D6450" w:rsidRDefault="001D6450" w:rsidP="00D5675E">
            <w:pPr>
              <w:rPr>
                <w:sz w:val="8"/>
                <w:szCs w:val="8"/>
              </w:rPr>
            </w:pPr>
          </w:p>
        </w:tc>
        <w:tc>
          <w:tcPr>
            <w:tcW w:w="1480" w:type="dxa"/>
            <w:vAlign w:val="bottom"/>
          </w:tcPr>
          <w:p w:rsidR="001D6450" w:rsidRDefault="001D6450" w:rsidP="00D5675E">
            <w:pPr>
              <w:rPr>
                <w:sz w:val="8"/>
                <w:szCs w:val="8"/>
              </w:rPr>
            </w:pPr>
          </w:p>
        </w:tc>
        <w:tc>
          <w:tcPr>
            <w:tcW w:w="1200" w:type="dxa"/>
            <w:vMerge/>
            <w:vAlign w:val="bottom"/>
          </w:tcPr>
          <w:p w:rsidR="001D6450" w:rsidRDefault="001D6450" w:rsidP="00D5675E">
            <w:pPr>
              <w:rPr>
                <w:sz w:val="8"/>
                <w:szCs w:val="8"/>
              </w:rPr>
            </w:pPr>
          </w:p>
        </w:tc>
        <w:tc>
          <w:tcPr>
            <w:tcW w:w="1240" w:type="dxa"/>
            <w:vAlign w:val="bottom"/>
          </w:tcPr>
          <w:p w:rsidR="001D6450" w:rsidRDefault="001D6450" w:rsidP="00D5675E">
            <w:pPr>
              <w:rPr>
                <w:sz w:val="8"/>
                <w:szCs w:val="8"/>
              </w:rPr>
            </w:pPr>
          </w:p>
        </w:tc>
        <w:tc>
          <w:tcPr>
            <w:tcW w:w="0" w:type="dxa"/>
            <w:vAlign w:val="bottom"/>
          </w:tcPr>
          <w:p w:rsidR="001D6450" w:rsidRDefault="001D6450" w:rsidP="00D5675E">
            <w:pPr>
              <w:rPr>
                <w:sz w:val="1"/>
                <w:szCs w:val="1"/>
              </w:rPr>
            </w:pPr>
          </w:p>
        </w:tc>
      </w:tr>
      <w:tr w:rsidR="001D6450" w:rsidTr="00D5675E">
        <w:trPr>
          <w:trHeight w:val="88"/>
        </w:trPr>
        <w:tc>
          <w:tcPr>
            <w:tcW w:w="1240" w:type="dxa"/>
            <w:vMerge/>
            <w:vAlign w:val="bottom"/>
          </w:tcPr>
          <w:p w:rsidR="001D6450" w:rsidRDefault="001D6450" w:rsidP="00D5675E">
            <w:pPr>
              <w:rPr>
                <w:sz w:val="7"/>
                <w:szCs w:val="7"/>
              </w:rPr>
            </w:pPr>
          </w:p>
        </w:tc>
        <w:tc>
          <w:tcPr>
            <w:tcW w:w="2520" w:type="dxa"/>
            <w:vAlign w:val="bottom"/>
          </w:tcPr>
          <w:p w:rsidR="001D6450" w:rsidRDefault="001D6450" w:rsidP="00D5675E">
            <w:pPr>
              <w:rPr>
                <w:sz w:val="7"/>
                <w:szCs w:val="7"/>
              </w:rPr>
            </w:pPr>
          </w:p>
        </w:tc>
        <w:tc>
          <w:tcPr>
            <w:tcW w:w="1100" w:type="dxa"/>
            <w:vAlign w:val="bottom"/>
          </w:tcPr>
          <w:p w:rsidR="001D6450" w:rsidRDefault="001D6450" w:rsidP="00D5675E">
            <w:pPr>
              <w:rPr>
                <w:sz w:val="7"/>
                <w:szCs w:val="7"/>
              </w:rPr>
            </w:pPr>
          </w:p>
        </w:tc>
        <w:tc>
          <w:tcPr>
            <w:tcW w:w="1480" w:type="dxa"/>
            <w:vAlign w:val="bottom"/>
          </w:tcPr>
          <w:p w:rsidR="001D6450" w:rsidRDefault="001D6450" w:rsidP="00D5675E">
            <w:pPr>
              <w:rPr>
                <w:sz w:val="7"/>
                <w:szCs w:val="7"/>
              </w:rPr>
            </w:pPr>
          </w:p>
        </w:tc>
        <w:tc>
          <w:tcPr>
            <w:tcW w:w="1200" w:type="dxa"/>
            <w:vAlign w:val="bottom"/>
          </w:tcPr>
          <w:p w:rsidR="001D6450" w:rsidRDefault="001D6450" w:rsidP="00D5675E">
            <w:pPr>
              <w:rPr>
                <w:sz w:val="7"/>
                <w:szCs w:val="7"/>
              </w:rPr>
            </w:pPr>
          </w:p>
        </w:tc>
        <w:tc>
          <w:tcPr>
            <w:tcW w:w="1240" w:type="dxa"/>
            <w:vAlign w:val="bottom"/>
          </w:tcPr>
          <w:p w:rsidR="001D6450" w:rsidRDefault="001D6450" w:rsidP="00D5675E">
            <w:pPr>
              <w:rPr>
                <w:sz w:val="7"/>
                <w:szCs w:val="7"/>
              </w:rPr>
            </w:pPr>
          </w:p>
        </w:tc>
        <w:tc>
          <w:tcPr>
            <w:tcW w:w="0" w:type="dxa"/>
            <w:vAlign w:val="bottom"/>
          </w:tcPr>
          <w:p w:rsidR="001D6450" w:rsidRDefault="001D6450" w:rsidP="00D5675E">
            <w:pPr>
              <w:rPr>
                <w:sz w:val="1"/>
                <w:szCs w:val="1"/>
              </w:rPr>
            </w:pPr>
          </w:p>
        </w:tc>
      </w:tr>
      <w:tr w:rsidR="001D6450" w:rsidTr="00D5675E">
        <w:trPr>
          <w:trHeight w:val="135"/>
        </w:trPr>
        <w:tc>
          <w:tcPr>
            <w:tcW w:w="1240" w:type="dxa"/>
            <w:vAlign w:val="bottom"/>
          </w:tcPr>
          <w:p w:rsidR="001D6450" w:rsidRDefault="001D6450" w:rsidP="00D5675E">
            <w:pPr>
              <w:ind w:left="120"/>
              <w:rPr>
                <w:sz w:val="20"/>
                <w:szCs w:val="20"/>
              </w:rPr>
            </w:pPr>
            <w:r>
              <w:rPr>
                <w:sz w:val="10"/>
                <w:szCs w:val="10"/>
              </w:rPr>
              <w:t>de date: Aprilie 2012</w:t>
            </w:r>
          </w:p>
        </w:tc>
        <w:tc>
          <w:tcPr>
            <w:tcW w:w="2520" w:type="dxa"/>
            <w:vAlign w:val="bottom"/>
          </w:tcPr>
          <w:p w:rsidR="001D6450" w:rsidRDefault="001D6450" w:rsidP="00D5675E">
            <w:pPr>
              <w:rPr>
                <w:sz w:val="11"/>
                <w:szCs w:val="11"/>
              </w:rPr>
            </w:pPr>
          </w:p>
        </w:tc>
        <w:tc>
          <w:tcPr>
            <w:tcW w:w="1100" w:type="dxa"/>
            <w:vAlign w:val="bottom"/>
          </w:tcPr>
          <w:p w:rsidR="001D6450" w:rsidRDefault="001D6450" w:rsidP="00D5675E">
            <w:pPr>
              <w:rPr>
                <w:sz w:val="11"/>
                <w:szCs w:val="11"/>
              </w:rPr>
            </w:pPr>
          </w:p>
        </w:tc>
        <w:tc>
          <w:tcPr>
            <w:tcW w:w="1480" w:type="dxa"/>
            <w:vAlign w:val="bottom"/>
          </w:tcPr>
          <w:p w:rsidR="001D6450" w:rsidRDefault="001D6450" w:rsidP="00D5675E">
            <w:pPr>
              <w:rPr>
                <w:sz w:val="11"/>
                <w:szCs w:val="11"/>
              </w:rPr>
            </w:pPr>
          </w:p>
        </w:tc>
        <w:tc>
          <w:tcPr>
            <w:tcW w:w="1200" w:type="dxa"/>
            <w:vAlign w:val="bottom"/>
          </w:tcPr>
          <w:p w:rsidR="001D6450" w:rsidRDefault="001D6450" w:rsidP="00D5675E">
            <w:pPr>
              <w:rPr>
                <w:sz w:val="11"/>
                <w:szCs w:val="11"/>
              </w:rPr>
            </w:pPr>
          </w:p>
        </w:tc>
        <w:tc>
          <w:tcPr>
            <w:tcW w:w="1240" w:type="dxa"/>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bl>
    <w:p w:rsidR="001D6450" w:rsidRDefault="001D6450" w:rsidP="001D6450">
      <w:pPr>
        <w:spacing w:line="20" w:lineRule="exact"/>
        <w:rPr>
          <w:sz w:val="20"/>
          <w:szCs w:val="20"/>
        </w:rPr>
      </w:pPr>
      <w:r>
        <w:rPr>
          <w:noProof/>
          <w:sz w:val="20"/>
          <w:szCs w:val="20"/>
          <w:lang w:val="en-US"/>
        </w:rPr>
        <mc:AlternateContent>
          <mc:Choice Requires="wps">
            <w:drawing>
              <wp:anchor distT="0" distB="0" distL="114300" distR="114300" simplePos="0" relativeHeight="251680768" behindDoc="1" locked="0" layoutInCell="0" allowOverlap="1" wp14:anchorId="18CC1DDD" wp14:editId="58EA5B15">
                <wp:simplePos x="0" y="0"/>
                <wp:positionH relativeFrom="column">
                  <wp:posOffset>5080</wp:posOffset>
                </wp:positionH>
                <wp:positionV relativeFrom="paragraph">
                  <wp:posOffset>-4755515</wp:posOffset>
                </wp:positionV>
                <wp:extent cx="556196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1965"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3732136C" id="Shape 2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pt,-374.45pt" to="438.35pt,-3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" o:allowincell="f" filled="t" strokeweight=".08464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1792" behindDoc="1" locked="0" layoutInCell="0" allowOverlap="1" wp14:anchorId="168BE4FA" wp14:editId="0FDC0F15">
                <wp:simplePos x="0" y="0"/>
                <wp:positionH relativeFrom="column">
                  <wp:posOffset>6350</wp:posOffset>
                </wp:positionH>
                <wp:positionV relativeFrom="paragraph">
                  <wp:posOffset>-4756785</wp:posOffset>
                </wp:positionV>
                <wp:extent cx="0" cy="488823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3035">
                          <a:solidFill>
                            <a:srgbClr val="000000"/>
                          </a:solidFill>
                          <a:miter lim="800000"/>
                          <a:headEnd/>
                          <a:tailEnd/>
                        </a:ln>
                      </wps:spPr>
                      <wps:bodyPr/>
                    </wps:wsp>
                  </a:graphicData>
                </a:graphic>
              </wp:anchor>
            </w:drawing>
          </mc:Choice>
          <mc:Fallback>
            <w:pict>
              <v:line w14:anchorId="03C5FEB1" id="Shape 23"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pt,-374.55pt" to=".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" o:allowincell="f" filled="t" strokeweight=".08431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2816" behindDoc="1" locked="0" layoutInCell="0" allowOverlap="1" wp14:anchorId="083B5E51" wp14:editId="689DFA0D">
                <wp:simplePos x="0" y="0"/>
                <wp:positionH relativeFrom="column">
                  <wp:posOffset>795655</wp:posOffset>
                </wp:positionH>
                <wp:positionV relativeFrom="paragraph">
                  <wp:posOffset>-4756785</wp:posOffset>
                </wp:positionV>
                <wp:extent cx="0" cy="488823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49B8A73" id="Shape 2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62.65pt,-374.55pt" to="62.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" o:allowincell="f" filled="t" strokeweight=".25397mm">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3840" behindDoc="1" locked="0" layoutInCell="0" allowOverlap="1" wp14:anchorId="0F8EC082" wp14:editId="727BF166">
                <wp:simplePos x="0" y="0"/>
                <wp:positionH relativeFrom="column">
                  <wp:posOffset>2326005</wp:posOffset>
                </wp:positionH>
                <wp:positionV relativeFrom="paragraph">
                  <wp:posOffset>-4756785</wp:posOffset>
                </wp:positionV>
                <wp:extent cx="0" cy="488823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6A14407" id="Shape 25"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83.15pt,-374.55pt" to="183.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4864" behindDoc="1" locked="0" layoutInCell="0" allowOverlap="1" wp14:anchorId="17E8BC69" wp14:editId="5690C06A">
                <wp:simplePos x="0" y="0"/>
                <wp:positionH relativeFrom="column">
                  <wp:posOffset>3134995</wp:posOffset>
                </wp:positionH>
                <wp:positionV relativeFrom="paragraph">
                  <wp:posOffset>-4756785</wp:posOffset>
                </wp:positionV>
                <wp:extent cx="0" cy="488823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3C8D9EC" id="Shape 2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46.85pt,-374.55pt" to="246.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5888" behindDoc="1" locked="0" layoutInCell="0" allowOverlap="1" wp14:anchorId="0A328C29" wp14:editId="5037B8B7">
                <wp:simplePos x="0" y="0"/>
                <wp:positionH relativeFrom="column">
                  <wp:posOffset>4036060</wp:posOffset>
                </wp:positionH>
                <wp:positionV relativeFrom="paragraph">
                  <wp:posOffset>-4756785</wp:posOffset>
                </wp:positionV>
                <wp:extent cx="0" cy="488823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A3780EE" id="Shape 27"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317.8pt,-374.55pt" to="317.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6912" behindDoc="1" locked="0" layoutInCell="0" allowOverlap="1" wp14:anchorId="04B62AB0" wp14:editId="5B904C1F">
                <wp:simplePos x="0" y="0"/>
                <wp:positionH relativeFrom="column">
                  <wp:posOffset>4754880</wp:posOffset>
                </wp:positionH>
                <wp:positionV relativeFrom="paragraph">
                  <wp:posOffset>-4756785</wp:posOffset>
                </wp:positionV>
                <wp:extent cx="0" cy="488823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2D2E989" id="Shape 28"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374.4pt,-374.55pt" to="37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" o:allowincell="f" filled="t" strokeweight=".72pt">
                <v:stroke joinstyle="miter"/>
                <o:lock v:ext="edit" shapetype="f"/>
              </v:line>
            </w:pict>
          </mc:Fallback>
        </mc:AlternateContent>
      </w:r>
      <w:r>
        <w:rPr>
          <w:noProof/>
          <w:sz w:val="20"/>
          <w:szCs w:val="20"/>
          <w:lang w:val="en-US"/>
        </w:rPr>
        <mc:AlternateContent>
          <mc:Choice Requires="wps">
            <w:drawing>
              <wp:anchor distT="0" distB="0" distL="114300" distR="114300" simplePos="0" relativeHeight="251687936" behindDoc="1" locked="0" layoutInCell="0" allowOverlap="1" wp14:anchorId="49C52537" wp14:editId="2B3194A9">
                <wp:simplePos x="0" y="0"/>
                <wp:positionH relativeFrom="column">
                  <wp:posOffset>5565775</wp:posOffset>
                </wp:positionH>
                <wp:positionV relativeFrom="paragraph">
                  <wp:posOffset>-4756785</wp:posOffset>
                </wp:positionV>
                <wp:extent cx="0" cy="488823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88230"/>
                        </a:xfrm>
                        <a:prstGeom prst="line">
                          <a:avLst/>
                        </a:prstGeom>
                        <a:solidFill>
                          <a:srgbClr val="FFFFFF"/>
                        </a:solidFill>
                        <a:ln w="3035">
                          <a:solidFill>
                            <a:srgbClr val="000000"/>
                          </a:solidFill>
                          <a:miter lim="800000"/>
                          <a:headEnd/>
                          <a:tailEnd/>
                        </a:ln>
                      </wps:spPr>
                      <wps:bodyPr/>
                    </wps:wsp>
                  </a:graphicData>
                </a:graphic>
              </wp:anchor>
            </w:drawing>
          </mc:Choice>
          <mc:Fallback>
            <w:pict>
              <v:line w14:anchorId="00A303E2" id="Shape 29"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438.25pt,-374.55pt" to="43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" o:allowincell="f" filled="t" strokeweight=".08431mm">
                <v:stroke joinstyle="miter"/>
                <o:lock v:ext="edit" shapetype="f"/>
              </v:line>
            </w:pict>
          </mc:Fallback>
        </mc:AlternateContent>
      </w:r>
    </w:p>
    <w:p w:rsidR="001D6450" w:rsidRDefault="002F49AA" w:rsidP="001D6450">
      <w:pPr>
        <w:spacing w:line="163" w:lineRule="exact"/>
        <w:rPr>
          <w:sz w:val="20"/>
          <w:szCs w:val="20"/>
        </w:rPr>
      </w:pPr>
      <w:r>
        <w:rPr>
          <w:noProof/>
          <w:sz w:val="20"/>
          <w:szCs w:val="20"/>
          <w:lang w:val="en-US"/>
        </w:rPr>
        <mc:AlternateContent>
          <mc:Choice Requires="wps">
            <w:drawing>
              <wp:anchor distT="0" distB="0" distL="114300" distR="114300" simplePos="0" relativeHeight="251688960" behindDoc="1" locked="0" layoutInCell="0" allowOverlap="1" wp14:anchorId="2820DD87" wp14:editId="3DC26DF8">
                <wp:simplePos x="0" y="0"/>
                <wp:positionH relativeFrom="column">
                  <wp:posOffset>-4445</wp:posOffset>
                </wp:positionH>
                <wp:positionV relativeFrom="paragraph">
                  <wp:posOffset>116840</wp:posOffset>
                </wp:positionV>
                <wp:extent cx="556196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1965" cy="0"/>
                        </a:xfrm>
                        <a:prstGeom prst="line">
                          <a:avLst/>
                        </a:prstGeom>
                        <a:solidFill>
                          <a:srgbClr val="FFFFFF"/>
                        </a:solidFill>
                        <a:ln w="3035">
                          <a:solidFill>
                            <a:srgbClr val="000000"/>
                          </a:solidFill>
                          <a:miter lim="800000"/>
                          <a:headEnd/>
                          <a:tailEnd/>
                        </a:ln>
                      </wps:spPr>
                      <wps:bodyPr/>
                    </wps:wsp>
                  </a:graphicData>
                </a:graphic>
              </wp:anchor>
            </w:drawing>
          </mc:Choice>
          <mc:Fallback>
            <w:pict>
              <v:line w14:anchorId="673A9721" id="Shape 30"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35pt,9.2pt" to="437.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" o:allowincell="f" filled="t" strokeweight=".08431mm">
                <v:stroke joinstyle="miter"/>
                <o:lock v:ext="edit" shapetype="f"/>
              </v:line>
            </w:pict>
          </mc:Fallback>
        </mc:AlternateContent>
      </w:r>
    </w:p>
    <w:p w:rsidR="001D6450" w:rsidRDefault="001D6450" w:rsidP="001D6450">
      <w:pPr>
        <w:ind w:left="120"/>
        <w:rPr>
          <w:sz w:val="20"/>
          <w:szCs w:val="20"/>
        </w:rPr>
      </w:pPr>
      <w:r>
        <w:rPr>
          <w:sz w:val="18"/>
          <w:szCs w:val="18"/>
        </w:rPr>
        <w:t>RC=răspuns complet; RP= răspuns parţial</w:t>
      </w:r>
    </w:p>
    <w:p w:rsidR="001D6450" w:rsidRDefault="001D6450" w:rsidP="001D6450">
      <w:pPr>
        <w:spacing w:line="20" w:lineRule="exact"/>
        <w:rPr>
          <w:sz w:val="20"/>
          <w:szCs w:val="20"/>
        </w:rPr>
      </w:pPr>
    </w:p>
    <w:p w:rsidR="001D6450" w:rsidRDefault="001D6450" w:rsidP="001D6450">
      <w:pPr>
        <w:widowControl/>
        <w:numPr>
          <w:ilvl w:val="0"/>
          <w:numId w:val="9"/>
        </w:numPr>
        <w:tabs>
          <w:tab w:val="left" w:pos="440"/>
        </w:tabs>
        <w:autoSpaceDE/>
        <w:autoSpaceDN/>
        <w:ind w:left="440" w:hanging="322"/>
        <w:rPr>
          <w:sz w:val="18"/>
          <w:szCs w:val="18"/>
        </w:rPr>
      </w:pPr>
      <w:r>
        <w:rPr>
          <w:sz w:val="18"/>
          <w:szCs w:val="18"/>
        </w:rPr>
        <w:t>A fost observată o reducere de 58% a riscului de progresie a bolii sau de deces</w:t>
      </w:r>
    </w:p>
    <w:p w:rsidR="001D6450" w:rsidRDefault="001D6450" w:rsidP="001D6450">
      <w:pPr>
        <w:widowControl/>
        <w:numPr>
          <w:ilvl w:val="0"/>
          <w:numId w:val="10"/>
        </w:numPr>
        <w:tabs>
          <w:tab w:val="left" w:pos="440"/>
        </w:tabs>
        <w:autoSpaceDE/>
        <w:autoSpaceDN/>
        <w:ind w:left="440" w:hanging="322"/>
        <w:rPr>
          <w:sz w:val="18"/>
          <w:szCs w:val="18"/>
        </w:rPr>
      </w:pPr>
      <w:r>
        <w:rPr>
          <w:sz w:val="18"/>
          <w:szCs w:val="18"/>
        </w:rPr>
        <w:t>Rata generală de concordanţă între evaluarea investigatorului şi a IRC a fost de 70%</w:t>
      </w:r>
    </w:p>
    <w:p w:rsidR="001D6450" w:rsidRDefault="001D6450" w:rsidP="001D6450">
      <w:pPr>
        <w:spacing w:line="1" w:lineRule="exact"/>
        <w:rPr>
          <w:sz w:val="18"/>
          <w:szCs w:val="18"/>
        </w:rPr>
      </w:pPr>
    </w:p>
    <w:p w:rsidR="001D6450" w:rsidRDefault="001D6450" w:rsidP="001D6450">
      <w:pPr>
        <w:widowControl/>
        <w:numPr>
          <w:ilvl w:val="0"/>
          <w:numId w:val="11"/>
        </w:numPr>
        <w:tabs>
          <w:tab w:val="left" w:pos="466"/>
        </w:tabs>
        <w:autoSpaceDE/>
        <w:autoSpaceDN/>
        <w:spacing w:line="259" w:lineRule="auto"/>
        <w:ind w:left="560" w:hanging="442"/>
        <w:rPr>
          <w:sz w:val="18"/>
          <w:szCs w:val="18"/>
        </w:rPr>
      </w:pPr>
      <w:r>
        <w:rPr>
          <w:sz w:val="18"/>
          <w:szCs w:val="18"/>
        </w:rPr>
        <w:t xml:space="preserve">O suprapunere mare a datelor a fost observată la 82% dintre pacienţii din braţul de tratament cu chimioterapie, cărora li s-a administrat ulterior un inhibitor de tirozin kinază al EGFR, iar tuturor pacienţilor, cu excepţia a 2 dintre aceştia, li s-a administrat ulterior </w:t>
      </w:r>
      <w:r w:rsidR="002C7694">
        <w:rPr>
          <w:sz w:val="18"/>
          <w:szCs w:val="18"/>
        </w:rPr>
        <w:t>e</w:t>
      </w:r>
      <w:r w:rsidR="002C7694" w:rsidRPr="00621B53">
        <w:rPr>
          <w:sz w:val="18"/>
          <w:szCs w:val="18"/>
        </w:rPr>
        <w:t>rlotinib</w:t>
      </w:r>
      <w:r>
        <w:rPr>
          <w:sz w:val="18"/>
          <w:szCs w:val="18"/>
        </w:rPr>
        <w:t>.</w:t>
      </w:r>
    </w:p>
    <w:p w:rsidR="001D6450" w:rsidRDefault="001D6450" w:rsidP="001D6450">
      <w:pPr>
        <w:spacing w:line="201" w:lineRule="exact"/>
        <w:rPr>
          <w:sz w:val="20"/>
          <w:szCs w:val="20"/>
        </w:rPr>
      </w:pPr>
    </w:p>
    <w:p w:rsidR="001D6450" w:rsidRPr="00885DAE" w:rsidRDefault="001D6450" w:rsidP="001D6450">
      <w:pPr>
        <w:spacing w:line="275" w:lineRule="auto"/>
        <w:ind w:left="120" w:right="1060"/>
      </w:pPr>
      <w:r w:rsidRPr="00885DAE">
        <w:rPr>
          <w:iCs/>
          <w:u w:val="single"/>
        </w:rPr>
        <w:t>Tratamentul NSCLC de menţinere după tratamentul chimioterapic de primă linie (</w:t>
      </w:r>
      <w:r w:rsidR="002C7694">
        <w:rPr>
          <w:iCs/>
          <w:u w:val="single"/>
        </w:rPr>
        <w:t>e</w:t>
      </w:r>
      <w:r w:rsidR="002C7694" w:rsidRPr="00621B53">
        <w:rPr>
          <w:iCs/>
          <w:u w:val="single"/>
        </w:rPr>
        <w:t>rlotinib</w:t>
      </w:r>
      <w:r w:rsidRPr="00885DAE">
        <w:rPr>
          <w:iCs/>
          <w:u w:val="single"/>
        </w:rPr>
        <w:t xml:space="preserve"> administrat în monoterapie)</w:t>
      </w:r>
    </w:p>
    <w:p w:rsidR="001D6450" w:rsidRPr="00885DAE" w:rsidRDefault="001D6450" w:rsidP="001D6450">
      <w:pPr>
        <w:spacing w:line="175" w:lineRule="exact"/>
      </w:pPr>
    </w:p>
    <w:p w:rsidR="001D6450" w:rsidRPr="00885DAE" w:rsidRDefault="001D6450" w:rsidP="001D6450">
      <w:pPr>
        <w:spacing w:line="244" w:lineRule="auto"/>
        <w:ind w:left="120"/>
      </w:pPr>
      <w:r w:rsidRPr="00D5675E">
        <w:t xml:space="preserve">Eficacitatea şi siguranţa administrării </w:t>
      </w:r>
      <w:r w:rsidR="002C7694" w:rsidRPr="002C7694">
        <w:rPr>
          <w:iCs/>
          <w:u w:val="single"/>
        </w:rPr>
        <w:t>erlotinib</w:t>
      </w:r>
      <w:r w:rsidRPr="00D5675E">
        <w:t xml:space="preserve"> ca tratament de menţinere după tratamentul chimioterapic de primă linie pentru NSCLC au fost investigate într-un studiu clinic, controlat placebo, randomizat, dublu-orb (BO18192, SATURN). Acest studiu a fost efectuat la 889 pacienţi cu NSCLC local avansat sau metastazat care nu a progresat după 4 cicluri de chimioterapie dublă cu săruri de platină. Pacienţii au fost randomizaţi în raport de 1:1 în grupul de tratament cu 150 mg </w:t>
      </w:r>
      <w:r w:rsidR="002C7694" w:rsidRPr="002C7694">
        <w:rPr>
          <w:iCs/>
          <w:u w:val="single"/>
        </w:rPr>
        <w:t>erlotinib</w:t>
      </w:r>
      <w:r w:rsidRPr="00D5675E">
        <w:t xml:space="preserve"> sau grupul placebo, cu administrare pe cale orală, zilnic, o dată pe zi, până la progresia bolii. Criteriul final principal de evaluare al studiului a inclus supravieţuirea fără progresie a bolii (SFP) la toţi pacienţii. Caracteristicile demografice şi caracteristicile afecţiunii iniţiale au fost echilibrate între cele două braţe de tratament. Nu au fost incluşi în studiu pacienţii care se încadrează în stadii ECOG &gt; 1, comorbidităţi severe hepatice sau renale.</w:t>
      </w:r>
    </w:p>
    <w:p w:rsidR="001D6450" w:rsidRPr="00885DAE" w:rsidRDefault="001D6450" w:rsidP="001D6450">
      <w:pPr>
        <w:spacing w:line="209" w:lineRule="exact"/>
      </w:pPr>
    </w:p>
    <w:p w:rsidR="001D6450" w:rsidRPr="00885DAE" w:rsidRDefault="001D6450" w:rsidP="00885DAE">
      <w:pPr>
        <w:spacing w:line="250" w:lineRule="auto"/>
        <w:ind w:left="120" w:right="60"/>
      </w:pPr>
      <w:r w:rsidRPr="00885DAE">
        <w:t>În acest studiu, populaţia generală a prezentat un beneficiu în ceea ce priveşte criteriul final principal de evaluare SFP (RR</w:t>
      </w:r>
      <w:r w:rsidRPr="00885DAE">
        <w:rPr>
          <w:vertAlign w:val="superscript"/>
        </w:rPr>
        <w:t>=</w:t>
      </w:r>
      <w:r w:rsidRPr="00885DAE">
        <w:t xml:space="preserve"> 0,71 p&lt;0,0001) şi criteriul final secundar de evaluare SG (RR= 0,81 p=0,0088). Cu toate acestea, cel mai mare beneficiu a fost observat într-o analiză exploratorie predefinită la pacienţii cu mutaţii activatoare EGFR (n=49), ceea ce demonstrează un beneficiu substanţial în ceea</w:t>
      </w:r>
      <w:r w:rsidR="006369BA">
        <w:t xml:space="preserve"> </w:t>
      </w:r>
      <w:bookmarkStart w:id="12" w:name="page17"/>
      <w:bookmarkEnd w:id="12"/>
      <w:r w:rsidRPr="00D5675E">
        <w:t>ce priveşte SFP (RR= 0,10, IÎ 95%, 0,04 - 0,25; p&lt;0,0001) şi o RR generală de supravieţuire de 0,83 (IÎ 95%, 0,34 - 2.02). 67% dintre pacienţii care au primit placebo din subgrupul cu mutaţie pozitivă EGFR li s-a administrat un tratament de linia doua sau mai mare, cu inhibitori de tirozin-kinază (TKI) ai EGFR.</w:t>
      </w:r>
    </w:p>
    <w:p w:rsidR="001D6450" w:rsidRPr="00885DAE" w:rsidRDefault="001D6450" w:rsidP="001D6450">
      <w:pPr>
        <w:spacing w:line="196" w:lineRule="exact"/>
      </w:pPr>
    </w:p>
    <w:p w:rsidR="001D6450" w:rsidRPr="00885DAE" w:rsidRDefault="001D6450" w:rsidP="00885DAE">
      <w:pPr>
        <w:spacing w:line="250" w:lineRule="auto"/>
        <w:ind w:left="120" w:right="60"/>
      </w:pPr>
      <w:r w:rsidRPr="00D5675E">
        <w:t>Studiul BO25460 (IUNO) a fost efectuat la 643 de pacienţi cu NSCLC avansat, ale căror tumori nu au prezentat o mutaţie activatoare EGFR (ştergerea exonului 19 sau mutaţia exonului 21 L858R) şi care nu au prezentat progresia bolii după administrarea a patru cicluri de chimioterapie pe bază de săruri de platină.</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Obiectivul studiului a fost compararea supravieţuirii generale în urma administrării terapiei de menţinere de primă linie cu erlotinib, în comparaţie cu erlotinib administrat în momentul progresiei bolii. Studiul nu şi-a îndeplinit criteriul final principal de evaluare. SG în cazul </w:t>
      </w:r>
      <w:r w:rsidR="002C7694" w:rsidRPr="002C7694">
        <w:rPr>
          <w:iCs/>
          <w:u w:val="single"/>
        </w:rPr>
        <w:t>erlotinib</w:t>
      </w:r>
      <w:r w:rsidRPr="00D5675E">
        <w:t xml:space="preserve">administrat ca tratament de menţinere de primă linie nu a fost superior faţă de administrarea </w:t>
      </w:r>
      <w:r w:rsidR="002C7694" w:rsidRPr="002C7694">
        <w:rPr>
          <w:iCs/>
          <w:u w:val="single"/>
        </w:rPr>
        <w:t>erlotinib</w:t>
      </w:r>
      <w:r w:rsidRPr="00D5675E">
        <w:t xml:space="preserve"> ca tratament de linia a doua la pacienţii a căror tumoră nu a prezentat o mutaţie activatoare EGFR (RR= 1,02, IÎ 95%, 0,85 - 1,22, p=0,82). Criteriul final secundar de evaluare al SFP nu a indicat nicio diferenţă între </w:t>
      </w:r>
      <w:r w:rsidR="002C7694" w:rsidRPr="002C7694">
        <w:rPr>
          <w:iCs/>
          <w:u w:val="single"/>
        </w:rPr>
        <w:t>erlotinib</w:t>
      </w:r>
      <w:r w:rsidRPr="00D5675E">
        <w:t xml:space="preserve"> şi placebo în cazul tratamentului de menţinere (RR=0,94, 95% IÎ, 0,80-1,11; p=0,48).</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Pe baza datelor din studiul BO25460 (IUNO), utilizarea </w:t>
      </w:r>
      <w:r w:rsidR="002C7694" w:rsidRPr="002C7694">
        <w:rPr>
          <w:iCs/>
          <w:u w:val="single"/>
        </w:rPr>
        <w:t>erlotinib</w:t>
      </w:r>
      <w:r w:rsidRPr="00D5675E">
        <w:t xml:space="preserve"> nu este recomandată pentru tratamentul de menţinere de primă linie la pacienţii fără o mutaţie activatoare EGFR.</w:t>
      </w:r>
    </w:p>
    <w:p w:rsidR="001D6450" w:rsidRPr="00885DAE" w:rsidRDefault="001D6450" w:rsidP="001D6450">
      <w:pPr>
        <w:spacing w:line="175" w:lineRule="exact"/>
      </w:pPr>
    </w:p>
    <w:p w:rsidR="001D6450" w:rsidRPr="00885DAE" w:rsidRDefault="001D6450" w:rsidP="00885DAE">
      <w:pPr>
        <w:spacing w:line="250" w:lineRule="auto"/>
        <w:ind w:left="120" w:right="60"/>
        <w:rPr>
          <w:u w:val="single"/>
        </w:rPr>
      </w:pPr>
      <w:r w:rsidRPr="00885DAE">
        <w:rPr>
          <w:u w:val="single"/>
        </w:rPr>
        <w:t>Tratamentul NSCLC după eşecul terapeutic a cel puţin unui regim de chimioterapie (</w:t>
      </w:r>
      <w:r w:rsidR="005E1A69" w:rsidRPr="00885DAE">
        <w:rPr>
          <w:u w:val="single"/>
        </w:rPr>
        <w:t>erlotinib</w:t>
      </w:r>
      <w:r w:rsidRPr="00885DAE">
        <w:rPr>
          <w:u w:val="single"/>
        </w:rPr>
        <w:t xml:space="preserve"> administrat în monoterapie)</w:t>
      </w:r>
    </w:p>
    <w:p w:rsidR="001D6450" w:rsidRPr="00885DAE" w:rsidRDefault="001D6450" w:rsidP="001D6450">
      <w:pPr>
        <w:spacing w:line="175" w:lineRule="exact"/>
      </w:pPr>
    </w:p>
    <w:p w:rsidR="001D6450" w:rsidRPr="00885DAE" w:rsidRDefault="001D6450" w:rsidP="00885DAE">
      <w:pPr>
        <w:spacing w:line="250" w:lineRule="auto"/>
        <w:ind w:left="120" w:right="60"/>
      </w:pPr>
      <w:r w:rsidRPr="00D5675E">
        <w:t xml:space="preserve">Eficacitatea şi siguranţa administrării </w:t>
      </w:r>
      <w:r w:rsidR="002C7694" w:rsidRPr="002C7694">
        <w:rPr>
          <w:iCs/>
          <w:u w:val="single"/>
        </w:rPr>
        <w:t>erlotinib</w:t>
      </w:r>
      <w:r w:rsidRPr="00D5675E">
        <w:t xml:space="preserve"> ca tratament de linia a doua/a treia au fost demonstrate într-un studiu randomizat, dublu-orb, controlat cu placebo (BR.21), la 731 pacienţi cu NSCLC avansat local sau metastazat după eşecul terapeutic al cel puţin unui regim de chimioterapie. Pacienţii au fost randomizaţi în raport de 2:1 între grupul celor la care s-a administrat 150 mg </w:t>
      </w:r>
      <w:r w:rsidR="002C7694" w:rsidRPr="002C7694">
        <w:rPr>
          <w:iCs/>
          <w:u w:val="single"/>
        </w:rPr>
        <w:t>erlotinib</w:t>
      </w:r>
      <w:r w:rsidRPr="00D5675E">
        <w:t xml:space="preserve"> pe cale orală, o dată pe zi, şi grupul celor la care s -a administrat placebo. Obiectivele studiului au inclus perioada de supravieţuire globală, perioada de supravieţuire fără progresia bolii (SFP), durata răspunsului terapeutic, perioada de timp până la deteriorarea simptomelor asociate neoplasmului pulmonar (tuse, dispnee şi durere) şi siguranţa administrării. Obiectivul principal al studiului a fost perioada de supravieţuire.</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Caracteristicile demografice au fost bine echilibrate între cele două grupuri de tratament. Aproximativ două treimi dintre pacienţi au fost bărbaţi şi aproximativ o treime se încadra la început în stadiul 2 de capacitate (ECOG) şi 9% se încadrau în stadiul 3 de capacitate (ECOG). 93% şi, respectiv, 92% din totalul pacienţilor incluşi în grupul </w:t>
      </w:r>
      <w:r w:rsidR="002C7694" w:rsidRPr="002C7694">
        <w:rPr>
          <w:iCs/>
          <w:u w:val="single"/>
        </w:rPr>
        <w:t>erlotinib</w:t>
      </w:r>
      <w:r w:rsidRPr="00D5675E">
        <w:t xml:space="preserve"> şi, respectiv, grupul placebo au fost trataţi anterior cu medicamente care conţin platină iar 36% şi, respectiv, 37% din totalul pacienţilor au fost trataţi anterior cu taxan.</w:t>
      </w:r>
    </w:p>
    <w:p w:rsidR="001D6450" w:rsidRPr="00885DAE" w:rsidRDefault="00E92B41" w:rsidP="00885DAE">
      <w:pPr>
        <w:tabs>
          <w:tab w:val="left" w:pos="2544"/>
        </w:tabs>
        <w:spacing w:line="250" w:lineRule="auto"/>
        <w:ind w:left="120" w:right="60"/>
      </w:pPr>
      <w:r>
        <w:tab/>
      </w:r>
    </w:p>
    <w:p w:rsidR="001D6450" w:rsidRPr="00885DAE" w:rsidRDefault="001D6450" w:rsidP="00885DAE">
      <w:pPr>
        <w:spacing w:line="250" w:lineRule="auto"/>
        <w:ind w:left="120" w:right="60"/>
      </w:pPr>
      <w:r w:rsidRPr="00D5675E">
        <w:t xml:space="preserve">Valoarea ajustată a raportului de risc (RR) pentru deces între grupul </w:t>
      </w:r>
      <w:r w:rsidR="002C7694" w:rsidRPr="002C7694">
        <w:rPr>
          <w:iCs/>
          <w:u w:val="single"/>
        </w:rPr>
        <w:t>erlotinib</w:t>
      </w:r>
      <w:r w:rsidRPr="00D5675E">
        <w:t xml:space="preserve"> şi grupul placebo a fost 0,73 (încredere IÎ 95%, 0,60-0,87) (p = 0,001). Procentul pacienţilor care au supravieţuit 12 luni a fost de 31,2% şi, respectiv, 21,5% pentru grupul </w:t>
      </w:r>
      <w:r w:rsidR="002C7694" w:rsidRPr="002C7694">
        <w:rPr>
          <w:iCs/>
          <w:u w:val="single"/>
        </w:rPr>
        <w:t>erlotinib</w:t>
      </w:r>
      <w:r w:rsidRPr="00D5675E">
        <w:t xml:space="preserve"> şi, respectiv, grupul placebo. Valoarea mediană a perioadei de supravieţuire globală a fost de 6,7 luni pentru grupul </w:t>
      </w:r>
      <w:r w:rsidR="002C7694" w:rsidRPr="002C7694">
        <w:rPr>
          <w:iCs/>
          <w:u w:val="single"/>
        </w:rPr>
        <w:t>erlotinib</w:t>
      </w:r>
      <w:r w:rsidRPr="00D5675E">
        <w:t xml:space="preserve"> (95% IÎ, 5,5-7,8 luni) comparativ cu 4,7 luni pentru grupul placebo (IÎ 95%, 4,1-6,3 luni).</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Efectul asupra perioadei de supravieţuire globală a fost studiat la diferite subgrupuri de pacienţi. Efectul </w:t>
      </w:r>
      <w:r w:rsidR="002C7694" w:rsidRPr="002C7694">
        <w:rPr>
          <w:iCs/>
          <w:u w:val="single"/>
        </w:rPr>
        <w:t>erlotinib</w:t>
      </w:r>
      <w:r w:rsidRPr="00D5675E">
        <w:t xml:space="preserve"> asupra perioadei de supravieţuire globală a fost similar la pacienţii aflaţi la început în stadiile 2-3 de capacitate (ECOG) (RR = 0,77, 95% IÎ 0,6-1,0) sau 0-1 (RR = 0,73, 95% IÎ 0,6-0,9), bărbaţi (RR = 0,76, 95% IÎ 0,6-0,9) sau femei (RR = 0,80, 95% IÎ 0,6-1,1), pacienţi &lt; 65 ani (RR = 0,75, 95% IÎ 0,6-0,9) sau vârstnici (RR = 0,79, 95% IÎ 0,6-1,0), pacienţi cu un tratament anterior (RR</w:t>
      </w:r>
      <w:r w:rsidR="00E92B41">
        <w:t xml:space="preserve"> </w:t>
      </w:r>
      <w:r w:rsidRPr="00885DAE">
        <w:t>0,76, 95% IÎ 0,6-1,0) sau pacienţi cu mai multe tratamente anterioare (RR = 0,75, 95% IÎ 0,6-1,0), pacienţi de origine caucaziană (RR = 0,79, 95% IÎ 0,6-1,0) sau de origine asiatică (RR = 0,61, 95% IÎ 0,4-1,0), pacienţi cu adenocarcinom (RR = 0,71, 95% IÎ 0,6-0,9) sau carcinom cu celule scuamoase (RR = 0,67, 95% IÎ 0,5-0,9), dar nu şi la pacienţii cu alte tipuri histologice (RR = 1,04, 95% IÎ 0,7-1,5), pacienţii cu boală diagnosticată în stadiul IV (RR = 0,92, 95% IÎ 0,7-1,2) sau pacienţii cu boală</w:t>
      </w:r>
      <w:bookmarkStart w:id="13" w:name="page18"/>
      <w:bookmarkEnd w:id="13"/>
      <w:r w:rsidR="005E1A69" w:rsidRPr="00885DAE">
        <w:t xml:space="preserve"> </w:t>
      </w:r>
      <w:r w:rsidRPr="00D5675E">
        <w:t>diagnosticată înaintea stadiului IV (RR = 0,65, 95% IÎ 0,5-0,8). Pacienţii care nu au fumat niciodată au avut un beneficiu terapeutic mai mare în urma administrării erlotinibului (RR de supravieţuire = 0,42, 95% IÎ 0,28-0,64) comparativ cu cei care s-au lăsat de fumat (RR = 0,87, 95% IÎ 0,71-1,05).</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La 45% dintre pacienţii cu status cunoscut al expresiei EGFR, raportul de risc a fost 0,68 (95%</w:t>
      </w:r>
    </w:p>
    <w:p w:rsidR="001D6450" w:rsidRPr="00885DAE" w:rsidRDefault="001D6450" w:rsidP="00885DAE">
      <w:pPr>
        <w:spacing w:line="250" w:lineRule="auto"/>
        <w:ind w:left="120" w:right="60"/>
      </w:pPr>
      <w:r w:rsidRPr="00D5675E">
        <w:t>IÎ 0,49 -0,94) pentru pacienţii cu tumori EGFR pozitive şi 0,93 (95% IÎ 0,63-1,36) pentru cei cu tumori EGFR negative (definite imunohistochimic prin utilizarea kitului EGFR pharmDx şi definind ca EGFR-negative tumorile cu &lt; 10% celule tumorale colorate). Pentru restul de 55% dintre pacienţi cu status necunoscut al expresiei EGFR, raportul de risc a fost 0,77 (95% IÎ 0,61-0,98).</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Valoarea mediană a SFP a fost de 9,7 săptămâni pentru grupul </w:t>
      </w:r>
      <w:r w:rsidR="002C7694" w:rsidRPr="002C7694">
        <w:rPr>
          <w:iCs/>
          <w:u w:val="single"/>
        </w:rPr>
        <w:t>erlotinib</w:t>
      </w:r>
      <w:r w:rsidRPr="00D5675E">
        <w:t xml:space="preserve"> (IÎ 95%, 8,4-12,4 săptămâni) comparativ cu 8,0 săptămâni pentru grupul placebo (IÎ 95%, 7,9-8,1 săptămâni).</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Rata răspunsului terapeutic obiectiv conform RECIST pentru grupul </w:t>
      </w:r>
      <w:r w:rsidR="002C7694" w:rsidRPr="002C7694">
        <w:rPr>
          <w:iCs/>
          <w:u w:val="single"/>
        </w:rPr>
        <w:t>erlotinib</w:t>
      </w:r>
      <w:r w:rsidRPr="00D5675E">
        <w:t xml:space="preserve"> a fost de 8,9% (IÎ 95%, 6,4-12,0).Primii 330 pacienţi au fost evaluaţi centralizat (rata răspunsului terapeutic 6,2%); 401 pacienţi au fost evaluaţi de către investigatori (rata răspunsului terapeutic 11,2%).</w:t>
      </w:r>
    </w:p>
    <w:p w:rsidR="001D6450" w:rsidRPr="00885DAE" w:rsidRDefault="001D6450" w:rsidP="00885DAE">
      <w:pPr>
        <w:spacing w:line="250" w:lineRule="auto"/>
        <w:ind w:left="120" w:right="60"/>
      </w:pPr>
      <w:r w:rsidRPr="00D5675E">
        <w:t xml:space="preserve">Valoarea mediană a duratei răspunsului terapeutic a fost de 34,3 săptămâni, valorile variind între 9,7-peste 57,6 săptămâni. Proporţia pacienţilor cu răspuns terapeutic complet, răspuns terapeutic parţial sau a căror boală nu a avansat a fost 44,0% şi, respectiv, 27,5% pentru grupul </w:t>
      </w:r>
      <w:r w:rsidR="002C7694" w:rsidRPr="002C7694">
        <w:rPr>
          <w:iCs/>
          <w:u w:val="single"/>
        </w:rPr>
        <w:t>erlotinib</w:t>
      </w:r>
      <w:r w:rsidRPr="00D5675E">
        <w:t xml:space="preserve"> şi, respectiv, grupul placebo (p = 0,004).</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Un beneficiu de supravieţuire după administrarea </w:t>
      </w:r>
      <w:r w:rsidR="002C7694" w:rsidRPr="002C7694">
        <w:rPr>
          <w:iCs/>
          <w:u w:val="single"/>
        </w:rPr>
        <w:t>erlotinib</w:t>
      </w:r>
      <w:r w:rsidRPr="00D5675E">
        <w:t xml:space="preserve"> s-a observat şi la pacienţii care nu au obţinut un răspuns obiectiv al tumorii (conform RECIST). Aceasta s-a evidenţiat printr-un raport de risc pentru deces de 0,82 (IÎ 95%, 0,68-0,99) la pacienţii la care cel mai bun răspuns a fost boală stabilă sau boală progresivă.</w:t>
      </w:r>
    </w:p>
    <w:p w:rsidR="001D6450" w:rsidRPr="00885DAE" w:rsidRDefault="001D6450" w:rsidP="00885DAE">
      <w:pPr>
        <w:spacing w:line="250" w:lineRule="auto"/>
        <w:ind w:left="120" w:right="60"/>
      </w:pPr>
      <w:r w:rsidRPr="00D5675E">
        <w:t xml:space="preserve">Tratamentul cu </w:t>
      </w:r>
      <w:r w:rsidR="002C7694" w:rsidRPr="002C7694">
        <w:rPr>
          <w:iCs/>
          <w:u w:val="single"/>
        </w:rPr>
        <w:t>erlotinib</w:t>
      </w:r>
      <w:r w:rsidRPr="00D5675E">
        <w:t xml:space="preserve"> a avut beneficii asupra simptomelor prin prelungirea semnificativă a timpului de agravare a tusei, dispneei şi durerii, comparativ cu placebo.</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În cadrul unui studiu clinic de fază III, randomizat, dublu-orb (MO22162, CURRENTS) care a comparat două doze de </w:t>
      </w:r>
      <w:r w:rsidR="002C7694" w:rsidRPr="002C7694">
        <w:rPr>
          <w:iCs/>
          <w:u w:val="single"/>
        </w:rPr>
        <w:t>erlotinib</w:t>
      </w:r>
      <w:r w:rsidRPr="00D5675E">
        <w:t xml:space="preserve"> (300 mg cu 150 mg) la fumători (medie de 38 pachete-ani) cu NSCLC avansat local sau metastazat în tratamentul de linia a doua după eşecul terapeutic al chimioterapiei, doza de 300 mg de </w:t>
      </w:r>
      <w:r w:rsidR="002C7694" w:rsidRPr="002C7694">
        <w:rPr>
          <w:iCs/>
          <w:u w:val="single"/>
        </w:rPr>
        <w:t>erlotinib</w:t>
      </w:r>
      <w:r w:rsidRPr="00D5675E">
        <w:t xml:space="preserve"> nu a demonstrat nici un beneficiu suplimentar în ceea ce priveşte SFP faţă de doza recomandată (la 7,00 versus 6,86 săptămâni, respectiv).</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Toate obiectivele secundare privind eficacitatea au fost concordante cu obiectivul primar şi nu s-a identificat nicio diferenţă în ceea ce priveşte SG între pacienţii trataţi cu erlotinib în doză de 300 mg şi respectiv 150 mg zilnic (RR 1,03, IÎ 95% 0,80-1,32). Datele cu privire la siguranţă pentru dozele de 300 mg şi 150 mg au fost comparabile; cu toate acestea, la pacienţii trataţi cu doza mai mare de erlotinib a existat o creştere numerică a cazurilor de erupţie cutanată tranzitorie, boală pulmonară interstițială şi diaree. Pe baza datelor din studiul CURRENTS, nu s-a înregistrat nicio dovadă a vreunui beneficiu al dozei mai mari de 300 mg de erlotinib prin comparaţie cu doza recomandată de 150 mg la fumătorii activi.</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Pacienţii din acest studiu nu au fost selectaţi pe baza statusului mutaţiei EGFR. Vezi pct. 4.2, 4.4, 4.5 şi 5.2.</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rPr>
          <w:u w:val="single"/>
        </w:rPr>
      </w:pPr>
      <w:r w:rsidRPr="00885DAE">
        <w:rPr>
          <w:u w:val="single"/>
        </w:rPr>
        <w:t>Neoplasm pancreatic (</w:t>
      </w:r>
      <w:r w:rsidR="002C7694" w:rsidRPr="002C7694">
        <w:rPr>
          <w:iCs/>
          <w:u w:val="single"/>
        </w:rPr>
        <w:t>erlotinib</w:t>
      </w:r>
      <w:r w:rsidRPr="00885DAE">
        <w:rPr>
          <w:u w:val="single"/>
        </w:rPr>
        <w:t>administrat în asociere cu gemcitabină în studiul PA.3)</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Eficacitatea şi siguranţa administrării </w:t>
      </w:r>
      <w:r w:rsidR="002C7694" w:rsidRPr="002C7694">
        <w:rPr>
          <w:iCs/>
          <w:u w:val="single"/>
        </w:rPr>
        <w:t>erlotinib</w:t>
      </w:r>
      <w:r w:rsidRPr="00D5675E">
        <w:t xml:space="preserve"> în asociere cu gemcitabină ca tratament de primă linie, au fost evaluate într-un studiu randomizat, dublu-orb, controlat cu placebo care a inclus pacienţi cu neoplasm pancreatic local avansat, inoperabil sau metastatic. Pacienţii au fost randomizaţi pentru administrarea de </w:t>
      </w:r>
      <w:r w:rsidR="002C7694" w:rsidRPr="002C7694">
        <w:rPr>
          <w:iCs/>
          <w:u w:val="single"/>
        </w:rPr>
        <w:t>erlotinib</w:t>
      </w:r>
      <w:r w:rsidRPr="00D5675E">
        <w:t xml:space="preserve"> sau de placebo o dată pe zi, asociat cu o schemă terapeutică continuă de gemcitabină i.v.(1000 mg/m</w:t>
      </w:r>
      <w:r w:rsidRPr="00885DAE">
        <w:t>2</w:t>
      </w:r>
      <w:r w:rsidRPr="00D5675E">
        <w:t xml:space="preserve">, Ciclul 1-Zilele 1, 8, 15, 22, 29, 36 şi 43 dintr-un ciclu de 8 săptămâni; Ciclul 2 şi ciclurile ulterioare –Zilele 1, 8 şi 15 dintr-un ciclu de 4 săptămâni [doza aprobată şi schema terapeutică pentru neoplasm pancreatic, vezi RCP pentru gemcitabină]). </w:t>
      </w:r>
      <w:r w:rsidR="002C7694" w:rsidRPr="002C7694">
        <w:rPr>
          <w:iCs/>
          <w:u w:val="single"/>
        </w:rPr>
        <w:t>erlotinib</w:t>
      </w:r>
      <w:r w:rsidRPr="00D5675E">
        <w:t xml:space="preserve"> sau placebo s-a</w:t>
      </w:r>
      <w:bookmarkStart w:id="14" w:name="page19"/>
      <w:bookmarkEnd w:id="14"/>
      <w:r w:rsidR="003E1EE1">
        <w:t xml:space="preserve"> </w:t>
      </w:r>
      <w:r w:rsidRPr="00D5675E">
        <w:t>administrat oral o dată pe zi până la progresia bolii sau toxicitate inacceptabilă. Obiectivul principal al studiului a fost supravieţuirea globală.</w:t>
      </w:r>
    </w:p>
    <w:p w:rsidR="001D6450" w:rsidRPr="00885DAE" w:rsidRDefault="001D6450" w:rsidP="00885DAE">
      <w:pPr>
        <w:spacing w:line="250" w:lineRule="auto"/>
        <w:ind w:left="120" w:right="60"/>
      </w:pPr>
    </w:p>
    <w:p w:rsidR="001D6450" w:rsidRPr="00885DAE" w:rsidRDefault="001D6450" w:rsidP="00885DAE">
      <w:pPr>
        <w:spacing w:line="250" w:lineRule="auto"/>
        <w:ind w:left="120" w:right="60"/>
      </w:pPr>
      <w:r w:rsidRPr="00D5675E">
        <w:t xml:space="preserve">Caracteristicile iniţiale ale pacienţilor, demografice şi referitoare la boală, au fost similare pentru cele 2 grupuri de tratament, </w:t>
      </w:r>
      <w:r w:rsidR="002C7694" w:rsidRPr="002C7694">
        <w:rPr>
          <w:iCs/>
          <w:u w:val="single"/>
        </w:rPr>
        <w:t>erlotinib</w:t>
      </w:r>
      <w:r w:rsidRPr="00D5675E">
        <w:t xml:space="preserve"> 100 mg în asociere cu gemcitabină sau placebo în asociere cu gemcitabină, cu excepţia unui număr uşor mai mare de femei în braţul cu erlotinib/gemcitabină comparativ cu braţul placebo/gemcitabină:</w:t>
      </w:r>
    </w:p>
    <w:p w:rsidR="001D6450" w:rsidRPr="00885DAE" w:rsidRDefault="001D6450" w:rsidP="00885DAE">
      <w:pPr>
        <w:spacing w:line="250" w:lineRule="auto"/>
        <w:ind w:left="120" w:right="60"/>
      </w:pPr>
    </w:p>
    <w:tbl>
      <w:tblPr>
        <w:tblW w:w="0" w:type="auto"/>
        <w:tblInd w:w="938" w:type="dxa"/>
        <w:tblLayout w:type="fixed"/>
        <w:tblCellMar>
          <w:left w:w="0" w:type="dxa"/>
          <w:right w:w="0" w:type="dxa"/>
        </w:tblCellMar>
        <w:tblLook w:val="04A0" w:firstRow="1" w:lastRow="0" w:firstColumn="1" w:lastColumn="0" w:noHBand="0" w:noVBand="1"/>
      </w:tblPr>
      <w:tblGrid>
        <w:gridCol w:w="3840"/>
        <w:gridCol w:w="1640"/>
        <w:gridCol w:w="1680"/>
      </w:tblGrid>
      <w:tr w:rsidR="001D6450" w:rsidTr="00885DAE">
        <w:trPr>
          <w:trHeight w:val="318"/>
        </w:trPr>
        <w:tc>
          <w:tcPr>
            <w:tcW w:w="3840" w:type="dxa"/>
            <w:tcBorders>
              <w:top w:val="single" w:sz="8" w:space="0" w:color="auto"/>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rPr>
                <w:b/>
              </w:rPr>
            </w:pPr>
            <w:r w:rsidRPr="00930956">
              <w:rPr>
                <w:b/>
              </w:rPr>
              <w:t>Caracteristici iniţiale</w:t>
            </w:r>
          </w:p>
        </w:tc>
        <w:tc>
          <w:tcPr>
            <w:tcW w:w="1640" w:type="dxa"/>
            <w:tcBorders>
              <w:top w:val="single" w:sz="8" w:space="0" w:color="auto"/>
              <w:bottom w:val="single" w:sz="8" w:space="0" w:color="auto"/>
              <w:right w:val="single" w:sz="8" w:space="0" w:color="auto"/>
            </w:tcBorders>
            <w:vAlign w:val="bottom"/>
          </w:tcPr>
          <w:p w:rsidR="001D6450" w:rsidRPr="00885DAE" w:rsidRDefault="002C7694" w:rsidP="00885DAE">
            <w:pPr>
              <w:spacing w:line="250" w:lineRule="auto"/>
              <w:ind w:left="120" w:right="60"/>
              <w:rPr>
                <w:b/>
              </w:rPr>
            </w:pPr>
            <w:r>
              <w:rPr>
                <w:b/>
                <w:iCs/>
                <w:u w:val="single"/>
              </w:rPr>
              <w:t>E</w:t>
            </w:r>
            <w:r w:rsidRPr="002C7694">
              <w:rPr>
                <w:b/>
                <w:iCs/>
                <w:u w:val="single"/>
              </w:rPr>
              <w:t>rlotinib</w:t>
            </w:r>
          </w:p>
        </w:tc>
        <w:tc>
          <w:tcPr>
            <w:tcW w:w="1680" w:type="dxa"/>
            <w:tcBorders>
              <w:top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rPr>
                <w:b/>
              </w:rPr>
            </w:pPr>
            <w:r w:rsidRPr="00930956">
              <w:rPr>
                <w:b/>
              </w:rPr>
              <w:t>Placebo</w:t>
            </w:r>
          </w:p>
        </w:tc>
      </w:tr>
      <w:tr w:rsidR="001D6450" w:rsidTr="00885DAE">
        <w:trPr>
          <w:trHeight w:val="299"/>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Femei</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51%</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44%</w:t>
            </w:r>
          </w:p>
        </w:tc>
      </w:tr>
      <w:tr w:rsidR="001D6450" w:rsidTr="00885DAE">
        <w:trPr>
          <w:trHeight w:val="302"/>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Capacitate ECOG iniţială (PS) stadiul 0</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31%</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32%</w:t>
            </w:r>
          </w:p>
        </w:tc>
      </w:tr>
      <w:tr w:rsidR="001D6450" w:rsidTr="00885DAE">
        <w:trPr>
          <w:trHeight w:val="304"/>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Capacitate ECOG iniţială (PS) stadiul 1</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51%</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51%</w:t>
            </w:r>
          </w:p>
        </w:tc>
      </w:tr>
      <w:tr w:rsidR="001D6450" w:rsidTr="00885DAE">
        <w:trPr>
          <w:trHeight w:val="293"/>
        </w:trPr>
        <w:tc>
          <w:tcPr>
            <w:tcW w:w="3840" w:type="dxa"/>
            <w:tcBorders>
              <w:left w:val="single" w:sz="8" w:space="0" w:color="auto"/>
              <w:right w:val="single" w:sz="8" w:space="0" w:color="auto"/>
            </w:tcBorders>
            <w:vAlign w:val="bottom"/>
          </w:tcPr>
          <w:p w:rsidR="001D6450" w:rsidRPr="00885DAE" w:rsidRDefault="001D6450" w:rsidP="00885DAE">
            <w:pPr>
              <w:spacing w:line="250" w:lineRule="auto"/>
              <w:ind w:left="120" w:right="60"/>
            </w:pPr>
            <w:r>
              <w:t>Capacitate ECOG iniţială (PS) stadiul 2</w:t>
            </w:r>
          </w:p>
        </w:tc>
        <w:tc>
          <w:tcPr>
            <w:tcW w:w="1640" w:type="dxa"/>
            <w:tcBorders>
              <w:right w:val="single" w:sz="8" w:space="0" w:color="auto"/>
            </w:tcBorders>
            <w:vAlign w:val="bottom"/>
          </w:tcPr>
          <w:p w:rsidR="001D6450" w:rsidRPr="00885DAE" w:rsidRDefault="001D6450" w:rsidP="00885DAE">
            <w:pPr>
              <w:spacing w:line="250" w:lineRule="auto"/>
              <w:ind w:left="120" w:right="60"/>
            </w:pPr>
            <w:r>
              <w:t>17%</w:t>
            </w:r>
          </w:p>
        </w:tc>
        <w:tc>
          <w:tcPr>
            <w:tcW w:w="1680" w:type="dxa"/>
            <w:tcBorders>
              <w:right w:val="single" w:sz="8" w:space="0" w:color="auto"/>
            </w:tcBorders>
            <w:vAlign w:val="bottom"/>
          </w:tcPr>
          <w:p w:rsidR="001D6450" w:rsidRPr="00885DAE" w:rsidRDefault="001D6450" w:rsidP="00885DAE">
            <w:pPr>
              <w:spacing w:line="250" w:lineRule="auto"/>
              <w:ind w:left="120" w:right="60"/>
            </w:pPr>
            <w:r w:rsidRPr="00885DAE">
              <w:t>17%</w:t>
            </w:r>
          </w:p>
        </w:tc>
      </w:tr>
      <w:tr w:rsidR="001D6450" w:rsidTr="00885DAE">
        <w:trPr>
          <w:trHeight w:val="20"/>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p>
        </w:tc>
      </w:tr>
      <w:tr w:rsidR="001D6450" w:rsidTr="00885DAE">
        <w:trPr>
          <w:trHeight w:val="293"/>
        </w:trPr>
        <w:tc>
          <w:tcPr>
            <w:tcW w:w="3840" w:type="dxa"/>
            <w:tcBorders>
              <w:left w:val="single" w:sz="8" w:space="0" w:color="auto"/>
              <w:bottom w:val="single" w:sz="8" w:space="0" w:color="auto"/>
              <w:right w:val="single" w:sz="8" w:space="0" w:color="auto"/>
            </w:tcBorders>
            <w:vAlign w:val="bottom"/>
          </w:tcPr>
          <w:p w:rsidR="001D6450" w:rsidRPr="00885DAE" w:rsidRDefault="001D6450" w:rsidP="00885DAE">
            <w:pPr>
              <w:spacing w:line="250" w:lineRule="auto"/>
              <w:ind w:left="120" w:right="60"/>
            </w:pPr>
            <w:r>
              <w:t>Stadiu metastatic iniţial</w:t>
            </w:r>
          </w:p>
        </w:tc>
        <w:tc>
          <w:tcPr>
            <w:tcW w:w="164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t>77%</w:t>
            </w:r>
          </w:p>
        </w:tc>
        <w:tc>
          <w:tcPr>
            <w:tcW w:w="1680" w:type="dxa"/>
            <w:tcBorders>
              <w:bottom w:val="single" w:sz="8" w:space="0" w:color="auto"/>
              <w:right w:val="single" w:sz="8" w:space="0" w:color="auto"/>
            </w:tcBorders>
            <w:vAlign w:val="bottom"/>
          </w:tcPr>
          <w:p w:rsidR="001D6450" w:rsidRPr="00885DAE" w:rsidRDefault="001D6450" w:rsidP="00885DAE">
            <w:pPr>
              <w:spacing w:line="250" w:lineRule="auto"/>
              <w:ind w:left="120" w:right="60"/>
            </w:pPr>
            <w:r w:rsidRPr="00885DAE">
              <w:t>76%</w:t>
            </w:r>
          </w:p>
        </w:tc>
      </w:tr>
    </w:tbl>
    <w:p w:rsidR="001D6450" w:rsidRPr="00885DAE" w:rsidRDefault="001D6450" w:rsidP="00885DAE">
      <w:pPr>
        <w:spacing w:line="250" w:lineRule="auto"/>
        <w:ind w:left="120" w:right="60"/>
      </w:pPr>
    </w:p>
    <w:p w:rsidR="001D6450" w:rsidRDefault="001D6450" w:rsidP="00885DAE">
      <w:pPr>
        <w:spacing w:line="250" w:lineRule="auto"/>
        <w:ind w:left="120" w:right="60"/>
      </w:pPr>
      <w:r>
        <w:t>Supravieţuirea a fost evaluată în populaţia cu intenţie de tratament, pe baza datelor privind supravieţuirea rezultate din monitorizarea pacienţilor. Rezultatele sunt prezentate în tabelul de mai jos (rezultatele pentru grupul de pacienţi cu stadiu metastatic şi local avansat, derivă dintr-o analiză exploratorie a subgrupului).</w:t>
      </w:r>
    </w:p>
    <w:p w:rsidR="003E1EE1" w:rsidRPr="00885DAE" w:rsidRDefault="003E1EE1" w:rsidP="00885DAE">
      <w:pPr>
        <w:spacing w:line="250" w:lineRule="auto"/>
        <w:ind w:left="120" w:right="60"/>
      </w:pPr>
    </w:p>
    <w:p w:rsidR="001D6450" w:rsidRDefault="001D6450" w:rsidP="001D6450">
      <w:pPr>
        <w:spacing w:line="2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80"/>
        <w:gridCol w:w="1020"/>
        <w:gridCol w:w="860"/>
        <w:gridCol w:w="140"/>
        <w:gridCol w:w="840"/>
        <w:gridCol w:w="1280"/>
        <w:gridCol w:w="720"/>
        <w:gridCol w:w="1040"/>
        <w:gridCol w:w="1420"/>
        <w:gridCol w:w="30"/>
      </w:tblGrid>
      <w:tr w:rsidR="001D6450" w:rsidTr="00D5675E">
        <w:trPr>
          <w:trHeight w:val="264"/>
        </w:trPr>
        <w:tc>
          <w:tcPr>
            <w:tcW w:w="1780" w:type="dxa"/>
            <w:tcBorders>
              <w:top w:val="single" w:sz="8" w:space="0" w:color="auto"/>
              <w:left w:val="single" w:sz="8" w:space="0" w:color="auto"/>
              <w:right w:val="single" w:sz="8" w:space="0" w:color="auto"/>
            </w:tcBorders>
            <w:vAlign w:val="bottom"/>
          </w:tcPr>
          <w:p w:rsidR="001D6450" w:rsidRDefault="001D6450" w:rsidP="00D5675E"/>
        </w:tc>
        <w:tc>
          <w:tcPr>
            <w:tcW w:w="1020" w:type="dxa"/>
            <w:tcBorders>
              <w:top w:val="single" w:sz="8" w:space="0" w:color="auto"/>
              <w:right w:val="single" w:sz="8" w:space="0" w:color="auto"/>
            </w:tcBorders>
            <w:vAlign w:val="bottom"/>
          </w:tcPr>
          <w:p w:rsidR="001D6450" w:rsidRDefault="001D6450" w:rsidP="00D5675E"/>
        </w:tc>
        <w:tc>
          <w:tcPr>
            <w:tcW w:w="860" w:type="dxa"/>
            <w:tcBorders>
              <w:top w:val="single" w:sz="8" w:space="0" w:color="auto"/>
            </w:tcBorders>
            <w:vAlign w:val="bottom"/>
          </w:tcPr>
          <w:p w:rsidR="001D6450" w:rsidRDefault="001D6450" w:rsidP="00D5675E"/>
        </w:tc>
        <w:tc>
          <w:tcPr>
            <w:tcW w:w="140" w:type="dxa"/>
            <w:tcBorders>
              <w:top w:val="single" w:sz="8" w:space="0" w:color="auto"/>
              <w:right w:val="single" w:sz="8" w:space="0" w:color="auto"/>
            </w:tcBorders>
            <w:vAlign w:val="bottom"/>
          </w:tcPr>
          <w:p w:rsidR="001D6450" w:rsidRDefault="001D6450" w:rsidP="00D5675E"/>
        </w:tc>
        <w:tc>
          <w:tcPr>
            <w:tcW w:w="840" w:type="dxa"/>
            <w:tcBorders>
              <w:top w:val="single" w:sz="8" w:space="0" w:color="auto"/>
              <w:right w:val="single" w:sz="8" w:space="0" w:color="auto"/>
            </w:tcBorders>
            <w:vAlign w:val="bottom"/>
          </w:tcPr>
          <w:p w:rsidR="001D6450" w:rsidRDefault="001D6450" w:rsidP="00D5675E"/>
        </w:tc>
        <w:tc>
          <w:tcPr>
            <w:tcW w:w="1280" w:type="dxa"/>
            <w:tcBorders>
              <w:top w:val="single" w:sz="8" w:space="0" w:color="auto"/>
              <w:right w:val="single" w:sz="8" w:space="0" w:color="auto"/>
            </w:tcBorders>
            <w:vAlign w:val="bottom"/>
          </w:tcPr>
          <w:p w:rsidR="001D6450" w:rsidRDefault="001D6450" w:rsidP="00D5675E"/>
        </w:tc>
        <w:tc>
          <w:tcPr>
            <w:tcW w:w="720" w:type="dxa"/>
            <w:tcBorders>
              <w:top w:val="single" w:sz="8" w:space="0" w:color="auto"/>
              <w:right w:val="single" w:sz="8" w:space="0" w:color="auto"/>
            </w:tcBorders>
            <w:vAlign w:val="bottom"/>
          </w:tcPr>
          <w:p w:rsidR="001D6450" w:rsidRDefault="001D6450" w:rsidP="00D5675E"/>
        </w:tc>
        <w:tc>
          <w:tcPr>
            <w:tcW w:w="1040" w:type="dxa"/>
            <w:tcBorders>
              <w:top w:val="single" w:sz="8" w:space="0" w:color="auto"/>
              <w:right w:val="single" w:sz="8" w:space="0" w:color="auto"/>
            </w:tcBorders>
            <w:vAlign w:val="bottom"/>
          </w:tcPr>
          <w:p w:rsidR="001D6450" w:rsidRDefault="001D6450" w:rsidP="00D5675E">
            <w:pPr>
              <w:jc w:val="center"/>
              <w:rPr>
                <w:sz w:val="20"/>
                <w:szCs w:val="20"/>
              </w:rPr>
            </w:pPr>
            <w:r>
              <w:rPr>
                <w:b/>
                <w:bCs/>
              </w:rPr>
              <w:t>IÎ</w:t>
            </w:r>
          </w:p>
        </w:tc>
        <w:tc>
          <w:tcPr>
            <w:tcW w:w="1420" w:type="dxa"/>
            <w:tcBorders>
              <w:top w:val="single" w:sz="8" w:space="0" w:color="auto"/>
              <w:right w:val="single" w:sz="8" w:space="0" w:color="auto"/>
            </w:tcBorders>
            <w:vAlign w:val="bottom"/>
          </w:tcPr>
          <w:p w:rsidR="001D6450" w:rsidRDefault="001D6450" w:rsidP="00D5675E"/>
        </w:tc>
        <w:tc>
          <w:tcPr>
            <w:tcW w:w="0" w:type="dxa"/>
            <w:vAlign w:val="bottom"/>
          </w:tcPr>
          <w:p w:rsidR="001D6450" w:rsidRDefault="001D6450" w:rsidP="00D5675E">
            <w:pPr>
              <w:rPr>
                <w:sz w:val="1"/>
                <w:szCs w:val="1"/>
              </w:rPr>
            </w:pPr>
          </w:p>
        </w:tc>
      </w:tr>
      <w:tr w:rsidR="001D6450" w:rsidTr="00D5675E">
        <w:trPr>
          <w:trHeight w:val="252"/>
        </w:trPr>
        <w:tc>
          <w:tcPr>
            <w:tcW w:w="1780" w:type="dxa"/>
            <w:tcBorders>
              <w:left w:val="single" w:sz="8" w:space="0" w:color="auto"/>
              <w:right w:val="single" w:sz="8" w:space="0" w:color="auto"/>
            </w:tcBorders>
            <w:vAlign w:val="bottom"/>
          </w:tcPr>
          <w:p w:rsidR="001D6450" w:rsidRDefault="001D6450" w:rsidP="00D5675E">
            <w:pPr>
              <w:rPr>
                <w:sz w:val="21"/>
                <w:szCs w:val="21"/>
              </w:rPr>
            </w:pPr>
          </w:p>
        </w:tc>
        <w:tc>
          <w:tcPr>
            <w:tcW w:w="1020" w:type="dxa"/>
            <w:tcBorders>
              <w:right w:val="single" w:sz="8" w:space="0" w:color="auto"/>
            </w:tcBorders>
            <w:vAlign w:val="bottom"/>
          </w:tcPr>
          <w:p w:rsidR="001D6450" w:rsidRDefault="002C7694" w:rsidP="00D5675E">
            <w:pPr>
              <w:jc w:val="center"/>
              <w:rPr>
                <w:sz w:val="20"/>
                <w:szCs w:val="20"/>
              </w:rPr>
            </w:pPr>
            <w:r>
              <w:rPr>
                <w:b/>
                <w:bCs/>
                <w:iCs/>
                <w:w w:val="98"/>
                <w:u w:val="single"/>
              </w:rPr>
              <w:t>E</w:t>
            </w:r>
            <w:r w:rsidRPr="002C7694">
              <w:rPr>
                <w:b/>
                <w:bCs/>
                <w:iCs/>
                <w:w w:val="98"/>
                <w:u w:val="single"/>
              </w:rPr>
              <w:t>rlotinib</w:t>
            </w:r>
          </w:p>
        </w:tc>
        <w:tc>
          <w:tcPr>
            <w:tcW w:w="860" w:type="dxa"/>
            <w:vAlign w:val="bottom"/>
          </w:tcPr>
          <w:p w:rsidR="001D6450" w:rsidRDefault="001D6450" w:rsidP="00D5675E">
            <w:pPr>
              <w:jc w:val="center"/>
              <w:rPr>
                <w:sz w:val="20"/>
                <w:szCs w:val="20"/>
              </w:rPr>
            </w:pPr>
            <w:r>
              <w:rPr>
                <w:b/>
                <w:bCs/>
              </w:rPr>
              <w:t>Placebo</w:t>
            </w:r>
          </w:p>
        </w:tc>
        <w:tc>
          <w:tcPr>
            <w:tcW w:w="140" w:type="dxa"/>
            <w:tcBorders>
              <w:right w:val="single" w:sz="8" w:space="0" w:color="auto"/>
            </w:tcBorders>
            <w:vAlign w:val="bottom"/>
          </w:tcPr>
          <w:p w:rsidR="001D6450" w:rsidRDefault="001D6450" w:rsidP="00D5675E">
            <w:pPr>
              <w:rPr>
                <w:sz w:val="21"/>
                <w:szCs w:val="21"/>
              </w:rPr>
            </w:pPr>
          </w:p>
        </w:tc>
        <w:tc>
          <w:tcPr>
            <w:tcW w:w="840" w:type="dxa"/>
            <w:tcBorders>
              <w:right w:val="single" w:sz="8" w:space="0" w:color="auto"/>
            </w:tcBorders>
            <w:vAlign w:val="bottom"/>
          </w:tcPr>
          <w:p w:rsidR="001D6450" w:rsidRDefault="001D6450" w:rsidP="00D5675E">
            <w:pPr>
              <w:jc w:val="center"/>
              <w:rPr>
                <w:sz w:val="20"/>
                <w:szCs w:val="20"/>
              </w:rPr>
            </w:pPr>
            <w:r>
              <w:rPr>
                <w:rFonts w:ascii="Arial" w:eastAsia="Arial" w:hAnsi="Arial" w:cs="Arial"/>
                <w:b/>
                <w:bCs/>
              </w:rPr>
              <w:t>∆</w:t>
            </w:r>
          </w:p>
        </w:tc>
        <w:tc>
          <w:tcPr>
            <w:tcW w:w="1280" w:type="dxa"/>
            <w:tcBorders>
              <w:right w:val="single" w:sz="8" w:space="0" w:color="auto"/>
            </w:tcBorders>
            <w:vAlign w:val="bottom"/>
          </w:tcPr>
          <w:p w:rsidR="001D6450" w:rsidRDefault="001D6450" w:rsidP="00D5675E">
            <w:pPr>
              <w:rPr>
                <w:sz w:val="21"/>
                <w:szCs w:val="21"/>
              </w:rPr>
            </w:pP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jc w:val="center"/>
              <w:rPr>
                <w:sz w:val="20"/>
                <w:szCs w:val="20"/>
              </w:rPr>
            </w:pPr>
            <w:r>
              <w:rPr>
                <w:b/>
                <w:bCs/>
                <w:w w:val="97"/>
              </w:rPr>
              <w:t>pentru</w:t>
            </w: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309"/>
        </w:trPr>
        <w:tc>
          <w:tcPr>
            <w:tcW w:w="1780" w:type="dxa"/>
            <w:tcBorders>
              <w:left w:val="single" w:sz="8" w:space="0" w:color="auto"/>
              <w:bottom w:val="single" w:sz="8" w:space="0" w:color="auto"/>
              <w:right w:val="single" w:sz="8" w:space="0" w:color="auto"/>
            </w:tcBorders>
            <w:vAlign w:val="bottom"/>
          </w:tcPr>
          <w:p w:rsidR="001D6450" w:rsidRDefault="001D6450" w:rsidP="00D5675E">
            <w:pPr>
              <w:ind w:left="100"/>
              <w:rPr>
                <w:sz w:val="20"/>
                <w:szCs w:val="20"/>
              </w:rPr>
            </w:pPr>
            <w:r>
              <w:rPr>
                <w:b/>
                <w:bCs/>
              </w:rPr>
              <w:t>Rezultate</w:t>
            </w:r>
          </w:p>
        </w:tc>
        <w:tc>
          <w:tcPr>
            <w:tcW w:w="1020" w:type="dxa"/>
            <w:tcBorders>
              <w:bottom w:val="single" w:sz="8" w:space="0" w:color="auto"/>
              <w:right w:val="single" w:sz="8" w:space="0" w:color="auto"/>
            </w:tcBorders>
            <w:vAlign w:val="bottom"/>
          </w:tcPr>
          <w:p w:rsidR="001D6450" w:rsidRDefault="001D6450" w:rsidP="00D5675E">
            <w:pPr>
              <w:jc w:val="center"/>
              <w:rPr>
                <w:sz w:val="20"/>
                <w:szCs w:val="20"/>
              </w:rPr>
            </w:pPr>
            <w:r>
              <w:rPr>
                <w:b/>
                <w:bCs/>
              </w:rPr>
              <w:t>(luni)</w:t>
            </w:r>
          </w:p>
        </w:tc>
        <w:tc>
          <w:tcPr>
            <w:tcW w:w="860" w:type="dxa"/>
            <w:tcBorders>
              <w:bottom w:val="single" w:sz="8" w:space="0" w:color="auto"/>
            </w:tcBorders>
            <w:vAlign w:val="bottom"/>
          </w:tcPr>
          <w:p w:rsidR="001D6450" w:rsidRDefault="001D6450" w:rsidP="00D5675E">
            <w:pPr>
              <w:jc w:val="center"/>
              <w:rPr>
                <w:sz w:val="20"/>
                <w:szCs w:val="20"/>
              </w:rPr>
            </w:pPr>
            <w:r>
              <w:rPr>
                <w:b/>
                <w:bCs/>
              </w:rPr>
              <w:t>(luni)</w:t>
            </w:r>
          </w:p>
        </w:tc>
        <w:tc>
          <w:tcPr>
            <w:tcW w:w="140" w:type="dxa"/>
            <w:tcBorders>
              <w:bottom w:val="single" w:sz="8" w:space="0" w:color="auto"/>
              <w:right w:val="single" w:sz="8" w:space="0" w:color="auto"/>
            </w:tcBorders>
            <w:vAlign w:val="bottom"/>
          </w:tcPr>
          <w:p w:rsidR="001D6450" w:rsidRDefault="001D6450" w:rsidP="00D5675E">
            <w:pPr>
              <w:rPr>
                <w:sz w:val="24"/>
                <w:szCs w:val="24"/>
              </w:rPr>
            </w:pPr>
          </w:p>
        </w:tc>
        <w:tc>
          <w:tcPr>
            <w:tcW w:w="840" w:type="dxa"/>
            <w:tcBorders>
              <w:bottom w:val="single" w:sz="8" w:space="0" w:color="auto"/>
              <w:right w:val="single" w:sz="8" w:space="0" w:color="auto"/>
            </w:tcBorders>
            <w:vAlign w:val="bottom"/>
          </w:tcPr>
          <w:p w:rsidR="001D6450" w:rsidRDefault="001D6450" w:rsidP="00D5675E">
            <w:pPr>
              <w:ind w:left="140"/>
              <w:rPr>
                <w:sz w:val="20"/>
                <w:szCs w:val="20"/>
              </w:rPr>
            </w:pPr>
            <w:r>
              <w:rPr>
                <w:b/>
                <w:bCs/>
              </w:rPr>
              <w:t>(luni)</w:t>
            </w:r>
          </w:p>
        </w:tc>
        <w:tc>
          <w:tcPr>
            <w:tcW w:w="1280" w:type="dxa"/>
            <w:tcBorders>
              <w:bottom w:val="single" w:sz="8" w:space="0" w:color="auto"/>
              <w:right w:val="single" w:sz="8" w:space="0" w:color="auto"/>
            </w:tcBorders>
            <w:vAlign w:val="bottom"/>
          </w:tcPr>
          <w:p w:rsidR="001D6450" w:rsidRDefault="001D6450" w:rsidP="00D5675E">
            <w:pPr>
              <w:ind w:left="100"/>
              <w:rPr>
                <w:sz w:val="20"/>
                <w:szCs w:val="20"/>
              </w:rPr>
            </w:pPr>
            <w:r>
              <w:rPr>
                <w:b/>
                <w:bCs/>
              </w:rPr>
              <w:t>IÎ pentru</w:t>
            </w:r>
            <w:r>
              <w:rPr>
                <w:rFonts w:ascii="Arial" w:eastAsia="Arial" w:hAnsi="Arial" w:cs="Arial"/>
                <w:b/>
                <w:bCs/>
              </w:rPr>
              <w:t xml:space="preserve"> ∆</w:t>
            </w:r>
          </w:p>
        </w:tc>
        <w:tc>
          <w:tcPr>
            <w:tcW w:w="720" w:type="dxa"/>
            <w:tcBorders>
              <w:bottom w:val="single" w:sz="8" w:space="0" w:color="auto"/>
              <w:right w:val="single" w:sz="8" w:space="0" w:color="auto"/>
            </w:tcBorders>
            <w:vAlign w:val="bottom"/>
          </w:tcPr>
          <w:p w:rsidR="001D6450" w:rsidRDefault="001D6450" w:rsidP="00D5675E">
            <w:pPr>
              <w:jc w:val="center"/>
              <w:rPr>
                <w:sz w:val="20"/>
                <w:szCs w:val="20"/>
              </w:rPr>
            </w:pPr>
            <w:r>
              <w:rPr>
                <w:b/>
                <w:bCs/>
              </w:rPr>
              <w:t>RR</w:t>
            </w:r>
          </w:p>
        </w:tc>
        <w:tc>
          <w:tcPr>
            <w:tcW w:w="1040" w:type="dxa"/>
            <w:tcBorders>
              <w:bottom w:val="single" w:sz="8" w:space="0" w:color="auto"/>
              <w:right w:val="single" w:sz="8" w:space="0" w:color="auto"/>
            </w:tcBorders>
            <w:vAlign w:val="bottom"/>
          </w:tcPr>
          <w:p w:rsidR="001D6450" w:rsidRDefault="001D6450" w:rsidP="00D5675E">
            <w:pPr>
              <w:jc w:val="center"/>
              <w:rPr>
                <w:sz w:val="20"/>
                <w:szCs w:val="20"/>
              </w:rPr>
            </w:pPr>
            <w:r>
              <w:rPr>
                <w:b/>
                <w:bCs/>
                <w:w w:val="94"/>
              </w:rPr>
              <w:t>RR</w:t>
            </w:r>
          </w:p>
        </w:tc>
        <w:tc>
          <w:tcPr>
            <w:tcW w:w="1420" w:type="dxa"/>
            <w:tcBorders>
              <w:bottom w:val="single" w:sz="8" w:space="0" w:color="auto"/>
              <w:right w:val="single" w:sz="8" w:space="0" w:color="auto"/>
            </w:tcBorders>
            <w:vAlign w:val="bottom"/>
          </w:tcPr>
          <w:p w:rsidR="001D6450" w:rsidRDefault="001D6450" w:rsidP="00D5675E">
            <w:pPr>
              <w:jc w:val="center"/>
              <w:rPr>
                <w:sz w:val="20"/>
                <w:szCs w:val="20"/>
              </w:rPr>
            </w:pPr>
            <w:r>
              <w:rPr>
                <w:b/>
                <w:bCs/>
                <w:w w:val="99"/>
              </w:rPr>
              <w:t>Valoarea-</w:t>
            </w:r>
            <w:r>
              <w:rPr>
                <w:b/>
                <w:bCs/>
                <w:i/>
                <w:iCs/>
                <w:w w:val="99"/>
              </w:rPr>
              <w:t>P</w:t>
            </w:r>
          </w:p>
        </w:tc>
        <w:tc>
          <w:tcPr>
            <w:tcW w:w="0" w:type="dxa"/>
            <w:vAlign w:val="bottom"/>
          </w:tcPr>
          <w:p w:rsidR="001D6450" w:rsidRDefault="001D6450" w:rsidP="00D5675E">
            <w:pPr>
              <w:rPr>
                <w:sz w:val="1"/>
                <w:szCs w:val="1"/>
              </w:rPr>
            </w:pPr>
          </w:p>
        </w:tc>
      </w:tr>
      <w:tr w:rsidR="001D6450" w:rsidTr="00D5675E">
        <w:trPr>
          <w:trHeight w:val="287"/>
        </w:trPr>
        <w:tc>
          <w:tcPr>
            <w:tcW w:w="1780" w:type="dxa"/>
            <w:tcBorders>
              <w:left w:val="single" w:sz="8" w:space="0" w:color="auto"/>
            </w:tcBorders>
            <w:vAlign w:val="bottom"/>
          </w:tcPr>
          <w:p w:rsidR="001D6450" w:rsidRDefault="001D6450" w:rsidP="00D5675E">
            <w:pPr>
              <w:rPr>
                <w:sz w:val="24"/>
                <w:szCs w:val="24"/>
              </w:rPr>
            </w:pPr>
          </w:p>
        </w:tc>
        <w:tc>
          <w:tcPr>
            <w:tcW w:w="1020" w:type="dxa"/>
            <w:vAlign w:val="bottom"/>
          </w:tcPr>
          <w:p w:rsidR="001D6450" w:rsidRDefault="001D6450" w:rsidP="00D5675E">
            <w:pPr>
              <w:rPr>
                <w:sz w:val="24"/>
                <w:szCs w:val="24"/>
              </w:rPr>
            </w:pPr>
          </w:p>
        </w:tc>
        <w:tc>
          <w:tcPr>
            <w:tcW w:w="860" w:type="dxa"/>
            <w:vAlign w:val="bottom"/>
          </w:tcPr>
          <w:p w:rsidR="001D6450" w:rsidRDefault="001D6450" w:rsidP="00D5675E">
            <w:pPr>
              <w:rPr>
                <w:sz w:val="24"/>
                <w:szCs w:val="24"/>
              </w:rPr>
            </w:pPr>
          </w:p>
        </w:tc>
        <w:tc>
          <w:tcPr>
            <w:tcW w:w="2980" w:type="dxa"/>
            <w:gridSpan w:val="4"/>
            <w:vAlign w:val="bottom"/>
          </w:tcPr>
          <w:p w:rsidR="001D6450" w:rsidRDefault="001D6450" w:rsidP="00D5675E">
            <w:pPr>
              <w:ind w:right="1110"/>
              <w:jc w:val="center"/>
              <w:rPr>
                <w:sz w:val="20"/>
                <w:szCs w:val="20"/>
              </w:rPr>
            </w:pPr>
            <w:r>
              <w:rPr>
                <w:w w:val="99"/>
              </w:rPr>
              <w:t>Populaţia Generală</w:t>
            </w:r>
          </w:p>
        </w:tc>
        <w:tc>
          <w:tcPr>
            <w:tcW w:w="1040" w:type="dxa"/>
            <w:vAlign w:val="bottom"/>
          </w:tcPr>
          <w:p w:rsidR="001D6450" w:rsidRDefault="001D6450" w:rsidP="00D5675E">
            <w:pPr>
              <w:rPr>
                <w:sz w:val="24"/>
                <w:szCs w:val="24"/>
              </w:rPr>
            </w:pPr>
          </w:p>
        </w:tc>
        <w:tc>
          <w:tcPr>
            <w:tcW w:w="1420" w:type="dxa"/>
            <w:tcBorders>
              <w:right w:val="single" w:sz="8" w:space="0" w:color="auto"/>
            </w:tcBorders>
            <w:vAlign w:val="bottom"/>
          </w:tcPr>
          <w:p w:rsidR="001D6450" w:rsidRDefault="001D6450" w:rsidP="00D5675E">
            <w:pPr>
              <w:rPr>
                <w:sz w:val="24"/>
                <w:szCs w:val="24"/>
              </w:rPr>
            </w:pPr>
          </w:p>
        </w:tc>
        <w:tc>
          <w:tcPr>
            <w:tcW w:w="0" w:type="dxa"/>
            <w:vAlign w:val="bottom"/>
          </w:tcPr>
          <w:p w:rsidR="001D6450" w:rsidRDefault="001D6450" w:rsidP="00D5675E">
            <w:pPr>
              <w:rPr>
                <w:sz w:val="1"/>
                <w:szCs w:val="1"/>
              </w:rPr>
            </w:pPr>
          </w:p>
        </w:tc>
      </w:tr>
      <w:tr w:rsidR="001D6450" w:rsidTr="00D5675E">
        <w:trPr>
          <w:trHeight w:val="20"/>
        </w:trPr>
        <w:tc>
          <w:tcPr>
            <w:tcW w:w="1780" w:type="dxa"/>
            <w:tcBorders>
              <w:left w:val="single" w:sz="8" w:space="0" w:color="auto"/>
              <w:bottom w:val="single" w:sz="8" w:space="0" w:color="auto"/>
            </w:tcBorders>
            <w:vAlign w:val="bottom"/>
          </w:tcPr>
          <w:p w:rsidR="001D6450" w:rsidRDefault="001D6450" w:rsidP="00D5675E">
            <w:pPr>
              <w:spacing w:line="20" w:lineRule="exact"/>
              <w:rPr>
                <w:sz w:val="1"/>
                <w:szCs w:val="1"/>
              </w:rPr>
            </w:pPr>
          </w:p>
        </w:tc>
        <w:tc>
          <w:tcPr>
            <w:tcW w:w="1020" w:type="dxa"/>
            <w:tcBorders>
              <w:bottom w:val="single" w:sz="8" w:space="0" w:color="auto"/>
            </w:tcBorders>
            <w:vAlign w:val="bottom"/>
          </w:tcPr>
          <w:p w:rsidR="001D6450" w:rsidRDefault="001D6450" w:rsidP="00D5675E">
            <w:pPr>
              <w:spacing w:line="20" w:lineRule="exact"/>
              <w:rPr>
                <w:sz w:val="1"/>
                <w:szCs w:val="1"/>
              </w:rPr>
            </w:pPr>
          </w:p>
        </w:tc>
        <w:tc>
          <w:tcPr>
            <w:tcW w:w="860" w:type="dxa"/>
            <w:tcBorders>
              <w:bottom w:val="single" w:sz="8" w:space="0" w:color="auto"/>
            </w:tcBorders>
            <w:vAlign w:val="bottom"/>
          </w:tcPr>
          <w:p w:rsidR="001D6450" w:rsidRDefault="001D6450" w:rsidP="00D5675E">
            <w:pPr>
              <w:spacing w:line="20" w:lineRule="exact"/>
              <w:rPr>
                <w:sz w:val="1"/>
                <w:szCs w:val="1"/>
              </w:rPr>
            </w:pPr>
          </w:p>
        </w:tc>
        <w:tc>
          <w:tcPr>
            <w:tcW w:w="140" w:type="dxa"/>
            <w:tcBorders>
              <w:bottom w:val="single" w:sz="8" w:space="0" w:color="auto"/>
            </w:tcBorders>
            <w:vAlign w:val="bottom"/>
          </w:tcPr>
          <w:p w:rsidR="001D6450" w:rsidRDefault="001D6450" w:rsidP="00D5675E">
            <w:pPr>
              <w:spacing w:line="20" w:lineRule="exact"/>
              <w:rPr>
                <w:sz w:val="1"/>
                <w:szCs w:val="1"/>
              </w:rPr>
            </w:pPr>
          </w:p>
        </w:tc>
        <w:tc>
          <w:tcPr>
            <w:tcW w:w="840" w:type="dxa"/>
            <w:tcBorders>
              <w:bottom w:val="single" w:sz="8" w:space="0" w:color="auto"/>
            </w:tcBorders>
            <w:vAlign w:val="bottom"/>
          </w:tcPr>
          <w:p w:rsidR="001D6450" w:rsidRDefault="001D6450" w:rsidP="00D5675E">
            <w:pPr>
              <w:spacing w:line="20" w:lineRule="exact"/>
              <w:rPr>
                <w:sz w:val="1"/>
                <w:szCs w:val="1"/>
              </w:rPr>
            </w:pPr>
          </w:p>
        </w:tc>
        <w:tc>
          <w:tcPr>
            <w:tcW w:w="1280" w:type="dxa"/>
            <w:tcBorders>
              <w:bottom w:val="single" w:sz="8" w:space="0" w:color="auto"/>
            </w:tcBorders>
            <w:vAlign w:val="bottom"/>
          </w:tcPr>
          <w:p w:rsidR="001D6450" w:rsidRDefault="001D6450" w:rsidP="00D5675E">
            <w:pPr>
              <w:spacing w:line="20" w:lineRule="exact"/>
              <w:rPr>
                <w:sz w:val="1"/>
                <w:szCs w:val="1"/>
              </w:rPr>
            </w:pPr>
          </w:p>
        </w:tc>
        <w:tc>
          <w:tcPr>
            <w:tcW w:w="720" w:type="dxa"/>
            <w:tcBorders>
              <w:bottom w:val="single" w:sz="8" w:space="0" w:color="auto"/>
            </w:tcBorders>
            <w:vAlign w:val="bottom"/>
          </w:tcPr>
          <w:p w:rsidR="001D6450" w:rsidRDefault="001D6450" w:rsidP="00D5675E">
            <w:pPr>
              <w:spacing w:line="20" w:lineRule="exact"/>
              <w:rPr>
                <w:sz w:val="1"/>
                <w:szCs w:val="1"/>
              </w:rPr>
            </w:pPr>
          </w:p>
        </w:tc>
        <w:tc>
          <w:tcPr>
            <w:tcW w:w="1040" w:type="dxa"/>
            <w:tcBorders>
              <w:bottom w:val="single" w:sz="8" w:space="0" w:color="auto"/>
            </w:tcBorders>
            <w:vAlign w:val="bottom"/>
          </w:tcPr>
          <w:p w:rsidR="001D6450" w:rsidRDefault="001D6450" w:rsidP="00D5675E">
            <w:pPr>
              <w:spacing w:line="20" w:lineRule="exact"/>
              <w:rPr>
                <w:sz w:val="1"/>
                <w:szCs w:val="1"/>
              </w:rPr>
            </w:pPr>
          </w:p>
        </w:tc>
        <w:tc>
          <w:tcPr>
            <w:tcW w:w="1420" w:type="dxa"/>
            <w:tcBorders>
              <w:bottom w:val="single" w:sz="8" w:space="0" w:color="auto"/>
              <w:right w:val="single" w:sz="8" w:space="0" w:color="auto"/>
            </w:tcBorders>
            <w:vAlign w:val="bottom"/>
          </w:tcPr>
          <w:p w:rsidR="001D6450" w:rsidRDefault="001D6450" w:rsidP="00D5675E">
            <w:pPr>
              <w:spacing w:line="20" w:lineRule="exact"/>
              <w:rPr>
                <w:sz w:val="1"/>
                <w:szCs w:val="1"/>
              </w:rPr>
            </w:pPr>
          </w:p>
        </w:tc>
        <w:tc>
          <w:tcPr>
            <w:tcW w:w="0" w:type="dxa"/>
            <w:vAlign w:val="bottom"/>
          </w:tcPr>
          <w:p w:rsidR="001D6450" w:rsidRDefault="001D6450" w:rsidP="00D5675E">
            <w:pPr>
              <w:rPr>
                <w:sz w:val="1"/>
                <w:szCs w:val="1"/>
              </w:rPr>
            </w:pPr>
          </w:p>
        </w:tc>
      </w:tr>
      <w:tr w:rsidR="001D6450" w:rsidTr="00D5675E">
        <w:trPr>
          <w:trHeight w:val="242"/>
        </w:trPr>
        <w:tc>
          <w:tcPr>
            <w:tcW w:w="1780" w:type="dxa"/>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6,4</w:t>
            </w:r>
          </w:p>
        </w:tc>
        <w:tc>
          <w:tcPr>
            <w:tcW w:w="860" w:type="dxa"/>
            <w:vMerge w:val="restart"/>
            <w:vAlign w:val="bottom"/>
          </w:tcPr>
          <w:p w:rsidR="001D6450" w:rsidRDefault="001D6450" w:rsidP="00D5675E">
            <w:pPr>
              <w:jc w:val="center"/>
              <w:rPr>
                <w:sz w:val="20"/>
                <w:szCs w:val="20"/>
              </w:rPr>
            </w:pPr>
            <w:r>
              <w:t>6,0</w:t>
            </w:r>
          </w:p>
        </w:tc>
        <w:tc>
          <w:tcPr>
            <w:tcW w:w="140" w:type="dxa"/>
            <w:tcBorders>
              <w:right w:val="single" w:sz="8" w:space="0" w:color="auto"/>
            </w:tcBorders>
            <w:vAlign w:val="bottom"/>
          </w:tcPr>
          <w:p w:rsidR="001D6450" w:rsidRDefault="001D6450" w:rsidP="00D5675E">
            <w:pPr>
              <w:rPr>
                <w:sz w:val="21"/>
                <w:szCs w:val="21"/>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0,41</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-0,54-1,64</w:t>
            </w: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rPr>
                <w:sz w:val="21"/>
                <w:szCs w:val="21"/>
              </w:rPr>
            </w:pP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vMerge w:val="restart"/>
            <w:tcBorders>
              <w:right w:val="single" w:sz="8" w:space="0" w:color="auto"/>
            </w:tcBorders>
            <w:vAlign w:val="bottom"/>
          </w:tcPr>
          <w:p w:rsidR="001D6450" w:rsidRDefault="001D6450" w:rsidP="00D5675E">
            <w:pPr>
              <w:jc w:val="center"/>
              <w:rPr>
                <w:sz w:val="20"/>
                <w:szCs w:val="20"/>
              </w:rPr>
            </w:pPr>
            <w:r>
              <w:rPr>
                <w:w w:val="98"/>
              </w:rPr>
              <w:t>0,82</w:t>
            </w:r>
          </w:p>
        </w:tc>
        <w:tc>
          <w:tcPr>
            <w:tcW w:w="1040" w:type="dxa"/>
            <w:vMerge w:val="restart"/>
            <w:tcBorders>
              <w:right w:val="single" w:sz="8" w:space="0" w:color="auto"/>
            </w:tcBorders>
            <w:vAlign w:val="bottom"/>
          </w:tcPr>
          <w:p w:rsidR="001D6450" w:rsidRDefault="001D6450" w:rsidP="00D5675E">
            <w:pPr>
              <w:jc w:val="center"/>
              <w:rPr>
                <w:sz w:val="20"/>
                <w:szCs w:val="20"/>
              </w:rPr>
            </w:pPr>
            <w:r>
              <w:t>0,69-</w:t>
            </w:r>
          </w:p>
        </w:tc>
        <w:tc>
          <w:tcPr>
            <w:tcW w:w="1420" w:type="dxa"/>
            <w:vMerge w:val="restart"/>
            <w:tcBorders>
              <w:right w:val="single" w:sz="8" w:space="0" w:color="auto"/>
            </w:tcBorders>
            <w:vAlign w:val="bottom"/>
          </w:tcPr>
          <w:p w:rsidR="001D6450" w:rsidRDefault="001D6450" w:rsidP="00D5675E">
            <w:pPr>
              <w:jc w:val="center"/>
              <w:rPr>
                <w:sz w:val="20"/>
                <w:szCs w:val="20"/>
              </w:rPr>
            </w:pPr>
            <w:r>
              <w:t>0,028</w:t>
            </w:r>
          </w:p>
        </w:tc>
        <w:tc>
          <w:tcPr>
            <w:tcW w:w="0" w:type="dxa"/>
            <w:vAlign w:val="bottom"/>
          </w:tcPr>
          <w:p w:rsidR="001D6450" w:rsidRDefault="001D6450" w:rsidP="00D5675E">
            <w:pPr>
              <w:rPr>
                <w:sz w:val="1"/>
                <w:szCs w:val="1"/>
              </w:rPr>
            </w:pPr>
          </w:p>
        </w:tc>
      </w:tr>
      <w:tr w:rsidR="001D6450" w:rsidTr="00D5675E">
        <w:trPr>
          <w:trHeight w:val="119"/>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tcBorders>
              <w:right w:val="single" w:sz="8" w:space="0" w:color="auto"/>
            </w:tcBorders>
            <w:vAlign w:val="bottom"/>
          </w:tcPr>
          <w:p w:rsidR="001D6450" w:rsidRDefault="001D6450" w:rsidP="00D5675E">
            <w:pPr>
              <w:rPr>
                <w:sz w:val="10"/>
                <w:szCs w:val="10"/>
              </w:rPr>
            </w:pPr>
          </w:p>
        </w:tc>
        <w:tc>
          <w:tcPr>
            <w:tcW w:w="860" w:type="dxa"/>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tcBorders>
              <w:right w:val="single" w:sz="8" w:space="0" w:color="auto"/>
            </w:tcBorders>
            <w:vAlign w:val="bottom"/>
          </w:tcPr>
          <w:p w:rsidR="001D6450" w:rsidRDefault="001D6450" w:rsidP="00D5675E">
            <w:pPr>
              <w:rPr>
                <w:sz w:val="10"/>
                <w:szCs w:val="10"/>
              </w:rPr>
            </w:pPr>
          </w:p>
        </w:tc>
        <w:tc>
          <w:tcPr>
            <w:tcW w:w="1280" w:type="dxa"/>
            <w:tcBorders>
              <w:right w:val="single" w:sz="8" w:space="0" w:color="auto"/>
            </w:tcBorders>
            <w:vAlign w:val="bottom"/>
          </w:tcPr>
          <w:p w:rsidR="001D6450" w:rsidRDefault="001D6450" w:rsidP="00D5675E">
            <w:pPr>
              <w:rPr>
                <w:sz w:val="10"/>
                <w:szCs w:val="10"/>
              </w:rPr>
            </w:pP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26"/>
        </w:trPr>
        <w:tc>
          <w:tcPr>
            <w:tcW w:w="1780" w:type="dxa"/>
            <w:tcBorders>
              <w:left w:val="single" w:sz="8" w:space="0" w:color="auto"/>
              <w:bottom w:val="single" w:sz="8" w:space="0" w:color="auto"/>
              <w:right w:val="single" w:sz="8" w:space="0" w:color="auto"/>
            </w:tcBorders>
            <w:vAlign w:val="bottom"/>
          </w:tcPr>
          <w:p w:rsidR="001D6450" w:rsidRDefault="001D6450" w:rsidP="00D5675E">
            <w:pPr>
              <w:rPr>
                <w:sz w:val="2"/>
                <w:szCs w:val="2"/>
              </w:rPr>
            </w:pPr>
          </w:p>
        </w:tc>
        <w:tc>
          <w:tcPr>
            <w:tcW w:w="1020" w:type="dxa"/>
            <w:tcBorders>
              <w:bottom w:val="single" w:sz="8" w:space="0" w:color="auto"/>
              <w:right w:val="single" w:sz="8" w:space="0" w:color="auto"/>
            </w:tcBorders>
            <w:vAlign w:val="bottom"/>
          </w:tcPr>
          <w:p w:rsidR="001D6450" w:rsidRDefault="001D6450" w:rsidP="00D5675E">
            <w:pPr>
              <w:rPr>
                <w:sz w:val="2"/>
                <w:szCs w:val="2"/>
              </w:rPr>
            </w:pPr>
          </w:p>
        </w:tc>
        <w:tc>
          <w:tcPr>
            <w:tcW w:w="860" w:type="dxa"/>
            <w:tcBorders>
              <w:bottom w:val="single" w:sz="8" w:space="0" w:color="auto"/>
            </w:tcBorders>
            <w:vAlign w:val="bottom"/>
          </w:tcPr>
          <w:p w:rsidR="001D6450" w:rsidRDefault="001D6450" w:rsidP="00D5675E">
            <w:pPr>
              <w:rPr>
                <w:sz w:val="2"/>
                <w:szCs w:val="2"/>
              </w:rPr>
            </w:pPr>
          </w:p>
        </w:tc>
        <w:tc>
          <w:tcPr>
            <w:tcW w:w="140" w:type="dxa"/>
            <w:tcBorders>
              <w:bottom w:val="single" w:sz="8" w:space="0" w:color="auto"/>
              <w:right w:val="single" w:sz="8" w:space="0" w:color="auto"/>
            </w:tcBorders>
            <w:vAlign w:val="bottom"/>
          </w:tcPr>
          <w:p w:rsidR="001D6450" w:rsidRDefault="001D6450" w:rsidP="00D5675E">
            <w:pPr>
              <w:rPr>
                <w:sz w:val="2"/>
                <w:szCs w:val="2"/>
              </w:rPr>
            </w:pPr>
          </w:p>
        </w:tc>
        <w:tc>
          <w:tcPr>
            <w:tcW w:w="840" w:type="dxa"/>
            <w:tcBorders>
              <w:bottom w:val="single" w:sz="8" w:space="0" w:color="auto"/>
              <w:right w:val="single" w:sz="8" w:space="0" w:color="auto"/>
            </w:tcBorders>
            <w:vAlign w:val="bottom"/>
          </w:tcPr>
          <w:p w:rsidR="001D6450" w:rsidRDefault="001D6450" w:rsidP="00D5675E">
            <w:pPr>
              <w:rPr>
                <w:sz w:val="2"/>
                <w:szCs w:val="2"/>
              </w:rPr>
            </w:pPr>
          </w:p>
        </w:tc>
        <w:tc>
          <w:tcPr>
            <w:tcW w:w="1280" w:type="dxa"/>
            <w:tcBorders>
              <w:bottom w:val="single" w:sz="8" w:space="0" w:color="auto"/>
              <w:right w:val="single" w:sz="8" w:space="0" w:color="auto"/>
            </w:tcBorders>
            <w:vAlign w:val="bottom"/>
          </w:tcPr>
          <w:p w:rsidR="001D6450" w:rsidRDefault="001D6450" w:rsidP="00D5675E">
            <w:pPr>
              <w:rPr>
                <w:sz w:val="2"/>
                <w:szCs w:val="2"/>
              </w:rPr>
            </w:pPr>
          </w:p>
        </w:tc>
        <w:tc>
          <w:tcPr>
            <w:tcW w:w="720" w:type="dxa"/>
            <w:vMerge/>
            <w:tcBorders>
              <w:right w:val="single" w:sz="8" w:space="0" w:color="auto"/>
            </w:tcBorders>
            <w:vAlign w:val="bottom"/>
          </w:tcPr>
          <w:p w:rsidR="001D6450" w:rsidRDefault="001D6450" w:rsidP="00D5675E">
            <w:pPr>
              <w:rPr>
                <w:sz w:val="2"/>
                <w:szCs w:val="2"/>
              </w:rPr>
            </w:pPr>
          </w:p>
        </w:tc>
        <w:tc>
          <w:tcPr>
            <w:tcW w:w="1040" w:type="dxa"/>
            <w:vMerge w:val="restart"/>
            <w:tcBorders>
              <w:right w:val="single" w:sz="8" w:space="0" w:color="auto"/>
            </w:tcBorders>
            <w:vAlign w:val="bottom"/>
          </w:tcPr>
          <w:p w:rsidR="001D6450" w:rsidRDefault="001D6450" w:rsidP="00D5675E">
            <w:pPr>
              <w:jc w:val="center"/>
              <w:rPr>
                <w:sz w:val="20"/>
                <w:szCs w:val="20"/>
              </w:rPr>
            </w:pPr>
            <w:r>
              <w:rPr>
                <w:w w:val="98"/>
              </w:rPr>
              <w:t>0,98</w:t>
            </w:r>
          </w:p>
        </w:tc>
        <w:tc>
          <w:tcPr>
            <w:tcW w:w="1420" w:type="dxa"/>
            <w:vMerge/>
            <w:tcBorders>
              <w:right w:val="single" w:sz="8" w:space="0" w:color="auto"/>
            </w:tcBorders>
            <w:vAlign w:val="bottom"/>
          </w:tcPr>
          <w:p w:rsidR="001D6450" w:rsidRDefault="001D6450" w:rsidP="00D5675E">
            <w:pPr>
              <w:rPr>
                <w:sz w:val="2"/>
                <w:szCs w:val="2"/>
              </w:rPr>
            </w:pPr>
          </w:p>
        </w:tc>
        <w:tc>
          <w:tcPr>
            <w:tcW w:w="0" w:type="dxa"/>
            <w:vAlign w:val="bottom"/>
          </w:tcPr>
          <w:p w:rsidR="001D6450" w:rsidRDefault="001D6450" w:rsidP="00D5675E">
            <w:pPr>
              <w:rPr>
                <w:sz w:val="1"/>
                <w:szCs w:val="1"/>
              </w:rPr>
            </w:pPr>
          </w:p>
        </w:tc>
      </w:tr>
      <w:tr w:rsidR="001D6450" w:rsidTr="00D5675E">
        <w:trPr>
          <w:trHeight w:val="123"/>
        </w:trPr>
        <w:tc>
          <w:tcPr>
            <w:tcW w:w="1780" w:type="dxa"/>
            <w:vMerge w:val="restart"/>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8,8</w:t>
            </w:r>
          </w:p>
        </w:tc>
        <w:tc>
          <w:tcPr>
            <w:tcW w:w="860" w:type="dxa"/>
            <w:vMerge w:val="restart"/>
            <w:vAlign w:val="bottom"/>
          </w:tcPr>
          <w:p w:rsidR="001D6450" w:rsidRDefault="001D6450" w:rsidP="00D5675E">
            <w:pPr>
              <w:jc w:val="center"/>
              <w:rPr>
                <w:sz w:val="20"/>
                <w:szCs w:val="20"/>
              </w:rPr>
            </w:pPr>
            <w:r>
              <w:t>7,6</w:t>
            </w:r>
          </w:p>
        </w:tc>
        <w:tc>
          <w:tcPr>
            <w:tcW w:w="140" w:type="dxa"/>
            <w:tcBorders>
              <w:right w:val="single" w:sz="8" w:space="0" w:color="auto"/>
            </w:tcBorders>
            <w:vAlign w:val="bottom"/>
          </w:tcPr>
          <w:p w:rsidR="001D6450" w:rsidRDefault="001D6450" w:rsidP="00D5675E">
            <w:pPr>
              <w:rPr>
                <w:sz w:val="10"/>
                <w:szCs w:val="10"/>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1,16</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-0,05-2,34</w:t>
            </w: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0"/>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vMerge/>
            <w:tcBorders>
              <w:right w:val="single" w:sz="8" w:space="0" w:color="auto"/>
            </w:tcBorders>
            <w:vAlign w:val="bottom"/>
          </w:tcPr>
          <w:p w:rsidR="001D6450" w:rsidRDefault="001D6450" w:rsidP="00D5675E">
            <w:pPr>
              <w:rPr>
                <w:sz w:val="10"/>
                <w:szCs w:val="10"/>
              </w:rPr>
            </w:pPr>
          </w:p>
        </w:tc>
        <w:tc>
          <w:tcPr>
            <w:tcW w:w="860" w:type="dxa"/>
            <w:vMerge/>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vMerge/>
            <w:tcBorders>
              <w:right w:val="single" w:sz="8" w:space="0" w:color="auto"/>
            </w:tcBorders>
            <w:vAlign w:val="bottom"/>
          </w:tcPr>
          <w:p w:rsidR="001D6450" w:rsidRDefault="001D6450" w:rsidP="00D5675E">
            <w:pPr>
              <w:rPr>
                <w:sz w:val="10"/>
                <w:szCs w:val="10"/>
              </w:rPr>
            </w:pPr>
          </w:p>
        </w:tc>
        <w:tc>
          <w:tcPr>
            <w:tcW w:w="1280" w:type="dxa"/>
            <w:vMerge/>
            <w:tcBorders>
              <w:right w:val="single" w:sz="8" w:space="0" w:color="auto"/>
            </w:tcBorders>
            <w:vAlign w:val="bottom"/>
          </w:tcPr>
          <w:p w:rsidR="001D6450" w:rsidRDefault="001D6450" w:rsidP="00D5675E">
            <w:pPr>
              <w:rPr>
                <w:sz w:val="10"/>
                <w:szCs w:val="10"/>
              </w:rPr>
            </w:pPr>
          </w:p>
        </w:tc>
        <w:tc>
          <w:tcPr>
            <w:tcW w:w="720" w:type="dxa"/>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tcBorders>
              <w:right w:val="single" w:sz="8" w:space="0" w:color="auto"/>
            </w:tcBorders>
            <w:vAlign w:val="bottom"/>
          </w:tcPr>
          <w:p w:rsidR="001D6450" w:rsidRDefault="001D6450" w:rsidP="00D5675E">
            <w:pPr>
              <w:rPr>
                <w:sz w:val="14"/>
                <w:szCs w:val="14"/>
              </w:rPr>
            </w:pPr>
          </w:p>
        </w:tc>
        <w:tc>
          <w:tcPr>
            <w:tcW w:w="1040" w:type="dxa"/>
            <w:tcBorders>
              <w:right w:val="single" w:sz="8" w:space="0" w:color="auto"/>
            </w:tcBorders>
            <w:vAlign w:val="bottom"/>
          </w:tcPr>
          <w:p w:rsidR="001D6450" w:rsidRDefault="001D6450" w:rsidP="00D5675E">
            <w:pPr>
              <w:rPr>
                <w:sz w:val="14"/>
                <w:szCs w:val="14"/>
              </w:rPr>
            </w:pPr>
          </w:p>
        </w:tc>
        <w:tc>
          <w:tcPr>
            <w:tcW w:w="1420" w:type="dxa"/>
            <w:tcBorders>
              <w:right w:val="single" w:sz="8" w:space="0" w:color="auto"/>
            </w:tcBorders>
            <w:vAlign w:val="bottom"/>
          </w:tcPr>
          <w:p w:rsidR="001D6450" w:rsidRDefault="001D6450" w:rsidP="00D5675E">
            <w:pPr>
              <w:rPr>
                <w:sz w:val="14"/>
                <w:szCs w:val="14"/>
              </w:rPr>
            </w:pPr>
          </w:p>
        </w:tc>
        <w:tc>
          <w:tcPr>
            <w:tcW w:w="0" w:type="dxa"/>
            <w:vAlign w:val="bottom"/>
          </w:tcPr>
          <w:p w:rsidR="001D6450" w:rsidRDefault="001D6450" w:rsidP="00D5675E">
            <w:pPr>
              <w:rPr>
                <w:sz w:val="1"/>
                <w:szCs w:val="1"/>
              </w:rPr>
            </w:pPr>
          </w:p>
        </w:tc>
      </w:tr>
      <w:tr w:rsidR="001D6450" w:rsidTr="00D5675E">
        <w:trPr>
          <w:trHeight w:val="136"/>
        </w:trPr>
        <w:tc>
          <w:tcPr>
            <w:tcW w:w="1780" w:type="dxa"/>
            <w:vMerge/>
            <w:tcBorders>
              <w:left w:val="single" w:sz="8" w:space="0" w:color="auto"/>
              <w:bottom w:val="single" w:sz="8" w:space="0" w:color="auto"/>
              <w:right w:val="single" w:sz="8" w:space="0" w:color="auto"/>
            </w:tcBorders>
            <w:vAlign w:val="bottom"/>
          </w:tcPr>
          <w:p w:rsidR="001D6450" w:rsidRDefault="001D6450" w:rsidP="00D5675E">
            <w:pPr>
              <w:rPr>
                <w:sz w:val="11"/>
                <w:szCs w:val="11"/>
              </w:rPr>
            </w:pPr>
          </w:p>
        </w:tc>
        <w:tc>
          <w:tcPr>
            <w:tcW w:w="1020" w:type="dxa"/>
            <w:tcBorders>
              <w:bottom w:val="single" w:sz="8" w:space="0" w:color="auto"/>
              <w:right w:val="single" w:sz="8" w:space="0" w:color="auto"/>
            </w:tcBorders>
            <w:vAlign w:val="bottom"/>
          </w:tcPr>
          <w:p w:rsidR="001D6450" w:rsidRDefault="001D6450" w:rsidP="00D5675E">
            <w:pPr>
              <w:rPr>
                <w:sz w:val="11"/>
                <w:szCs w:val="11"/>
              </w:rPr>
            </w:pPr>
          </w:p>
        </w:tc>
        <w:tc>
          <w:tcPr>
            <w:tcW w:w="860" w:type="dxa"/>
            <w:tcBorders>
              <w:bottom w:val="single" w:sz="8" w:space="0" w:color="auto"/>
            </w:tcBorders>
            <w:vAlign w:val="bottom"/>
          </w:tcPr>
          <w:p w:rsidR="001D6450" w:rsidRDefault="001D6450" w:rsidP="00D5675E">
            <w:pPr>
              <w:rPr>
                <w:sz w:val="11"/>
                <w:szCs w:val="11"/>
              </w:rPr>
            </w:pPr>
          </w:p>
        </w:tc>
        <w:tc>
          <w:tcPr>
            <w:tcW w:w="140" w:type="dxa"/>
            <w:tcBorders>
              <w:bottom w:val="single" w:sz="8" w:space="0" w:color="auto"/>
              <w:right w:val="single" w:sz="8" w:space="0" w:color="auto"/>
            </w:tcBorders>
            <w:vAlign w:val="bottom"/>
          </w:tcPr>
          <w:p w:rsidR="001D6450" w:rsidRDefault="001D6450" w:rsidP="00D5675E">
            <w:pPr>
              <w:rPr>
                <w:sz w:val="11"/>
                <w:szCs w:val="11"/>
              </w:rPr>
            </w:pPr>
          </w:p>
        </w:tc>
        <w:tc>
          <w:tcPr>
            <w:tcW w:w="840" w:type="dxa"/>
            <w:tcBorders>
              <w:bottom w:val="single" w:sz="8" w:space="0" w:color="auto"/>
              <w:right w:val="single" w:sz="8" w:space="0" w:color="auto"/>
            </w:tcBorders>
            <w:vAlign w:val="bottom"/>
          </w:tcPr>
          <w:p w:rsidR="001D6450" w:rsidRDefault="001D6450" w:rsidP="00D5675E">
            <w:pPr>
              <w:rPr>
                <w:sz w:val="11"/>
                <w:szCs w:val="11"/>
              </w:rPr>
            </w:pPr>
          </w:p>
        </w:tc>
        <w:tc>
          <w:tcPr>
            <w:tcW w:w="1280" w:type="dxa"/>
            <w:tcBorders>
              <w:bottom w:val="single" w:sz="8" w:space="0" w:color="auto"/>
              <w:right w:val="single" w:sz="8" w:space="0" w:color="auto"/>
            </w:tcBorders>
            <w:vAlign w:val="bottom"/>
          </w:tcPr>
          <w:p w:rsidR="001D6450" w:rsidRDefault="001D6450" w:rsidP="00D5675E">
            <w:pPr>
              <w:rPr>
                <w:sz w:val="11"/>
                <w:szCs w:val="11"/>
              </w:rPr>
            </w:pPr>
          </w:p>
        </w:tc>
        <w:tc>
          <w:tcPr>
            <w:tcW w:w="720" w:type="dxa"/>
            <w:tcBorders>
              <w:bottom w:val="single" w:sz="8" w:space="0" w:color="auto"/>
              <w:right w:val="single" w:sz="8" w:space="0" w:color="auto"/>
            </w:tcBorders>
            <w:vAlign w:val="bottom"/>
          </w:tcPr>
          <w:p w:rsidR="001D6450" w:rsidRDefault="001D6450" w:rsidP="00D5675E">
            <w:pPr>
              <w:rPr>
                <w:sz w:val="11"/>
                <w:szCs w:val="11"/>
              </w:rPr>
            </w:pPr>
          </w:p>
        </w:tc>
        <w:tc>
          <w:tcPr>
            <w:tcW w:w="1040" w:type="dxa"/>
            <w:tcBorders>
              <w:bottom w:val="single" w:sz="8" w:space="0" w:color="auto"/>
              <w:right w:val="single" w:sz="8" w:space="0" w:color="auto"/>
            </w:tcBorders>
            <w:vAlign w:val="bottom"/>
          </w:tcPr>
          <w:p w:rsidR="001D6450" w:rsidRDefault="001D6450" w:rsidP="00D5675E">
            <w:pPr>
              <w:rPr>
                <w:sz w:val="11"/>
                <w:szCs w:val="11"/>
              </w:rPr>
            </w:pPr>
          </w:p>
        </w:tc>
        <w:tc>
          <w:tcPr>
            <w:tcW w:w="1420" w:type="dxa"/>
            <w:tcBorders>
              <w:bottom w:val="single" w:sz="8" w:space="0" w:color="auto"/>
              <w:right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302"/>
        </w:trPr>
        <w:tc>
          <w:tcPr>
            <w:tcW w:w="1780" w:type="dxa"/>
            <w:tcBorders>
              <w:left w:val="single" w:sz="8" w:space="0" w:color="auto"/>
              <w:bottom w:val="single" w:sz="8" w:space="0" w:color="auto"/>
            </w:tcBorders>
            <w:vAlign w:val="bottom"/>
          </w:tcPr>
          <w:p w:rsidR="001D6450" w:rsidRDefault="001D6450" w:rsidP="00D5675E">
            <w:pPr>
              <w:rPr>
                <w:sz w:val="24"/>
                <w:szCs w:val="24"/>
              </w:rPr>
            </w:pPr>
          </w:p>
        </w:tc>
        <w:tc>
          <w:tcPr>
            <w:tcW w:w="1020" w:type="dxa"/>
            <w:tcBorders>
              <w:bottom w:val="single" w:sz="8" w:space="0" w:color="auto"/>
            </w:tcBorders>
            <w:vAlign w:val="bottom"/>
          </w:tcPr>
          <w:p w:rsidR="001D6450" w:rsidRDefault="001D6450" w:rsidP="00D5675E">
            <w:pPr>
              <w:rPr>
                <w:sz w:val="24"/>
                <w:szCs w:val="24"/>
              </w:rPr>
            </w:pPr>
          </w:p>
        </w:tc>
        <w:tc>
          <w:tcPr>
            <w:tcW w:w="3840" w:type="dxa"/>
            <w:gridSpan w:val="5"/>
            <w:tcBorders>
              <w:bottom w:val="single" w:sz="8" w:space="0" w:color="auto"/>
            </w:tcBorders>
            <w:vAlign w:val="bottom"/>
          </w:tcPr>
          <w:p w:rsidR="001D6450" w:rsidRDefault="001D6450" w:rsidP="00D5675E">
            <w:pPr>
              <w:ind w:right="270"/>
              <w:jc w:val="center"/>
              <w:rPr>
                <w:sz w:val="20"/>
                <w:szCs w:val="20"/>
              </w:rPr>
            </w:pPr>
            <w:r>
              <w:rPr>
                <w:w w:val="99"/>
              </w:rPr>
              <w:t>Populaţia cu stadiu metastatic</w:t>
            </w:r>
          </w:p>
        </w:tc>
        <w:tc>
          <w:tcPr>
            <w:tcW w:w="1040" w:type="dxa"/>
            <w:tcBorders>
              <w:bottom w:val="single" w:sz="8" w:space="0" w:color="auto"/>
            </w:tcBorders>
            <w:vAlign w:val="bottom"/>
          </w:tcPr>
          <w:p w:rsidR="001D6450" w:rsidRDefault="001D6450" w:rsidP="00D5675E">
            <w:pPr>
              <w:rPr>
                <w:sz w:val="24"/>
                <w:szCs w:val="24"/>
              </w:rPr>
            </w:pPr>
          </w:p>
        </w:tc>
        <w:tc>
          <w:tcPr>
            <w:tcW w:w="1420" w:type="dxa"/>
            <w:tcBorders>
              <w:bottom w:val="single" w:sz="8" w:space="0" w:color="auto"/>
              <w:right w:val="single" w:sz="8" w:space="0" w:color="auto"/>
            </w:tcBorders>
            <w:vAlign w:val="bottom"/>
          </w:tcPr>
          <w:p w:rsidR="001D6450" w:rsidRDefault="001D6450" w:rsidP="00D5675E">
            <w:pPr>
              <w:rPr>
                <w:sz w:val="24"/>
                <w:szCs w:val="24"/>
              </w:rPr>
            </w:pPr>
          </w:p>
        </w:tc>
        <w:tc>
          <w:tcPr>
            <w:tcW w:w="0" w:type="dxa"/>
            <w:vAlign w:val="bottom"/>
          </w:tcPr>
          <w:p w:rsidR="001D6450" w:rsidRDefault="001D6450" w:rsidP="00D5675E">
            <w:pPr>
              <w:rPr>
                <w:sz w:val="1"/>
                <w:szCs w:val="1"/>
              </w:rPr>
            </w:pPr>
          </w:p>
        </w:tc>
      </w:tr>
      <w:tr w:rsidR="001D6450" w:rsidTr="00D5675E">
        <w:trPr>
          <w:trHeight w:val="251"/>
        </w:trPr>
        <w:tc>
          <w:tcPr>
            <w:tcW w:w="1780" w:type="dxa"/>
            <w:tcBorders>
              <w:left w:val="single" w:sz="8" w:space="0" w:color="auto"/>
              <w:right w:val="single" w:sz="8" w:space="0" w:color="auto"/>
            </w:tcBorders>
            <w:vAlign w:val="bottom"/>
          </w:tcPr>
          <w:p w:rsidR="001D6450" w:rsidRDefault="001D6450" w:rsidP="00D5675E">
            <w:pPr>
              <w:spacing w:line="251"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5,9</w:t>
            </w:r>
          </w:p>
        </w:tc>
        <w:tc>
          <w:tcPr>
            <w:tcW w:w="860" w:type="dxa"/>
            <w:vMerge w:val="restart"/>
            <w:vAlign w:val="bottom"/>
          </w:tcPr>
          <w:p w:rsidR="001D6450" w:rsidRDefault="001D6450" w:rsidP="00D5675E">
            <w:pPr>
              <w:jc w:val="center"/>
              <w:rPr>
                <w:sz w:val="20"/>
                <w:szCs w:val="20"/>
              </w:rPr>
            </w:pPr>
            <w:r>
              <w:t>5,1</w:t>
            </w:r>
          </w:p>
        </w:tc>
        <w:tc>
          <w:tcPr>
            <w:tcW w:w="140" w:type="dxa"/>
            <w:tcBorders>
              <w:right w:val="single" w:sz="8" w:space="0" w:color="auto"/>
            </w:tcBorders>
            <w:vAlign w:val="bottom"/>
          </w:tcPr>
          <w:p w:rsidR="001D6450" w:rsidRDefault="001D6450" w:rsidP="00D5675E">
            <w:pPr>
              <w:rPr>
                <w:sz w:val="21"/>
                <w:szCs w:val="21"/>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0,87</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-0,26-1,56</w:t>
            </w: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rPr>
                <w:sz w:val="21"/>
                <w:szCs w:val="21"/>
              </w:rPr>
            </w:pP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vMerge w:val="restart"/>
            <w:tcBorders>
              <w:right w:val="single" w:sz="8" w:space="0" w:color="auto"/>
            </w:tcBorders>
            <w:vAlign w:val="bottom"/>
          </w:tcPr>
          <w:p w:rsidR="001D6450" w:rsidRDefault="001D6450" w:rsidP="00D5675E">
            <w:pPr>
              <w:jc w:val="center"/>
              <w:rPr>
                <w:sz w:val="20"/>
                <w:szCs w:val="20"/>
              </w:rPr>
            </w:pPr>
            <w:r>
              <w:rPr>
                <w:w w:val="98"/>
              </w:rPr>
              <w:t>0,80</w:t>
            </w:r>
          </w:p>
        </w:tc>
        <w:tc>
          <w:tcPr>
            <w:tcW w:w="1040" w:type="dxa"/>
            <w:vMerge w:val="restart"/>
            <w:tcBorders>
              <w:right w:val="single" w:sz="8" w:space="0" w:color="auto"/>
            </w:tcBorders>
            <w:vAlign w:val="bottom"/>
          </w:tcPr>
          <w:p w:rsidR="001D6450" w:rsidRDefault="001D6450" w:rsidP="00D5675E">
            <w:pPr>
              <w:jc w:val="center"/>
              <w:rPr>
                <w:sz w:val="20"/>
                <w:szCs w:val="20"/>
              </w:rPr>
            </w:pPr>
            <w:r>
              <w:t>0,66-</w:t>
            </w:r>
          </w:p>
        </w:tc>
        <w:tc>
          <w:tcPr>
            <w:tcW w:w="1420" w:type="dxa"/>
            <w:vMerge w:val="restart"/>
            <w:tcBorders>
              <w:right w:val="single" w:sz="8" w:space="0" w:color="auto"/>
            </w:tcBorders>
            <w:vAlign w:val="bottom"/>
          </w:tcPr>
          <w:p w:rsidR="001D6450" w:rsidRDefault="001D6450" w:rsidP="00D5675E">
            <w:pPr>
              <w:jc w:val="center"/>
              <w:rPr>
                <w:sz w:val="20"/>
                <w:szCs w:val="20"/>
              </w:rPr>
            </w:pPr>
            <w:r>
              <w:t>0,029</w:t>
            </w:r>
          </w:p>
        </w:tc>
        <w:tc>
          <w:tcPr>
            <w:tcW w:w="0" w:type="dxa"/>
            <w:vAlign w:val="bottom"/>
          </w:tcPr>
          <w:p w:rsidR="001D6450" w:rsidRDefault="001D6450" w:rsidP="00D5675E">
            <w:pPr>
              <w:rPr>
                <w:sz w:val="1"/>
                <w:szCs w:val="1"/>
              </w:rPr>
            </w:pPr>
          </w:p>
        </w:tc>
      </w:tr>
      <w:tr w:rsidR="001D6450" w:rsidTr="00D5675E">
        <w:trPr>
          <w:trHeight w:val="119"/>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tcBorders>
              <w:right w:val="single" w:sz="8" w:space="0" w:color="auto"/>
            </w:tcBorders>
            <w:vAlign w:val="bottom"/>
          </w:tcPr>
          <w:p w:rsidR="001D6450" w:rsidRDefault="001D6450" w:rsidP="00D5675E">
            <w:pPr>
              <w:rPr>
                <w:sz w:val="10"/>
                <w:szCs w:val="10"/>
              </w:rPr>
            </w:pPr>
          </w:p>
        </w:tc>
        <w:tc>
          <w:tcPr>
            <w:tcW w:w="860" w:type="dxa"/>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tcBorders>
              <w:right w:val="single" w:sz="8" w:space="0" w:color="auto"/>
            </w:tcBorders>
            <w:vAlign w:val="bottom"/>
          </w:tcPr>
          <w:p w:rsidR="001D6450" w:rsidRDefault="001D6450" w:rsidP="00D5675E">
            <w:pPr>
              <w:rPr>
                <w:sz w:val="10"/>
                <w:szCs w:val="10"/>
              </w:rPr>
            </w:pPr>
          </w:p>
        </w:tc>
        <w:tc>
          <w:tcPr>
            <w:tcW w:w="1280" w:type="dxa"/>
            <w:tcBorders>
              <w:right w:val="single" w:sz="8" w:space="0" w:color="auto"/>
            </w:tcBorders>
            <w:vAlign w:val="bottom"/>
          </w:tcPr>
          <w:p w:rsidR="001D6450" w:rsidRDefault="001D6450" w:rsidP="00D5675E">
            <w:pPr>
              <w:rPr>
                <w:sz w:val="10"/>
                <w:szCs w:val="10"/>
              </w:rPr>
            </w:pP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26"/>
        </w:trPr>
        <w:tc>
          <w:tcPr>
            <w:tcW w:w="1780" w:type="dxa"/>
            <w:tcBorders>
              <w:left w:val="single" w:sz="8" w:space="0" w:color="auto"/>
              <w:bottom w:val="single" w:sz="8" w:space="0" w:color="auto"/>
              <w:right w:val="single" w:sz="8" w:space="0" w:color="auto"/>
            </w:tcBorders>
            <w:vAlign w:val="bottom"/>
          </w:tcPr>
          <w:p w:rsidR="001D6450" w:rsidRDefault="001D6450" w:rsidP="00D5675E">
            <w:pPr>
              <w:rPr>
                <w:sz w:val="2"/>
                <w:szCs w:val="2"/>
              </w:rPr>
            </w:pPr>
          </w:p>
        </w:tc>
        <w:tc>
          <w:tcPr>
            <w:tcW w:w="1020" w:type="dxa"/>
            <w:tcBorders>
              <w:bottom w:val="single" w:sz="8" w:space="0" w:color="auto"/>
              <w:right w:val="single" w:sz="8" w:space="0" w:color="auto"/>
            </w:tcBorders>
            <w:vAlign w:val="bottom"/>
          </w:tcPr>
          <w:p w:rsidR="001D6450" w:rsidRDefault="001D6450" w:rsidP="00D5675E">
            <w:pPr>
              <w:rPr>
                <w:sz w:val="2"/>
                <w:szCs w:val="2"/>
              </w:rPr>
            </w:pPr>
          </w:p>
        </w:tc>
        <w:tc>
          <w:tcPr>
            <w:tcW w:w="860" w:type="dxa"/>
            <w:tcBorders>
              <w:bottom w:val="single" w:sz="8" w:space="0" w:color="auto"/>
            </w:tcBorders>
            <w:vAlign w:val="bottom"/>
          </w:tcPr>
          <w:p w:rsidR="001D6450" w:rsidRDefault="001D6450" w:rsidP="00D5675E">
            <w:pPr>
              <w:rPr>
                <w:sz w:val="2"/>
                <w:szCs w:val="2"/>
              </w:rPr>
            </w:pPr>
          </w:p>
        </w:tc>
        <w:tc>
          <w:tcPr>
            <w:tcW w:w="140" w:type="dxa"/>
            <w:tcBorders>
              <w:bottom w:val="single" w:sz="8" w:space="0" w:color="auto"/>
              <w:right w:val="single" w:sz="8" w:space="0" w:color="auto"/>
            </w:tcBorders>
            <w:vAlign w:val="bottom"/>
          </w:tcPr>
          <w:p w:rsidR="001D6450" w:rsidRDefault="001D6450" w:rsidP="00D5675E">
            <w:pPr>
              <w:rPr>
                <w:sz w:val="2"/>
                <w:szCs w:val="2"/>
              </w:rPr>
            </w:pPr>
          </w:p>
        </w:tc>
        <w:tc>
          <w:tcPr>
            <w:tcW w:w="840" w:type="dxa"/>
            <w:tcBorders>
              <w:bottom w:val="single" w:sz="8" w:space="0" w:color="auto"/>
              <w:right w:val="single" w:sz="8" w:space="0" w:color="auto"/>
            </w:tcBorders>
            <w:vAlign w:val="bottom"/>
          </w:tcPr>
          <w:p w:rsidR="001D6450" w:rsidRDefault="001D6450" w:rsidP="00D5675E">
            <w:pPr>
              <w:rPr>
                <w:sz w:val="2"/>
                <w:szCs w:val="2"/>
              </w:rPr>
            </w:pPr>
          </w:p>
        </w:tc>
        <w:tc>
          <w:tcPr>
            <w:tcW w:w="1280" w:type="dxa"/>
            <w:tcBorders>
              <w:bottom w:val="single" w:sz="8" w:space="0" w:color="auto"/>
              <w:right w:val="single" w:sz="8" w:space="0" w:color="auto"/>
            </w:tcBorders>
            <w:vAlign w:val="bottom"/>
          </w:tcPr>
          <w:p w:rsidR="001D6450" w:rsidRDefault="001D6450" w:rsidP="00D5675E">
            <w:pPr>
              <w:rPr>
                <w:sz w:val="2"/>
                <w:szCs w:val="2"/>
              </w:rPr>
            </w:pPr>
          </w:p>
        </w:tc>
        <w:tc>
          <w:tcPr>
            <w:tcW w:w="720" w:type="dxa"/>
            <w:vMerge/>
            <w:tcBorders>
              <w:right w:val="single" w:sz="8" w:space="0" w:color="auto"/>
            </w:tcBorders>
            <w:vAlign w:val="bottom"/>
          </w:tcPr>
          <w:p w:rsidR="001D6450" w:rsidRDefault="001D6450" w:rsidP="00D5675E">
            <w:pPr>
              <w:rPr>
                <w:sz w:val="2"/>
                <w:szCs w:val="2"/>
              </w:rPr>
            </w:pPr>
          </w:p>
        </w:tc>
        <w:tc>
          <w:tcPr>
            <w:tcW w:w="1040" w:type="dxa"/>
            <w:vMerge w:val="restart"/>
            <w:tcBorders>
              <w:right w:val="single" w:sz="8" w:space="0" w:color="auto"/>
            </w:tcBorders>
            <w:vAlign w:val="bottom"/>
          </w:tcPr>
          <w:p w:rsidR="001D6450" w:rsidRDefault="001D6450" w:rsidP="00D5675E">
            <w:pPr>
              <w:jc w:val="center"/>
              <w:rPr>
                <w:sz w:val="20"/>
                <w:szCs w:val="20"/>
              </w:rPr>
            </w:pPr>
            <w:r>
              <w:rPr>
                <w:w w:val="98"/>
              </w:rPr>
              <w:t>0,98</w:t>
            </w:r>
          </w:p>
        </w:tc>
        <w:tc>
          <w:tcPr>
            <w:tcW w:w="1420" w:type="dxa"/>
            <w:vMerge/>
            <w:tcBorders>
              <w:right w:val="single" w:sz="8" w:space="0" w:color="auto"/>
            </w:tcBorders>
            <w:vAlign w:val="bottom"/>
          </w:tcPr>
          <w:p w:rsidR="001D6450" w:rsidRDefault="001D6450" w:rsidP="00D5675E">
            <w:pPr>
              <w:rPr>
                <w:sz w:val="2"/>
                <w:szCs w:val="2"/>
              </w:rPr>
            </w:pPr>
          </w:p>
        </w:tc>
        <w:tc>
          <w:tcPr>
            <w:tcW w:w="0" w:type="dxa"/>
            <w:vAlign w:val="bottom"/>
          </w:tcPr>
          <w:p w:rsidR="001D6450" w:rsidRDefault="001D6450" w:rsidP="00D5675E">
            <w:pPr>
              <w:rPr>
                <w:sz w:val="1"/>
                <w:szCs w:val="1"/>
              </w:rPr>
            </w:pPr>
          </w:p>
        </w:tc>
      </w:tr>
      <w:tr w:rsidR="001D6450" w:rsidTr="00D5675E">
        <w:trPr>
          <w:trHeight w:val="123"/>
        </w:trPr>
        <w:tc>
          <w:tcPr>
            <w:tcW w:w="1780" w:type="dxa"/>
            <w:vMerge w:val="restart"/>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8,1</w:t>
            </w:r>
          </w:p>
        </w:tc>
        <w:tc>
          <w:tcPr>
            <w:tcW w:w="860" w:type="dxa"/>
            <w:vMerge w:val="restart"/>
            <w:vAlign w:val="bottom"/>
          </w:tcPr>
          <w:p w:rsidR="001D6450" w:rsidRDefault="001D6450" w:rsidP="00D5675E">
            <w:pPr>
              <w:jc w:val="center"/>
              <w:rPr>
                <w:sz w:val="20"/>
                <w:szCs w:val="20"/>
              </w:rPr>
            </w:pPr>
            <w:r>
              <w:t>6,7</w:t>
            </w:r>
          </w:p>
        </w:tc>
        <w:tc>
          <w:tcPr>
            <w:tcW w:w="140" w:type="dxa"/>
            <w:tcBorders>
              <w:right w:val="single" w:sz="8" w:space="0" w:color="auto"/>
            </w:tcBorders>
            <w:vAlign w:val="bottom"/>
          </w:tcPr>
          <w:p w:rsidR="001D6450" w:rsidRDefault="001D6450" w:rsidP="00D5675E">
            <w:pPr>
              <w:rPr>
                <w:sz w:val="10"/>
                <w:szCs w:val="10"/>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1,43</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9"/>
              </w:rPr>
              <w:t>0,17-2,66</w:t>
            </w: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0"/>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vMerge/>
            <w:tcBorders>
              <w:right w:val="single" w:sz="8" w:space="0" w:color="auto"/>
            </w:tcBorders>
            <w:vAlign w:val="bottom"/>
          </w:tcPr>
          <w:p w:rsidR="001D6450" w:rsidRDefault="001D6450" w:rsidP="00D5675E">
            <w:pPr>
              <w:rPr>
                <w:sz w:val="10"/>
                <w:szCs w:val="10"/>
              </w:rPr>
            </w:pPr>
          </w:p>
        </w:tc>
        <w:tc>
          <w:tcPr>
            <w:tcW w:w="860" w:type="dxa"/>
            <w:vMerge/>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vMerge/>
            <w:tcBorders>
              <w:right w:val="single" w:sz="8" w:space="0" w:color="auto"/>
            </w:tcBorders>
            <w:vAlign w:val="bottom"/>
          </w:tcPr>
          <w:p w:rsidR="001D6450" w:rsidRDefault="001D6450" w:rsidP="00D5675E">
            <w:pPr>
              <w:rPr>
                <w:sz w:val="10"/>
                <w:szCs w:val="10"/>
              </w:rPr>
            </w:pPr>
          </w:p>
        </w:tc>
        <w:tc>
          <w:tcPr>
            <w:tcW w:w="1280" w:type="dxa"/>
            <w:vMerge/>
            <w:tcBorders>
              <w:right w:val="single" w:sz="8" w:space="0" w:color="auto"/>
            </w:tcBorders>
            <w:vAlign w:val="bottom"/>
          </w:tcPr>
          <w:p w:rsidR="001D6450" w:rsidRDefault="001D6450" w:rsidP="00D5675E">
            <w:pPr>
              <w:rPr>
                <w:sz w:val="10"/>
                <w:szCs w:val="10"/>
              </w:rPr>
            </w:pPr>
          </w:p>
        </w:tc>
        <w:tc>
          <w:tcPr>
            <w:tcW w:w="720" w:type="dxa"/>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tcBorders>
              <w:right w:val="single" w:sz="8" w:space="0" w:color="auto"/>
            </w:tcBorders>
            <w:vAlign w:val="bottom"/>
          </w:tcPr>
          <w:p w:rsidR="001D6450" w:rsidRDefault="001D6450" w:rsidP="00D5675E">
            <w:pPr>
              <w:rPr>
                <w:sz w:val="14"/>
                <w:szCs w:val="14"/>
              </w:rPr>
            </w:pPr>
          </w:p>
        </w:tc>
        <w:tc>
          <w:tcPr>
            <w:tcW w:w="1040" w:type="dxa"/>
            <w:tcBorders>
              <w:right w:val="single" w:sz="8" w:space="0" w:color="auto"/>
            </w:tcBorders>
            <w:vAlign w:val="bottom"/>
          </w:tcPr>
          <w:p w:rsidR="001D6450" w:rsidRDefault="001D6450" w:rsidP="00D5675E">
            <w:pPr>
              <w:rPr>
                <w:sz w:val="14"/>
                <w:szCs w:val="14"/>
              </w:rPr>
            </w:pPr>
          </w:p>
        </w:tc>
        <w:tc>
          <w:tcPr>
            <w:tcW w:w="1420" w:type="dxa"/>
            <w:tcBorders>
              <w:right w:val="single" w:sz="8" w:space="0" w:color="auto"/>
            </w:tcBorders>
            <w:vAlign w:val="bottom"/>
          </w:tcPr>
          <w:p w:rsidR="001D6450" w:rsidRDefault="001D6450" w:rsidP="00D5675E">
            <w:pPr>
              <w:rPr>
                <w:sz w:val="14"/>
                <w:szCs w:val="14"/>
              </w:rPr>
            </w:pPr>
          </w:p>
        </w:tc>
        <w:tc>
          <w:tcPr>
            <w:tcW w:w="0" w:type="dxa"/>
            <w:vAlign w:val="bottom"/>
          </w:tcPr>
          <w:p w:rsidR="001D6450" w:rsidRDefault="001D6450" w:rsidP="00D5675E">
            <w:pPr>
              <w:rPr>
                <w:sz w:val="1"/>
                <w:szCs w:val="1"/>
              </w:rPr>
            </w:pPr>
          </w:p>
        </w:tc>
      </w:tr>
      <w:tr w:rsidR="001D6450" w:rsidTr="00D5675E">
        <w:trPr>
          <w:trHeight w:val="136"/>
        </w:trPr>
        <w:tc>
          <w:tcPr>
            <w:tcW w:w="1780" w:type="dxa"/>
            <w:vMerge/>
            <w:tcBorders>
              <w:left w:val="single" w:sz="8" w:space="0" w:color="auto"/>
              <w:bottom w:val="single" w:sz="8" w:space="0" w:color="auto"/>
              <w:right w:val="single" w:sz="8" w:space="0" w:color="auto"/>
            </w:tcBorders>
            <w:vAlign w:val="bottom"/>
          </w:tcPr>
          <w:p w:rsidR="001D6450" w:rsidRDefault="001D6450" w:rsidP="00D5675E">
            <w:pPr>
              <w:rPr>
                <w:sz w:val="11"/>
                <w:szCs w:val="11"/>
              </w:rPr>
            </w:pPr>
          </w:p>
        </w:tc>
        <w:tc>
          <w:tcPr>
            <w:tcW w:w="1020" w:type="dxa"/>
            <w:tcBorders>
              <w:bottom w:val="single" w:sz="8" w:space="0" w:color="auto"/>
              <w:right w:val="single" w:sz="8" w:space="0" w:color="auto"/>
            </w:tcBorders>
            <w:vAlign w:val="bottom"/>
          </w:tcPr>
          <w:p w:rsidR="001D6450" w:rsidRDefault="001D6450" w:rsidP="00D5675E">
            <w:pPr>
              <w:rPr>
                <w:sz w:val="11"/>
                <w:szCs w:val="11"/>
              </w:rPr>
            </w:pPr>
          </w:p>
        </w:tc>
        <w:tc>
          <w:tcPr>
            <w:tcW w:w="860" w:type="dxa"/>
            <w:tcBorders>
              <w:bottom w:val="single" w:sz="8" w:space="0" w:color="auto"/>
            </w:tcBorders>
            <w:vAlign w:val="bottom"/>
          </w:tcPr>
          <w:p w:rsidR="001D6450" w:rsidRDefault="001D6450" w:rsidP="00D5675E">
            <w:pPr>
              <w:rPr>
                <w:sz w:val="11"/>
                <w:szCs w:val="11"/>
              </w:rPr>
            </w:pPr>
          </w:p>
        </w:tc>
        <w:tc>
          <w:tcPr>
            <w:tcW w:w="140" w:type="dxa"/>
            <w:tcBorders>
              <w:bottom w:val="single" w:sz="8" w:space="0" w:color="auto"/>
              <w:right w:val="single" w:sz="8" w:space="0" w:color="auto"/>
            </w:tcBorders>
            <w:vAlign w:val="bottom"/>
          </w:tcPr>
          <w:p w:rsidR="001D6450" w:rsidRDefault="001D6450" w:rsidP="00D5675E">
            <w:pPr>
              <w:rPr>
                <w:sz w:val="11"/>
                <w:szCs w:val="11"/>
              </w:rPr>
            </w:pPr>
          </w:p>
        </w:tc>
        <w:tc>
          <w:tcPr>
            <w:tcW w:w="840" w:type="dxa"/>
            <w:tcBorders>
              <w:bottom w:val="single" w:sz="8" w:space="0" w:color="auto"/>
              <w:right w:val="single" w:sz="8" w:space="0" w:color="auto"/>
            </w:tcBorders>
            <w:vAlign w:val="bottom"/>
          </w:tcPr>
          <w:p w:rsidR="001D6450" w:rsidRDefault="001D6450" w:rsidP="00D5675E">
            <w:pPr>
              <w:rPr>
                <w:sz w:val="11"/>
                <w:szCs w:val="11"/>
              </w:rPr>
            </w:pPr>
          </w:p>
        </w:tc>
        <w:tc>
          <w:tcPr>
            <w:tcW w:w="1280" w:type="dxa"/>
            <w:tcBorders>
              <w:bottom w:val="single" w:sz="8" w:space="0" w:color="auto"/>
              <w:right w:val="single" w:sz="8" w:space="0" w:color="auto"/>
            </w:tcBorders>
            <w:vAlign w:val="bottom"/>
          </w:tcPr>
          <w:p w:rsidR="001D6450" w:rsidRDefault="001D6450" w:rsidP="00D5675E">
            <w:pPr>
              <w:rPr>
                <w:sz w:val="11"/>
                <w:szCs w:val="11"/>
              </w:rPr>
            </w:pPr>
          </w:p>
        </w:tc>
        <w:tc>
          <w:tcPr>
            <w:tcW w:w="720" w:type="dxa"/>
            <w:tcBorders>
              <w:bottom w:val="single" w:sz="8" w:space="0" w:color="auto"/>
              <w:right w:val="single" w:sz="8" w:space="0" w:color="auto"/>
            </w:tcBorders>
            <w:vAlign w:val="bottom"/>
          </w:tcPr>
          <w:p w:rsidR="001D6450" w:rsidRDefault="001D6450" w:rsidP="00D5675E">
            <w:pPr>
              <w:rPr>
                <w:sz w:val="11"/>
                <w:szCs w:val="11"/>
              </w:rPr>
            </w:pPr>
          </w:p>
        </w:tc>
        <w:tc>
          <w:tcPr>
            <w:tcW w:w="1040" w:type="dxa"/>
            <w:tcBorders>
              <w:bottom w:val="single" w:sz="8" w:space="0" w:color="auto"/>
              <w:right w:val="single" w:sz="8" w:space="0" w:color="auto"/>
            </w:tcBorders>
            <w:vAlign w:val="bottom"/>
          </w:tcPr>
          <w:p w:rsidR="001D6450" w:rsidRDefault="001D6450" w:rsidP="00D5675E">
            <w:pPr>
              <w:rPr>
                <w:sz w:val="11"/>
                <w:szCs w:val="11"/>
              </w:rPr>
            </w:pPr>
          </w:p>
        </w:tc>
        <w:tc>
          <w:tcPr>
            <w:tcW w:w="1420" w:type="dxa"/>
            <w:tcBorders>
              <w:bottom w:val="single" w:sz="8" w:space="0" w:color="auto"/>
              <w:right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r w:rsidR="001D6450" w:rsidTr="00D5675E">
        <w:trPr>
          <w:trHeight w:val="293"/>
        </w:trPr>
        <w:tc>
          <w:tcPr>
            <w:tcW w:w="1780" w:type="dxa"/>
            <w:tcBorders>
              <w:left w:val="single" w:sz="8" w:space="0" w:color="auto"/>
            </w:tcBorders>
            <w:vAlign w:val="bottom"/>
          </w:tcPr>
          <w:p w:rsidR="001D6450" w:rsidRDefault="001D6450" w:rsidP="00D5675E">
            <w:pPr>
              <w:rPr>
                <w:sz w:val="24"/>
                <w:szCs w:val="24"/>
              </w:rPr>
            </w:pPr>
          </w:p>
        </w:tc>
        <w:tc>
          <w:tcPr>
            <w:tcW w:w="1020" w:type="dxa"/>
            <w:vAlign w:val="bottom"/>
          </w:tcPr>
          <w:p w:rsidR="001D6450" w:rsidRDefault="001D6450" w:rsidP="00D5675E">
            <w:pPr>
              <w:rPr>
                <w:sz w:val="24"/>
                <w:szCs w:val="24"/>
              </w:rPr>
            </w:pPr>
          </w:p>
        </w:tc>
        <w:tc>
          <w:tcPr>
            <w:tcW w:w="3840" w:type="dxa"/>
            <w:gridSpan w:val="5"/>
            <w:vAlign w:val="bottom"/>
          </w:tcPr>
          <w:p w:rsidR="001D6450" w:rsidRDefault="001D6450" w:rsidP="00D5675E">
            <w:pPr>
              <w:ind w:right="250"/>
              <w:jc w:val="center"/>
              <w:rPr>
                <w:sz w:val="20"/>
                <w:szCs w:val="20"/>
              </w:rPr>
            </w:pPr>
            <w:r>
              <w:rPr>
                <w:w w:val="99"/>
              </w:rPr>
              <w:t>Populaţia cu boală avansată local</w:t>
            </w:r>
          </w:p>
        </w:tc>
        <w:tc>
          <w:tcPr>
            <w:tcW w:w="1040" w:type="dxa"/>
            <w:vAlign w:val="bottom"/>
          </w:tcPr>
          <w:p w:rsidR="001D6450" w:rsidRDefault="001D6450" w:rsidP="00D5675E">
            <w:pPr>
              <w:rPr>
                <w:sz w:val="24"/>
                <w:szCs w:val="24"/>
              </w:rPr>
            </w:pPr>
          </w:p>
        </w:tc>
        <w:tc>
          <w:tcPr>
            <w:tcW w:w="1420" w:type="dxa"/>
            <w:tcBorders>
              <w:right w:val="single" w:sz="8" w:space="0" w:color="auto"/>
            </w:tcBorders>
            <w:vAlign w:val="bottom"/>
          </w:tcPr>
          <w:p w:rsidR="001D6450" w:rsidRDefault="001D6450" w:rsidP="00D5675E">
            <w:pPr>
              <w:rPr>
                <w:sz w:val="24"/>
                <w:szCs w:val="24"/>
              </w:rPr>
            </w:pPr>
          </w:p>
        </w:tc>
        <w:tc>
          <w:tcPr>
            <w:tcW w:w="0" w:type="dxa"/>
            <w:vAlign w:val="bottom"/>
          </w:tcPr>
          <w:p w:rsidR="001D6450" w:rsidRDefault="001D6450" w:rsidP="00D5675E">
            <w:pPr>
              <w:rPr>
                <w:sz w:val="1"/>
                <w:szCs w:val="1"/>
              </w:rPr>
            </w:pPr>
          </w:p>
        </w:tc>
      </w:tr>
      <w:tr w:rsidR="001D6450" w:rsidTr="00D5675E">
        <w:trPr>
          <w:trHeight w:val="20"/>
        </w:trPr>
        <w:tc>
          <w:tcPr>
            <w:tcW w:w="1780" w:type="dxa"/>
            <w:tcBorders>
              <w:left w:val="single" w:sz="8" w:space="0" w:color="auto"/>
              <w:bottom w:val="single" w:sz="8" w:space="0" w:color="auto"/>
            </w:tcBorders>
            <w:vAlign w:val="bottom"/>
          </w:tcPr>
          <w:p w:rsidR="001D6450" w:rsidRDefault="001D6450" w:rsidP="00D5675E">
            <w:pPr>
              <w:spacing w:line="20" w:lineRule="exact"/>
              <w:rPr>
                <w:sz w:val="1"/>
                <w:szCs w:val="1"/>
              </w:rPr>
            </w:pPr>
          </w:p>
        </w:tc>
        <w:tc>
          <w:tcPr>
            <w:tcW w:w="1020" w:type="dxa"/>
            <w:tcBorders>
              <w:bottom w:val="single" w:sz="8" w:space="0" w:color="auto"/>
            </w:tcBorders>
            <w:vAlign w:val="bottom"/>
          </w:tcPr>
          <w:p w:rsidR="001D6450" w:rsidRDefault="001D6450" w:rsidP="00D5675E">
            <w:pPr>
              <w:spacing w:line="20" w:lineRule="exact"/>
              <w:rPr>
                <w:sz w:val="1"/>
                <w:szCs w:val="1"/>
              </w:rPr>
            </w:pPr>
          </w:p>
        </w:tc>
        <w:tc>
          <w:tcPr>
            <w:tcW w:w="860" w:type="dxa"/>
            <w:tcBorders>
              <w:bottom w:val="single" w:sz="8" w:space="0" w:color="auto"/>
            </w:tcBorders>
            <w:vAlign w:val="bottom"/>
          </w:tcPr>
          <w:p w:rsidR="001D6450" w:rsidRDefault="001D6450" w:rsidP="00D5675E">
            <w:pPr>
              <w:spacing w:line="20" w:lineRule="exact"/>
              <w:rPr>
                <w:sz w:val="1"/>
                <w:szCs w:val="1"/>
              </w:rPr>
            </w:pPr>
          </w:p>
        </w:tc>
        <w:tc>
          <w:tcPr>
            <w:tcW w:w="140" w:type="dxa"/>
            <w:tcBorders>
              <w:bottom w:val="single" w:sz="8" w:space="0" w:color="auto"/>
            </w:tcBorders>
            <w:vAlign w:val="bottom"/>
          </w:tcPr>
          <w:p w:rsidR="001D6450" w:rsidRDefault="001D6450" w:rsidP="00D5675E">
            <w:pPr>
              <w:spacing w:line="20" w:lineRule="exact"/>
              <w:rPr>
                <w:sz w:val="1"/>
                <w:szCs w:val="1"/>
              </w:rPr>
            </w:pPr>
          </w:p>
        </w:tc>
        <w:tc>
          <w:tcPr>
            <w:tcW w:w="840" w:type="dxa"/>
            <w:tcBorders>
              <w:bottom w:val="single" w:sz="8" w:space="0" w:color="auto"/>
            </w:tcBorders>
            <w:vAlign w:val="bottom"/>
          </w:tcPr>
          <w:p w:rsidR="001D6450" w:rsidRDefault="001D6450" w:rsidP="00D5675E">
            <w:pPr>
              <w:spacing w:line="20" w:lineRule="exact"/>
              <w:rPr>
                <w:sz w:val="1"/>
                <w:szCs w:val="1"/>
              </w:rPr>
            </w:pPr>
          </w:p>
        </w:tc>
        <w:tc>
          <w:tcPr>
            <w:tcW w:w="1280" w:type="dxa"/>
            <w:tcBorders>
              <w:bottom w:val="single" w:sz="8" w:space="0" w:color="auto"/>
            </w:tcBorders>
            <w:vAlign w:val="bottom"/>
          </w:tcPr>
          <w:p w:rsidR="001D6450" w:rsidRDefault="001D6450" w:rsidP="00D5675E">
            <w:pPr>
              <w:spacing w:line="20" w:lineRule="exact"/>
              <w:rPr>
                <w:sz w:val="1"/>
                <w:szCs w:val="1"/>
              </w:rPr>
            </w:pPr>
          </w:p>
        </w:tc>
        <w:tc>
          <w:tcPr>
            <w:tcW w:w="720" w:type="dxa"/>
            <w:tcBorders>
              <w:bottom w:val="single" w:sz="8" w:space="0" w:color="auto"/>
            </w:tcBorders>
            <w:vAlign w:val="bottom"/>
          </w:tcPr>
          <w:p w:rsidR="001D6450" w:rsidRDefault="001D6450" w:rsidP="00D5675E">
            <w:pPr>
              <w:spacing w:line="20" w:lineRule="exact"/>
              <w:rPr>
                <w:sz w:val="1"/>
                <w:szCs w:val="1"/>
              </w:rPr>
            </w:pPr>
          </w:p>
        </w:tc>
        <w:tc>
          <w:tcPr>
            <w:tcW w:w="1040" w:type="dxa"/>
            <w:tcBorders>
              <w:bottom w:val="single" w:sz="8" w:space="0" w:color="auto"/>
            </w:tcBorders>
            <w:vAlign w:val="bottom"/>
          </w:tcPr>
          <w:p w:rsidR="001D6450" w:rsidRDefault="001D6450" w:rsidP="00D5675E">
            <w:pPr>
              <w:spacing w:line="20" w:lineRule="exact"/>
              <w:rPr>
                <w:sz w:val="1"/>
                <w:szCs w:val="1"/>
              </w:rPr>
            </w:pPr>
          </w:p>
        </w:tc>
        <w:tc>
          <w:tcPr>
            <w:tcW w:w="1420" w:type="dxa"/>
            <w:tcBorders>
              <w:bottom w:val="single" w:sz="8" w:space="0" w:color="auto"/>
              <w:right w:val="single" w:sz="8" w:space="0" w:color="auto"/>
            </w:tcBorders>
            <w:vAlign w:val="bottom"/>
          </w:tcPr>
          <w:p w:rsidR="001D6450" w:rsidRDefault="001D6450" w:rsidP="00D5675E">
            <w:pPr>
              <w:spacing w:line="20" w:lineRule="exact"/>
              <w:rPr>
                <w:sz w:val="1"/>
                <w:szCs w:val="1"/>
              </w:rPr>
            </w:pPr>
          </w:p>
        </w:tc>
        <w:tc>
          <w:tcPr>
            <w:tcW w:w="0" w:type="dxa"/>
            <w:vAlign w:val="bottom"/>
          </w:tcPr>
          <w:p w:rsidR="001D6450" w:rsidRDefault="001D6450" w:rsidP="00D5675E">
            <w:pPr>
              <w:rPr>
                <w:sz w:val="1"/>
                <w:szCs w:val="1"/>
              </w:rPr>
            </w:pPr>
          </w:p>
        </w:tc>
      </w:tr>
      <w:tr w:rsidR="001D6450" w:rsidTr="00D5675E">
        <w:trPr>
          <w:trHeight w:val="242"/>
        </w:trPr>
        <w:tc>
          <w:tcPr>
            <w:tcW w:w="1780" w:type="dxa"/>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8,5</w:t>
            </w:r>
          </w:p>
        </w:tc>
        <w:tc>
          <w:tcPr>
            <w:tcW w:w="860" w:type="dxa"/>
            <w:vMerge w:val="restart"/>
            <w:vAlign w:val="bottom"/>
          </w:tcPr>
          <w:p w:rsidR="001D6450" w:rsidRDefault="001D6450" w:rsidP="00D5675E">
            <w:pPr>
              <w:jc w:val="center"/>
              <w:rPr>
                <w:sz w:val="20"/>
                <w:szCs w:val="20"/>
              </w:rPr>
            </w:pPr>
            <w:r>
              <w:t>8,2</w:t>
            </w:r>
          </w:p>
        </w:tc>
        <w:tc>
          <w:tcPr>
            <w:tcW w:w="140" w:type="dxa"/>
            <w:tcBorders>
              <w:right w:val="single" w:sz="8" w:space="0" w:color="auto"/>
            </w:tcBorders>
            <w:vAlign w:val="bottom"/>
          </w:tcPr>
          <w:p w:rsidR="001D6450" w:rsidRDefault="001D6450" w:rsidP="00D5675E">
            <w:pPr>
              <w:rPr>
                <w:sz w:val="21"/>
                <w:szCs w:val="21"/>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0,36</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-2,43-2,96</w:t>
            </w:r>
          </w:p>
        </w:tc>
        <w:tc>
          <w:tcPr>
            <w:tcW w:w="720" w:type="dxa"/>
            <w:tcBorders>
              <w:right w:val="single" w:sz="8" w:space="0" w:color="auto"/>
            </w:tcBorders>
            <w:vAlign w:val="bottom"/>
          </w:tcPr>
          <w:p w:rsidR="001D6450" w:rsidRDefault="001D6450" w:rsidP="00D5675E">
            <w:pPr>
              <w:rPr>
                <w:sz w:val="21"/>
                <w:szCs w:val="21"/>
              </w:rPr>
            </w:pPr>
          </w:p>
        </w:tc>
        <w:tc>
          <w:tcPr>
            <w:tcW w:w="1040" w:type="dxa"/>
            <w:tcBorders>
              <w:right w:val="single" w:sz="8" w:space="0" w:color="auto"/>
            </w:tcBorders>
            <w:vAlign w:val="bottom"/>
          </w:tcPr>
          <w:p w:rsidR="001D6450" w:rsidRDefault="001D6450" w:rsidP="00D5675E">
            <w:pPr>
              <w:rPr>
                <w:sz w:val="21"/>
                <w:szCs w:val="21"/>
              </w:rPr>
            </w:pPr>
          </w:p>
        </w:tc>
        <w:tc>
          <w:tcPr>
            <w:tcW w:w="1420" w:type="dxa"/>
            <w:tcBorders>
              <w:right w:val="single" w:sz="8" w:space="0" w:color="auto"/>
            </w:tcBorders>
            <w:vAlign w:val="bottom"/>
          </w:tcPr>
          <w:p w:rsidR="001D6450" w:rsidRDefault="001D6450" w:rsidP="00D5675E">
            <w:pPr>
              <w:rPr>
                <w:sz w:val="21"/>
                <w:szCs w:val="21"/>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vMerge w:val="restart"/>
            <w:tcBorders>
              <w:right w:val="single" w:sz="8" w:space="0" w:color="auto"/>
            </w:tcBorders>
            <w:vAlign w:val="bottom"/>
          </w:tcPr>
          <w:p w:rsidR="001D6450" w:rsidRDefault="001D6450" w:rsidP="00D5675E">
            <w:pPr>
              <w:jc w:val="center"/>
              <w:rPr>
                <w:sz w:val="20"/>
                <w:szCs w:val="20"/>
              </w:rPr>
            </w:pPr>
            <w:r>
              <w:rPr>
                <w:w w:val="98"/>
              </w:rPr>
              <w:t>0,93</w:t>
            </w:r>
          </w:p>
        </w:tc>
        <w:tc>
          <w:tcPr>
            <w:tcW w:w="1040" w:type="dxa"/>
            <w:vMerge w:val="restart"/>
            <w:tcBorders>
              <w:right w:val="single" w:sz="8" w:space="0" w:color="auto"/>
            </w:tcBorders>
            <w:vAlign w:val="bottom"/>
          </w:tcPr>
          <w:p w:rsidR="001D6450" w:rsidRDefault="001D6450" w:rsidP="00D5675E">
            <w:pPr>
              <w:jc w:val="center"/>
              <w:rPr>
                <w:sz w:val="20"/>
                <w:szCs w:val="20"/>
              </w:rPr>
            </w:pPr>
            <w:r>
              <w:t>0,65-</w:t>
            </w:r>
          </w:p>
        </w:tc>
        <w:tc>
          <w:tcPr>
            <w:tcW w:w="1420" w:type="dxa"/>
            <w:vMerge w:val="restart"/>
            <w:tcBorders>
              <w:right w:val="single" w:sz="8" w:space="0" w:color="auto"/>
            </w:tcBorders>
            <w:vAlign w:val="bottom"/>
          </w:tcPr>
          <w:p w:rsidR="001D6450" w:rsidRDefault="001D6450" w:rsidP="00D5675E">
            <w:pPr>
              <w:jc w:val="center"/>
              <w:rPr>
                <w:sz w:val="20"/>
                <w:szCs w:val="20"/>
              </w:rPr>
            </w:pPr>
            <w:r>
              <w:t>0,713</w:t>
            </w:r>
          </w:p>
        </w:tc>
        <w:tc>
          <w:tcPr>
            <w:tcW w:w="0" w:type="dxa"/>
            <w:vAlign w:val="bottom"/>
          </w:tcPr>
          <w:p w:rsidR="001D6450" w:rsidRDefault="001D6450" w:rsidP="00D5675E">
            <w:pPr>
              <w:rPr>
                <w:sz w:val="1"/>
                <w:szCs w:val="1"/>
              </w:rPr>
            </w:pPr>
          </w:p>
        </w:tc>
      </w:tr>
      <w:tr w:rsidR="001D6450" w:rsidTr="00D5675E">
        <w:trPr>
          <w:trHeight w:val="119"/>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tcBorders>
              <w:right w:val="single" w:sz="8" w:space="0" w:color="auto"/>
            </w:tcBorders>
            <w:vAlign w:val="bottom"/>
          </w:tcPr>
          <w:p w:rsidR="001D6450" w:rsidRDefault="001D6450" w:rsidP="00D5675E">
            <w:pPr>
              <w:rPr>
                <w:sz w:val="10"/>
                <w:szCs w:val="10"/>
              </w:rPr>
            </w:pPr>
          </w:p>
        </w:tc>
        <w:tc>
          <w:tcPr>
            <w:tcW w:w="860" w:type="dxa"/>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tcBorders>
              <w:right w:val="single" w:sz="8" w:space="0" w:color="auto"/>
            </w:tcBorders>
            <w:vAlign w:val="bottom"/>
          </w:tcPr>
          <w:p w:rsidR="001D6450" w:rsidRDefault="001D6450" w:rsidP="00D5675E">
            <w:pPr>
              <w:rPr>
                <w:sz w:val="10"/>
                <w:szCs w:val="10"/>
              </w:rPr>
            </w:pPr>
          </w:p>
        </w:tc>
        <w:tc>
          <w:tcPr>
            <w:tcW w:w="1280" w:type="dxa"/>
            <w:tcBorders>
              <w:right w:val="single" w:sz="8" w:space="0" w:color="auto"/>
            </w:tcBorders>
            <w:vAlign w:val="bottom"/>
          </w:tcPr>
          <w:p w:rsidR="001D6450" w:rsidRDefault="001D6450" w:rsidP="00D5675E">
            <w:pPr>
              <w:rPr>
                <w:sz w:val="10"/>
                <w:szCs w:val="10"/>
              </w:rPr>
            </w:pP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26"/>
        </w:trPr>
        <w:tc>
          <w:tcPr>
            <w:tcW w:w="1780" w:type="dxa"/>
            <w:tcBorders>
              <w:left w:val="single" w:sz="8" w:space="0" w:color="auto"/>
              <w:bottom w:val="single" w:sz="8" w:space="0" w:color="auto"/>
              <w:right w:val="single" w:sz="8" w:space="0" w:color="auto"/>
            </w:tcBorders>
            <w:vAlign w:val="bottom"/>
          </w:tcPr>
          <w:p w:rsidR="001D6450" w:rsidRDefault="001D6450" w:rsidP="00D5675E">
            <w:pPr>
              <w:rPr>
                <w:sz w:val="2"/>
                <w:szCs w:val="2"/>
              </w:rPr>
            </w:pPr>
          </w:p>
        </w:tc>
        <w:tc>
          <w:tcPr>
            <w:tcW w:w="1020" w:type="dxa"/>
            <w:tcBorders>
              <w:bottom w:val="single" w:sz="8" w:space="0" w:color="auto"/>
              <w:right w:val="single" w:sz="8" w:space="0" w:color="auto"/>
            </w:tcBorders>
            <w:vAlign w:val="bottom"/>
          </w:tcPr>
          <w:p w:rsidR="001D6450" w:rsidRDefault="001D6450" w:rsidP="00D5675E">
            <w:pPr>
              <w:rPr>
                <w:sz w:val="2"/>
                <w:szCs w:val="2"/>
              </w:rPr>
            </w:pPr>
          </w:p>
        </w:tc>
        <w:tc>
          <w:tcPr>
            <w:tcW w:w="860" w:type="dxa"/>
            <w:tcBorders>
              <w:bottom w:val="single" w:sz="8" w:space="0" w:color="auto"/>
            </w:tcBorders>
            <w:vAlign w:val="bottom"/>
          </w:tcPr>
          <w:p w:rsidR="001D6450" w:rsidRDefault="001D6450" w:rsidP="00D5675E">
            <w:pPr>
              <w:rPr>
                <w:sz w:val="2"/>
                <w:szCs w:val="2"/>
              </w:rPr>
            </w:pPr>
          </w:p>
        </w:tc>
        <w:tc>
          <w:tcPr>
            <w:tcW w:w="140" w:type="dxa"/>
            <w:tcBorders>
              <w:bottom w:val="single" w:sz="8" w:space="0" w:color="auto"/>
              <w:right w:val="single" w:sz="8" w:space="0" w:color="auto"/>
            </w:tcBorders>
            <w:vAlign w:val="bottom"/>
          </w:tcPr>
          <w:p w:rsidR="001D6450" w:rsidRDefault="001D6450" w:rsidP="00D5675E">
            <w:pPr>
              <w:rPr>
                <w:sz w:val="2"/>
                <w:szCs w:val="2"/>
              </w:rPr>
            </w:pPr>
          </w:p>
        </w:tc>
        <w:tc>
          <w:tcPr>
            <w:tcW w:w="840" w:type="dxa"/>
            <w:tcBorders>
              <w:bottom w:val="single" w:sz="8" w:space="0" w:color="auto"/>
              <w:right w:val="single" w:sz="8" w:space="0" w:color="auto"/>
            </w:tcBorders>
            <w:vAlign w:val="bottom"/>
          </w:tcPr>
          <w:p w:rsidR="001D6450" w:rsidRDefault="001D6450" w:rsidP="00D5675E">
            <w:pPr>
              <w:rPr>
                <w:sz w:val="2"/>
                <w:szCs w:val="2"/>
              </w:rPr>
            </w:pPr>
          </w:p>
        </w:tc>
        <w:tc>
          <w:tcPr>
            <w:tcW w:w="1280" w:type="dxa"/>
            <w:tcBorders>
              <w:bottom w:val="single" w:sz="8" w:space="0" w:color="auto"/>
              <w:right w:val="single" w:sz="8" w:space="0" w:color="auto"/>
            </w:tcBorders>
            <w:vAlign w:val="bottom"/>
          </w:tcPr>
          <w:p w:rsidR="001D6450" w:rsidRDefault="001D6450" w:rsidP="00D5675E">
            <w:pPr>
              <w:rPr>
                <w:sz w:val="2"/>
                <w:szCs w:val="2"/>
              </w:rPr>
            </w:pPr>
          </w:p>
        </w:tc>
        <w:tc>
          <w:tcPr>
            <w:tcW w:w="720" w:type="dxa"/>
            <w:vMerge/>
            <w:tcBorders>
              <w:right w:val="single" w:sz="8" w:space="0" w:color="auto"/>
            </w:tcBorders>
            <w:vAlign w:val="bottom"/>
          </w:tcPr>
          <w:p w:rsidR="001D6450" w:rsidRDefault="001D6450" w:rsidP="00D5675E">
            <w:pPr>
              <w:rPr>
                <w:sz w:val="2"/>
                <w:szCs w:val="2"/>
              </w:rPr>
            </w:pPr>
          </w:p>
        </w:tc>
        <w:tc>
          <w:tcPr>
            <w:tcW w:w="1040" w:type="dxa"/>
            <w:vMerge w:val="restart"/>
            <w:tcBorders>
              <w:right w:val="single" w:sz="8" w:space="0" w:color="auto"/>
            </w:tcBorders>
            <w:vAlign w:val="bottom"/>
          </w:tcPr>
          <w:p w:rsidR="001D6450" w:rsidRDefault="001D6450" w:rsidP="00D5675E">
            <w:pPr>
              <w:jc w:val="center"/>
              <w:rPr>
                <w:sz w:val="20"/>
                <w:szCs w:val="20"/>
              </w:rPr>
            </w:pPr>
            <w:r>
              <w:rPr>
                <w:w w:val="98"/>
              </w:rPr>
              <w:t>1,35</w:t>
            </w:r>
          </w:p>
        </w:tc>
        <w:tc>
          <w:tcPr>
            <w:tcW w:w="1420" w:type="dxa"/>
            <w:vMerge/>
            <w:tcBorders>
              <w:right w:val="single" w:sz="8" w:space="0" w:color="auto"/>
            </w:tcBorders>
            <w:vAlign w:val="bottom"/>
          </w:tcPr>
          <w:p w:rsidR="001D6450" w:rsidRDefault="001D6450" w:rsidP="00D5675E">
            <w:pPr>
              <w:rPr>
                <w:sz w:val="2"/>
                <w:szCs w:val="2"/>
              </w:rPr>
            </w:pPr>
          </w:p>
        </w:tc>
        <w:tc>
          <w:tcPr>
            <w:tcW w:w="0" w:type="dxa"/>
            <w:vAlign w:val="bottom"/>
          </w:tcPr>
          <w:p w:rsidR="001D6450" w:rsidRDefault="001D6450" w:rsidP="00D5675E">
            <w:pPr>
              <w:rPr>
                <w:sz w:val="1"/>
                <w:szCs w:val="1"/>
              </w:rPr>
            </w:pPr>
          </w:p>
        </w:tc>
      </w:tr>
      <w:tr w:rsidR="001D6450" w:rsidTr="00D5675E">
        <w:trPr>
          <w:trHeight w:val="123"/>
        </w:trPr>
        <w:tc>
          <w:tcPr>
            <w:tcW w:w="1780" w:type="dxa"/>
            <w:vMerge w:val="restart"/>
            <w:tcBorders>
              <w:left w:val="single" w:sz="8" w:space="0" w:color="auto"/>
              <w:right w:val="single" w:sz="8" w:space="0" w:color="auto"/>
            </w:tcBorders>
            <w:vAlign w:val="bottom"/>
          </w:tcPr>
          <w:p w:rsidR="001D6450" w:rsidRDefault="001D6450" w:rsidP="00D5675E">
            <w:pPr>
              <w:spacing w:line="242" w:lineRule="exact"/>
              <w:ind w:left="100"/>
              <w:rPr>
                <w:sz w:val="20"/>
                <w:szCs w:val="20"/>
              </w:rPr>
            </w:pPr>
            <w:r>
              <w:t>Supravieţuirea</w:t>
            </w:r>
          </w:p>
        </w:tc>
        <w:tc>
          <w:tcPr>
            <w:tcW w:w="1020" w:type="dxa"/>
            <w:vMerge w:val="restart"/>
            <w:tcBorders>
              <w:right w:val="single" w:sz="8" w:space="0" w:color="auto"/>
            </w:tcBorders>
            <w:vAlign w:val="bottom"/>
          </w:tcPr>
          <w:p w:rsidR="001D6450" w:rsidRDefault="001D6450" w:rsidP="00D5675E">
            <w:pPr>
              <w:jc w:val="center"/>
              <w:rPr>
                <w:sz w:val="20"/>
                <w:szCs w:val="20"/>
              </w:rPr>
            </w:pPr>
            <w:r>
              <w:t>10,7</w:t>
            </w:r>
          </w:p>
        </w:tc>
        <w:tc>
          <w:tcPr>
            <w:tcW w:w="860" w:type="dxa"/>
            <w:vMerge w:val="restart"/>
            <w:vAlign w:val="bottom"/>
          </w:tcPr>
          <w:p w:rsidR="001D6450" w:rsidRDefault="001D6450" w:rsidP="00D5675E">
            <w:pPr>
              <w:jc w:val="center"/>
              <w:rPr>
                <w:sz w:val="20"/>
                <w:szCs w:val="20"/>
              </w:rPr>
            </w:pPr>
            <w:r>
              <w:rPr>
                <w:w w:val="98"/>
              </w:rPr>
              <w:t>10,5</w:t>
            </w:r>
          </w:p>
        </w:tc>
        <w:tc>
          <w:tcPr>
            <w:tcW w:w="140" w:type="dxa"/>
            <w:tcBorders>
              <w:right w:val="single" w:sz="8" w:space="0" w:color="auto"/>
            </w:tcBorders>
            <w:vAlign w:val="bottom"/>
          </w:tcPr>
          <w:p w:rsidR="001D6450" w:rsidRDefault="001D6450" w:rsidP="00D5675E">
            <w:pPr>
              <w:rPr>
                <w:sz w:val="10"/>
                <w:szCs w:val="10"/>
              </w:rPr>
            </w:pPr>
          </w:p>
        </w:tc>
        <w:tc>
          <w:tcPr>
            <w:tcW w:w="840" w:type="dxa"/>
            <w:vMerge w:val="restart"/>
            <w:tcBorders>
              <w:right w:val="single" w:sz="8" w:space="0" w:color="auto"/>
            </w:tcBorders>
            <w:vAlign w:val="bottom"/>
          </w:tcPr>
          <w:p w:rsidR="001D6450" w:rsidRDefault="001D6450" w:rsidP="00D5675E">
            <w:pPr>
              <w:jc w:val="center"/>
              <w:rPr>
                <w:sz w:val="20"/>
                <w:szCs w:val="20"/>
              </w:rPr>
            </w:pPr>
            <w:r>
              <w:rPr>
                <w:w w:val="98"/>
              </w:rPr>
              <w:t>0,19</w:t>
            </w:r>
          </w:p>
        </w:tc>
        <w:tc>
          <w:tcPr>
            <w:tcW w:w="1280" w:type="dxa"/>
            <w:vMerge w:val="restart"/>
            <w:tcBorders>
              <w:right w:val="single" w:sz="8" w:space="0" w:color="auto"/>
            </w:tcBorders>
            <w:vAlign w:val="bottom"/>
          </w:tcPr>
          <w:p w:rsidR="001D6450" w:rsidRDefault="001D6450" w:rsidP="00D5675E">
            <w:pPr>
              <w:jc w:val="center"/>
              <w:rPr>
                <w:sz w:val="20"/>
                <w:szCs w:val="20"/>
              </w:rPr>
            </w:pPr>
            <w:r>
              <w:rPr>
                <w:w w:val="98"/>
              </w:rPr>
              <w:t>-2,43-2,69</w:t>
            </w:r>
          </w:p>
        </w:tc>
        <w:tc>
          <w:tcPr>
            <w:tcW w:w="720" w:type="dxa"/>
            <w:vMerge/>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vMerge/>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20"/>
        </w:trPr>
        <w:tc>
          <w:tcPr>
            <w:tcW w:w="1780" w:type="dxa"/>
            <w:vMerge/>
            <w:tcBorders>
              <w:left w:val="single" w:sz="8" w:space="0" w:color="auto"/>
              <w:right w:val="single" w:sz="8" w:space="0" w:color="auto"/>
            </w:tcBorders>
            <w:vAlign w:val="bottom"/>
          </w:tcPr>
          <w:p w:rsidR="001D6450" w:rsidRDefault="001D6450" w:rsidP="00D5675E">
            <w:pPr>
              <w:rPr>
                <w:sz w:val="10"/>
                <w:szCs w:val="10"/>
              </w:rPr>
            </w:pPr>
          </w:p>
        </w:tc>
        <w:tc>
          <w:tcPr>
            <w:tcW w:w="1020" w:type="dxa"/>
            <w:vMerge/>
            <w:tcBorders>
              <w:right w:val="single" w:sz="8" w:space="0" w:color="auto"/>
            </w:tcBorders>
            <w:vAlign w:val="bottom"/>
          </w:tcPr>
          <w:p w:rsidR="001D6450" w:rsidRDefault="001D6450" w:rsidP="00D5675E">
            <w:pPr>
              <w:rPr>
                <w:sz w:val="10"/>
                <w:szCs w:val="10"/>
              </w:rPr>
            </w:pPr>
          </w:p>
        </w:tc>
        <w:tc>
          <w:tcPr>
            <w:tcW w:w="860" w:type="dxa"/>
            <w:vMerge/>
            <w:vAlign w:val="bottom"/>
          </w:tcPr>
          <w:p w:rsidR="001D6450" w:rsidRDefault="001D6450" w:rsidP="00D5675E">
            <w:pPr>
              <w:rPr>
                <w:sz w:val="10"/>
                <w:szCs w:val="10"/>
              </w:rPr>
            </w:pPr>
          </w:p>
        </w:tc>
        <w:tc>
          <w:tcPr>
            <w:tcW w:w="140" w:type="dxa"/>
            <w:tcBorders>
              <w:right w:val="single" w:sz="8" w:space="0" w:color="auto"/>
            </w:tcBorders>
            <w:vAlign w:val="bottom"/>
          </w:tcPr>
          <w:p w:rsidR="001D6450" w:rsidRDefault="001D6450" w:rsidP="00D5675E">
            <w:pPr>
              <w:rPr>
                <w:sz w:val="10"/>
                <w:szCs w:val="10"/>
              </w:rPr>
            </w:pPr>
          </w:p>
        </w:tc>
        <w:tc>
          <w:tcPr>
            <w:tcW w:w="840" w:type="dxa"/>
            <w:vMerge/>
            <w:tcBorders>
              <w:right w:val="single" w:sz="8" w:space="0" w:color="auto"/>
            </w:tcBorders>
            <w:vAlign w:val="bottom"/>
          </w:tcPr>
          <w:p w:rsidR="001D6450" w:rsidRDefault="001D6450" w:rsidP="00D5675E">
            <w:pPr>
              <w:rPr>
                <w:sz w:val="10"/>
                <w:szCs w:val="10"/>
              </w:rPr>
            </w:pPr>
          </w:p>
        </w:tc>
        <w:tc>
          <w:tcPr>
            <w:tcW w:w="1280" w:type="dxa"/>
            <w:vMerge/>
            <w:tcBorders>
              <w:right w:val="single" w:sz="8" w:space="0" w:color="auto"/>
            </w:tcBorders>
            <w:vAlign w:val="bottom"/>
          </w:tcPr>
          <w:p w:rsidR="001D6450" w:rsidRDefault="001D6450" w:rsidP="00D5675E">
            <w:pPr>
              <w:rPr>
                <w:sz w:val="10"/>
                <w:szCs w:val="10"/>
              </w:rPr>
            </w:pPr>
          </w:p>
        </w:tc>
        <w:tc>
          <w:tcPr>
            <w:tcW w:w="720" w:type="dxa"/>
            <w:tcBorders>
              <w:right w:val="single" w:sz="8" w:space="0" w:color="auto"/>
            </w:tcBorders>
            <w:vAlign w:val="bottom"/>
          </w:tcPr>
          <w:p w:rsidR="001D6450" w:rsidRDefault="001D6450" w:rsidP="00D5675E">
            <w:pPr>
              <w:rPr>
                <w:sz w:val="10"/>
                <w:szCs w:val="10"/>
              </w:rPr>
            </w:pPr>
          </w:p>
        </w:tc>
        <w:tc>
          <w:tcPr>
            <w:tcW w:w="1040" w:type="dxa"/>
            <w:vMerge/>
            <w:tcBorders>
              <w:right w:val="single" w:sz="8" w:space="0" w:color="auto"/>
            </w:tcBorders>
            <w:vAlign w:val="bottom"/>
          </w:tcPr>
          <w:p w:rsidR="001D6450" w:rsidRDefault="001D6450" w:rsidP="00D5675E">
            <w:pPr>
              <w:rPr>
                <w:sz w:val="10"/>
                <w:szCs w:val="10"/>
              </w:rPr>
            </w:pPr>
          </w:p>
        </w:tc>
        <w:tc>
          <w:tcPr>
            <w:tcW w:w="1420" w:type="dxa"/>
            <w:tcBorders>
              <w:right w:val="single" w:sz="8" w:space="0" w:color="auto"/>
            </w:tcBorders>
            <w:vAlign w:val="bottom"/>
          </w:tcPr>
          <w:p w:rsidR="001D6450" w:rsidRDefault="001D6450" w:rsidP="00D5675E">
            <w:pPr>
              <w:rPr>
                <w:sz w:val="10"/>
                <w:szCs w:val="10"/>
              </w:rPr>
            </w:pPr>
          </w:p>
        </w:tc>
        <w:tc>
          <w:tcPr>
            <w:tcW w:w="0" w:type="dxa"/>
            <w:vAlign w:val="bottom"/>
          </w:tcPr>
          <w:p w:rsidR="001D6450" w:rsidRDefault="001D6450" w:rsidP="00D5675E">
            <w:pPr>
              <w:rPr>
                <w:sz w:val="1"/>
                <w:szCs w:val="1"/>
              </w:rPr>
            </w:pPr>
          </w:p>
        </w:tc>
      </w:tr>
      <w:tr w:rsidR="001D6450" w:rsidTr="00D5675E">
        <w:trPr>
          <w:trHeight w:val="168"/>
        </w:trPr>
        <w:tc>
          <w:tcPr>
            <w:tcW w:w="1780" w:type="dxa"/>
            <w:vMerge w:val="restart"/>
            <w:tcBorders>
              <w:left w:val="single" w:sz="8" w:space="0" w:color="auto"/>
              <w:right w:val="single" w:sz="8" w:space="0" w:color="auto"/>
            </w:tcBorders>
            <w:vAlign w:val="bottom"/>
          </w:tcPr>
          <w:p w:rsidR="001D6450" w:rsidRDefault="001D6450" w:rsidP="00D5675E">
            <w:pPr>
              <w:ind w:left="100"/>
              <w:rPr>
                <w:sz w:val="20"/>
                <w:szCs w:val="20"/>
              </w:rPr>
            </w:pPr>
            <w:r>
              <w:t>mediană globală</w:t>
            </w:r>
          </w:p>
        </w:tc>
        <w:tc>
          <w:tcPr>
            <w:tcW w:w="1020" w:type="dxa"/>
            <w:vMerge/>
            <w:tcBorders>
              <w:right w:val="single" w:sz="8" w:space="0" w:color="auto"/>
            </w:tcBorders>
            <w:vAlign w:val="bottom"/>
          </w:tcPr>
          <w:p w:rsidR="001D6450" w:rsidRDefault="001D6450" w:rsidP="00D5675E">
            <w:pPr>
              <w:rPr>
                <w:sz w:val="14"/>
                <w:szCs w:val="14"/>
              </w:rPr>
            </w:pPr>
          </w:p>
        </w:tc>
        <w:tc>
          <w:tcPr>
            <w:tcW w:w="860" w:type="dxa"/>
            <w:vMerge/>
            <w:vAlign w:val="bottom"/>
          </w:tcPr>
          <w:p w:rsidR="001D6450" w:rsidRDefault="001D6450" w:rsidP="00D5675E">
            <w:pPr>
              <w:rPr>
                <w:sz w:val="14"/>
                <w:szCs w:val="14"/>
              </w:rPr>
            </w:pPr>
          </w:p>
        </w:tc>
        <w:tc>
          <w:tcPr>
            <w:tcW w:w="140" w:type="dxa"/>
            <w:tcBorders>
              <w:right w:val="single" w:sz="8" w:space="0" w:color="auto"/>
            </w:tcBorders>
            <w:vAlign w:val="bottom"/>
          </w:tcPr>
          <w:p w:rsidR="001D6450" w:rsidRDefault="001D6450" w:rsidP="00D5675E">
            <w:pPr>
              <w:rPr>
                <w:sz w:val="14"/>
                <w:szCs w:val="14"/>
              </w:rPr>
            </w:pPr>
          </w:p>
        </w:tc>
        <w:tc>
          <w:tcPr>
            <w:tcW w:w="840" w:type="dxa"/>
            <w:vMerge/>
            <w:tcBorders>
              <w:right w:val="single" w:sz="8" w:space="0" w:color="auto"/>
            </w:tcBorders>
            <w:vAlign w:val="bottom"/>
          </w:tcPr>
          <w:p w:rsidR="001D6450" w:rsidRDefault="001D6450" w:rsidP="00D5675E">
            <w:pPr>
              <w:rPr>
                <w:sz w:val="14"/>
                <w:szCs w:val="14"/>
              </w:rPr>
            </w:pPr>
          </w:p>
        </w:tc>
        <w:tc>
          <w:tcPr>
            <w:tcW w:w="1280" w:type="dxa"/>
            <w:vMerge/>
            <w:tcBorders>
              <w:right w:val="single" w:sz="8" w:space="0" w:color="auto"/>
            </w:tcBorders>
            <w:vAlign w:val="bottom"/>
          </w:tcPr>
          <w:p w:rsidR="001D6450" w:rsidRDefault="001D6450" w:rsidP="00D5675E">
            <w:pPr>
              <w:rPr>
                <w:sz w:val="14"/>
                <w:szCs w:val="14"/>
              </w:rPr>
            </w:pPr>
          </w:p>
        </w:tc>
        <w:tc>
          <w:tcPr>
            <w:tcW w:w="720" w:type="dxa"/>
            <w:tcBorders>
              <w:right w:val="single" w:sz="8" w:space="0" w:color="auto"/>
            </w:tcBorders>
            <w:vAlign w:val="bottom"/>
          </w:tcPr>
          <w:p w:rsidR="001D6450" w:rsidRDefault="001D6450" w:rsidP="00D5675E">
            <w:pPr>
              <w:rPr>
                <w:sz w:val="14"/>
                <w:szCs w:val="14"/>
              </w:rPr>
            </w:pPr>
          </w:p>
        </w:tc>
        <w:tc>
          <w:tcPr>
            <w:tcW w:w="1040" w:type="dxa"/>
            <w:tcBorders>
              <w:right w:val="single" w:sz="8" w:space="0" w:color="auto"/>
            </w:tcBorders>
            <w:vAlign w:val="bottom"/>
          </w:tcPr>
          <w:p w:rsidR="001D6450" w:rsidRDefault="001D6450" w:rsidP="00D5675E">
            <w:pPr>
              <w:rPr>
                <w:sz w:val="14"/>
                <w:szCs w:val="14"/>
              </w:rPr>
            </w:pPr>
          </w:p>
        </w:tc>
        <w:tc>
          <w:tcPr>
            <w:tcW w:w="1420" w:type="dxa"/>
            <w:tcBorders>
              <w:right w:val="single" w:sz="8" w:space="0" w:color="auto"/>
            </w:tcBorders>
            <w:vAlign w:val="bottom"/>
          </w:tcPr>
          <w:p w:rsidR="001D6450" w:rsidRDefault="001D6450" w:rsidP="00D5675E">
            <w:pPr>
              <w:rPr>
                <w:sz w:val="14"/>
                <w:szCs w:val="14"/>
              </w:rPr>
            </w:pPr>
          </w:p>
        </w:tc>
        <w:tc>
          <w:tcPr>
            <w:tcW w:w="0" w:type="dxa"/>
            <w:vAlign w:val="bottom"/>
          </w:tcPr>
          <w:p w:rsidR="001D6450" w:rsidRDefault="001D6450" w:rsidP="00D5675E">
            <w:pPr>
              <w:rPr>
                <w:sz w:val="1"/>
                <w:szCs w:val="1"/>
              </w:rPr>
            </w:pPr>
          </w:p>
        </w:tc>
      </w:tr>
      <w:tr w:rsidR="001D6450" w:rsidTr="00D5675E">
        <w:trPr>
          <w:trHeight w:val="136"/>
        </w:trPr>
        <w:tc>
          <w:tcPr>
            <w:tcW w:w="1780" w:type="dxa"/>
            <w:vMerge/>
            <w:tcBorders>
              <w:left w:val="single" w:sz="8" w:space="0" w:color="auto"/>
              <w:bottom w:val="single" w:sz="8" w:space="0" w:color="auto"/>
              <w:right w:val="single" w:sz="8" w:space="0" w:color="auto"/>
            </w:tcBorders>
            <w:vAlign w:val="bottom"/>
          </w:tcPr>
          <w:p w:rsidR="001D6450" w:rsidRDefault="001D6450" w:rsidP="00D5675E">
            <w:pPr>
              <w:rPr>
                <w:sz w:val="11"/>
                <w:szCs w:val="11"/>
              </w:rPr>
            </w:pPr>
          </w:p>
        </w:tc>
        <w:tc>
          <w:tcPr>
            <w:tcW w:w="1020" w:type="dxa"/>
            <w:tcBorders>
              <w:bottom w:val="single" w:sz="8" w:space="0" w:color="auto"/>
              <w:right w:val="single" w:sz="8" w:space="0" w:color="auto"/>
            </w:tcBorders>
            <w:vAlign w:val="bottom"/>
          </w:tcPr>
          <w:p w:rsidR="001D6450" w:rsidRDefault="001D6450" w:rsidP="00D5675E">
            <w:pPr>
              <w:rPr>
                <w:sz w:val="11"/>
                <w:szCs w:val="11"/>
              </w:rPr>
            </w:pPr>
          </w:p>
        </w:tc>
        <w:tc>
          <w:tcPr>
            <w:tcW w:w="860" w:type="dxa"/>
            <w:tcBorders>
              <w:bottom w:val="single" w:sz="8" w:space="0" w:color="auto"/>
            </w:tcBorders>
            <w:vAlign w:val="bottom"/>
          </w:tcPr>
          <w:p w:rsidR="001D6450" w:rsidRDefault="001D6450" w:rsidP="00D5675E">
            <w:pPr>
              <w:rPr>
                <w:sz w:val="11"/>
                <w:szCs w:val="11"/>
              </w:rPr>
            </w:pPr>
          </w:p>
        </w:tc>
        <w:tc>
          <w:tcPr>
            <w:tcW w:w="140" w:type="dxa"/>
            <w:tcBorders>
              <w:bottom w:val="single" w:sz="8" w:space="0" w:color="auto"/>
              <w:right w:val="single" w:sz="8" w:space="0" w:color="auto"/>
            </w:tcBorders>
            <w:vAlign w:val="bottom"/>
          </w:tcPr>
          <w:p w:rsidR="001D6450" w:rsidRDefault="001D6450" w:rsidP="00D5675E">
            <w:pPr>
              <w:rPr>
                <w:sz w:val="11"/>
                <w:szCs w:val="11"/>
              </w:rPr>
            </w:pPr>
          </w:p>
        </w:tc>
        <w:tc>
          <w:tcPr>
            <w:tcW w:w="840" w:type="dxa"/>
            <w:tcBorders>
              <w:bottom w:val="single" w:sz="8" w:space="0" w:color="auto"/>
              <w:right w:val="single" w:sz="8" w:space="0" w:color="auto"/>
            </w:tcBorders>
            <w:vAlign w:val="bottom"/>
          </w:tcPr>
          <w:p w:rsidR="001D6450" w:rsidRDefault="001D6450" w:rsidP="00D5675E">
            <w:pPr>
              <w:rPr>
                <w:sz w:val="11"/>
                <w:szCs w:val="11"/>
              </w:rPr>
            </w:pPr>
          </w:p>
        </w:tc>
        <w:tc>
          <w:tcPr>
            <w:tcW w:w="1280" w:type="dxa"/>
            <w:tcBorders>
              <w:bottom w:val="single" w:sz="8" w:space="0" w:color="auto"/>
              <w:right w:val="single" w:sz="8" w:space="0" w:color="auto"/>
            </w:tcBorders>
            <w:vAlign w:val="bottom"/>
          </w:tcPr>
          <w:p w:rsidR="001D6450" w:rsidRDefault="001D6450" w:rsidP="00D5675E">
            <w:pPr>
              <w:rPr>
                <w:sz w:val="11"/>
                <w:szCs w:val="11"/>
              </w:rPr>
            </w:pPr>
          </w:p>
        </w:tc>
        <w:tc>
          <w:tcPr>
            <w:tcW w:w="720" w:type="dxa"/>
            <w:tcBorders>
              <w:bottom w:val="single" w:sz="8" w:space="0" w:color="auto"/>
              <w:right w:val="single" w:sz="8" w:space="0" w:color="auto"/>
            </w:tcBorders>
            <w:vAlign w:val="bottom"/>
          </w:tcPr>
          <w:p w:rsidR="001D6450" w:rsidRDefault="001D6450" w:rsidP="00D5675E">
            <w:pPr>
              <w:rPr>
                <w:sz w:val="11"/>
                <w:szCs w:val="11"/>
              </w:rPr>
            </w:pPr>
          </w:p>
        </w:tc>
        <w:tc>
          <w:tcPr>
            <w:tcW w:w="1040" w:type="dxa"/>
            <w:tcBorders>
              <w:bottom w:val="single" w:sz="8" w:space="0" w:color="auto"/>
              <w:right w:val="single" w:sz="8" w:space="0" w:color="auto"/>
            </w:tcBorders>
            <w:vAlign w:val="bottom"/>
          </w:tcPr>
          <w:p w:rsidR="001D6450" w:rsidRDefault="001D6450" w:rsidP="00D5675E">
            <w:pPr>
              <w:rPr>
                <w:sz w:val="11"/>
                <w:szCs w:val="11"/>
              </w:rPr>
            </w:pPr>
          </w:p>
        </w:tc>
        <w:tc>
          <w:tcPr>
            <w:tcW w:w="1420" w:type="dxa"/>
            <w:tcBorders>
              <w:bottom w:val="single" w:sz="8" w:space="0" w:color="auto"/>
              <w:right w:val="single" w:sz="8" w:space="0" w:color="auto"/>
            </w:tcBorders>
            <w:vAlign w:val="bottom"/>
          </w:tcPr>
          <w:p w:rsidR="001D6450" w:rsidRDefault="001D6450" w:rsidP="00D5675E">
            <w:pPr>
              <w:rPr>
                <w:sz w:val="11"/>
                <w:szCs w:val="11"/>
              </w:rPr>
            </w:pPr>
          </w:p>
        </w:tc>
        <w:tc>
          <w:tcPr>
            <w:tcW w:w="0" w:type="dxa"/>
            <w:vAlign w:val="bottom"/>
          </w:tcPr>
          <w:p w:rsidR="001D6450" w:rsidRDefault="001D6450" w:rsidP="00D5675E">
            <w:pPr>
              <w:rPr>
                <w:sz w:val="1"/>
                <w:szCs w:val="1"/>
              </w:rPr>
            </w:pPr>
          </w:p>
        </w:tc>
      </w:tr>
    </w:tbl>
    <w:p w:rsidR="001D6450" w:rsidRDefault="001D6450" w:rsidP="001D6450">
      <w:pPr>
        <w:spacing w:line="200" w:lineRule="exact"/>
        <w:rPr>
          <w:sz w:val="20"/>
          <w:szCs w:val="20"/>
        </w:rPr>
      </w:pPr>
    </w:p>
    <w:p w:rsidR="001D6450" w:rsidRDefault="001D6450" w:rsidP="001D6450">
      <w:pPr>
        <w:spacing w:line="233" w:lineRule="exact"/>
        <w:rPr>
          <w:sz w:val="20"/>
          <w:szCs w:val="20"/>
        </w:rPr>
      </w:pPr>
    </w:p>
    <w:p w:rsidR="00F209B7" w:rsidRDefault="00F209B7" w:rsidP="001D6450">
      <w:pPr>
        <w:spacing w:line="254" w:lineRule="auto"/>
        <w:ind w:right="26"/>
      </w:pPr>
    </w:p>
    <w:p w:rsidR="00F209B7" w:rsidRDefault="00F209B7" w:rsidP="001D6450">
      <w:pPr>
        <w:spacing w:line="254" w:lineRule="auto"/>
        <w:ind w:right="26"/>
      </w:pPr>
    </w:p>
    <w:p w:rsidR="00F209B7" w:rsidRDefault="00F209B7" w:rsidP="001D6450">
      <w:pPr>
        <w:spacing w:line="254" w:lineRule="auto"/>
        <w:ind w:right="26"/>
      </w:pPr>
      <w:r>
        <w:rPr>
          <w:noProof/>
          <w:lang w:val="en-US"/>
        </w:rPr>
        <w:drawing>
          <wp:inline distT="0" distB="0" distL="0" distR="0" wp14:anchorId="5138ED9D" wp14:editId="4DFB51D3">
            <wp:extent cx="4067175" cy="31908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3190875"/>
                    </a:xfrm>
                    <a:prstGeom prst="rect">
                      <a:avLst/>
                    </a:prstGeom>
                    <a:noFill/>
                    <a:ln>
                      <a:noFill/>
                    </a:ln>
                  </pic:spPr>
                </pic:pic>
              </a:graphicData>
            </a:graphic>
          </wp:inline>
        </w:drawing>
      </w:r>
    </w:p>
    <w:p w:rsidR="00E92B41" w:rsidRDefault="00E92B41" w:rsidP="001D6450">
      <w:pPr>
        <w:spacing w:line="254" w:lineRule="auto"/>
        <w:ind w:right="26"/>
      </w:pPr>
    </w:p>
    <w:p w:rsidR="00F209B7" w:rsidRDefault="00F209B7" w:rsidP="001D6450">
      <w:pPr>
        <w:spacing w:line="254" w:lineRule="auto"/>
        <w:ind w:right="26"/>
      </w:pPr>
      <w:r>
        <w:rPr>
          <w:noProof/>
          <w:lang w:val="en-US"/>
        </w:rPr>
        <w:drawing>
          <wp:inline distT="0" distB="0" distL="0" distR="0" wp14:anchorId="2FA94DDA" wp14:editId="1816D200">
            <wp:extent cx="4067175" cy="32099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3209925"/>
                    </a:xfrm>
                    <a:prstGeom prst="rect">
                      <a:avLst/>
                    </a:prstGeom>
                    <a:noFill/>
                    <a:ln>
                      <a:noFill/>
                    </a:ln>
                  </pic:spPr>
                </pic:pic>
              </a:graphicData>
            </a:graphic>
          </wp:inline>
        </w:drawing>
      </w:r>
    </w:p>
    <w:p w:rsidR="00F209B7" w:rsidRDefault="00F209B7" w:rsidP="001D6450">
      <w:pPr>
        <w:spacing w:line="254" w:lineRule="auto"/>
        <w:ind w:right="26"/>
      </w:pPr>
    </w:p>
    <w:p w:rsidR="001D6450" w:rsidRDefault="001D6450" w:rsidP="001D6450">
      <w:pPr>
        <w:spacing w:line="254" w:lineRule="auto"/>
        <w:ind w:right="26"/>
        <w:rPr>
          <w:sz w:val="20"/>
          <w:szCs w:val="20"/>
        </w:rPr>
      </w:pPr>
      <w:r>
        <w:t xml:space="preserve">Într-o analiză post-hoc, pacienţii cu stare clinică favorabilă la iniţierea tratamentului (intensitatea durerii scăzută, calitatea vieţii ridicată, şi un bun indice de performanţă) au demonstrat mai multe beneficii terapeutice pentru </w:t>
      </w:r>
      <w:r w:rsidR="002C7694" w:rsidRPr="002C7694">
        <w:rPr>
          <w:iCs/>
          <w:u w:val="single"/>
        </w:rPr>
        <w:t>erlotinib</w:t>
      </w:r>
      <w:r>
        <w:t>. Beneficiile terapeutice sunt determinate, în principal, de prezenţa unui scor scăzut pentru intensitatea durerii.</w:t>
      </w:r>
    </w:p>
    <w:p w:rsidR="001D6450" w:rsidRDefault="001D6450" w:rsidP="001D6450">
      <w:pPr>
        <w:spacing w:line="194" w:lineRule="exact"/>
        <w:rPr>
          <w:sz w:val="20"/>
          <w:szCs w:val="20"/>
        </w:rPr>
      </w:pPr>
    </w:p>
    <w:p w:rsidR="001D6450" w:rsidRPr="00885DAE" w:rsidRDefault="001D6450" w:rsidP="001D6450">
      <w:pPr>
        <w:ind w:right="206"/>
      </w:pPr>
      <w:r w:rsidRPr="00D5675E">
        <w:t>Într-o analiză post-hoc, pacienţii care au dezvoltat o erupţie cutanată au prezentat o perioadă de supravieţuire mai lungă comparativ cu pacienţii care nu au dezvoltat o erupţie cutanată (OS mediană 7,2 luni comparativ cu 5 luni, RR: 0,61).</w:t>
      </w:r>
    </w:p>
    <w:p w:rsidR="001D6450" w:rsidRPr="00885DAE" w:rsidRDefault="001D6450" w:rsidP="001D6450">
      <w:pPr>
        <w:spacing w:line="2" w:lineRule="exact"/>
      </w:pPr>
    </w:p>
    <w:p w:rsidR="001D6450" w:rsidRPr="00885DAE" w:rsidRDefault="001D6450" w:rsidP="001D6450">
      <w:pPr>
        <w:spacing w:line="279" w:lineRule="auto"/>
        <w:ind w:right="126"/>
      </w:pPr>
      <w:r w:rsidRPr="00D5675E">
        <w:t xml:space="preserve">90% din pacienţii trataţi cu </w:t>
      </w:r>
      <w:r w:rsidR="002C7694" w:rsidRPr="002C7694">
        <w:rPr>
          <w:iCs/>
          <w:u w:val="single"/>
        </w:rPr>
        <w:t>erlotinib</w:t>
      </w:r>
      <w:r w:rsidRPr="00D5675E">
        <w:t xml:space="preserve"> au dezvoltat erupţii cutanate tranzitorii în primele 44 zile. Durata de timp mediană până la apariţia erupţiilor cutanate a fost de 10 zile.</w:t>
      </w:r>
    </w:p>
    <w:p w:rsidR="001D6450" w:rsidRPr="00885DAE" w:rsidRDefault="001D6450" w:rsidP="001D6450">
      <w:pPr>
        <w:spacing w:line="170" w:lineRule="exact"/>
      </w:pPr>
    </w:p>
    <w:p w:rsidR="001D6450" w:rsidRPr="00885DAE" w:rsidRDefault="001D6450" w:rsidP="001D6450">
      <w:r w:rsidRPr="00D5675E">
        <w:rPr>
          <w:u w:val="single"/>
        </w:rPr>
        <w:t>Copii şi adolescenţi</w:t>
      </w:r>
    </w:p>
    <w:p w:rsidR="001D6450" w:rsidRPr="00885DAE" w:rsidRDefault="001D6450" w:rsidP="001D6450">
      <w:pPr>
        <w:spacing w:line="306" w:lineRule="auto"/>
        <w:ind w:right="166"/>
      </w:pPr>
      <w:r w:rsidRPr="00885DAE">
        <w:t xml:space="preserve">Agenţia Europeană a Medicamentului a suspendat obligaţia de depunere a rezultatelor studiilor efectuate cu </w:t>
      </w:r>
      <w:r w:rsidR="002C7694" w:rsidRPr="002C7694">
        <w:rPr>
          <w:iCs/>
          <w:u w:val="single"/>
        </w:rPr>
        <w:t>erlotinib</w:t>
      </w:r>
      <w:r w:rsidRPr="00885DAE">
        <w:t>la toate subgrupele de copii şi adolescenţi pentru indicaţiile neoplasm pulmona</w:t>
      </w:r>
      <w:r w:rsidR="00D5675E">
        <w:t xml:space="preserve"> </w:t>
      </w:r>
    </w:p>
    <w:p w:rsidR="001D6450" w:rsidRDefault="001D6450" w:rsidP="001D6450">
      <w:pPr>
        <w:spacing w:line="281" w:lineRule="auto"/>
        <w:ind w:right="300"/>
        <w:rPr>
          <w:sz w:val="20"/>
          <w:szCs w:val="20"/>
        </w:rPr>
      </w:pPr>
      <w:bookmarkStart w:id="15" w:name="page21"/>
      <w:bookmarkEnd w:id="15"/>
      <w:r>
        <w:t>cu alte tipuri de celule decât cele mici şi pentru neoplasm pancreatic (vezi pct. 4.2 pentru informaţii privind utilizarea la copii şi adolescenţi).</w:t>
      </w:r>
    </w:p>
    <w:p w:rsidR="001D6450" w:rsidRDefault="001D6450" w:rsidP="001D6450">
      <w:pPr>
        <w:spacing w:line="170" w:lineRule="exact"/>
        <w:rPr>
          <w:sz w:val="20"/>
          <w:szCs w:val="20"/>
        </w:rPr>
      </w:pPr>
    </w:p>
    <w:p w:rsidR="001D6450" w:rsidRPr="00885DAE" w:rsidRDefault="001D6450" w:rsidP="001D6450">
      <w:pPr>
        <w:tabs>
          <w:tab w:val="left" w:pos="540"/>
        </w:tabs>
      </w:pPr>
      <w:r w:rsidRPr="00D5675E">
        <w:rPr>
          <w:b/>
          <w:bCs/>
        </w:rPr>
        <w:t>5.2</w:t>
      </w:r>
      <w:r w:rsidRPr="00885DAE">
        <w:tab/>
      </w:r>
      <w:r w:rsidRPr="00885DAE">
        <w:rPr>
          <w:b/>
          <w:bCs/>
        </w:rPr>
        <w:t>Proprietăţi farmacocinetice</w:t>
      </w:r>
    </w:p>
    <w:p w:rsidR="001D6450" w:rsidRPr="00885DAE" w:rsidRDefault="001D6450" w:rsidP="001D6450">
      <w:pPr>
        <w:spacing w:line="251" w:lineRule="exact"/>
      </w:pPr>
    </w:p>
    <w:p w:rsidR="001D6450" w:rsidRPr="00885DAE" w:rsidRDefault="001D6450" w:rsidP="001D6450">
      <w:r w:rsidRPr="00D5675E">
        <w:rPr>
          <w:u w:val="single"/>
        </w:rPr>
        <w:t>Absorbţie</w:t>
      </w:r>
    </w:p>
    <w:p w:rsidR="001D6450" w:rsidRPr="00885DAE" w:rsidRDefault="001D6450" w:rsidP="001D6450">
      <w:pPr>
        <w:spacing w:line="253" w:lineRule="auto"/>
        <w:ind w:right="300"/>
      </w:pPr>
      <w:r w:rsidRPr="00D5675E">
        <w:t>După administrare orală, concentraţiile plasmatice maxime de erlotinib se obţin după aproximativ 4 ore de la administrarea orală. Un studiu efectuat la voluntari sănătoşi a dovedit o estimare a biodisponibilităţii absolute de 59%. Expunerea după administrarea unei doze orale poate fi crescută prin ingestia de alimente.</w:t>
      </w:r>
    </w:p>
    <w:p w:rsidR="001D6450" w:rsidRPr="00885DAE" w:rsidRDefault="001D6450" w:rsidP="001D6450">
      <w:pPr>
        <w:spacing w:line="197" w:lineRule="exact"/>
      </w:pPr>
    </w:p>
    <w:p w:rsidR="001D6450" w:rsidRPr="00885DAE" w:rsidRDefault="001D6450" w:rsidP="001D6450">
      <w:r w:rsidRPr="00D5675E">
        <w:rPr>
          <w:u w:val="single"/>
        </w:rPr>
        <w:t>Distribuţie</w:t>
      </w:r>
    </w:p>
    <w:p w:rsidR="001D6450" w:rsidRPr="00885DAE" w:rsidRDefault="001D6450" w:rsidP="001D6450">
      <w:pPr>
        <w:spacing w:line="243" w:lineRule="auto"/>
        <w:ind w:right="240"/>
      </w:pPr>
      <w:r w:rsidRPr="00D5675E">
        <w:t xml:space="preserve">Erlotinib are un volum aparent mediu de distri buţie de 232 l şi se distribuie în ţesutul tumoral la om. Într-un studiu efectuat la 4 pacienţi (3 pacienţi cu neoplasm pulmonar cu alte tipuri de celule decât cele mici [NSCLC] şi un pacient cu neoplasm laringian) trataţi cu doze orale zilnice de 150 mg </w:t>
      </w:r>
      <w:r w:rsidR="002C7694" w:rsidRPr="002C7694">
        <w:rPr>
          <w:iCs/>
          <w:u w:val="single"/>
        </w:rPr>
        <w:t>erlotinib</w:t>
      </w:r>
      <w:r w:rsidRPr="00D5675E">
        <w:t>, probele de ţesut tumoral obţinute prin excizie chirurgicală în Ziua 9 de tratament au demonstrat concentraţii medii de erlotinib în tumori de 1,185 ng/g de ţesut. Aceasta a corespuns la o medie generală de 63% (în intervalul 5-161%) din concentraţiile plasmatice maxime observate la starea de echilibru. Principalii metaboliţi activi au fost prezenţi în tumoră în concentraţii medii de 160 ng/g ţesut, care au corespuns la o medie generală de 113% (interval 88-130%) a concentraţiilor plasmatice maxime observate la starea de echilibru. Legarea de proteinele plasmatice este de aproximativ 95%. Erlotinibul se leagă de albuminele plasmatice şi de glicoproteina acidă alfa-1 (AAG).</w:t>
      </w:r>
    </w:p>
    <w:p w:rsidR="001D6450" w:rsidRPr="00885DAE" w:rsidRDefault="001D6450" w:rsidP="001D6450">
      <w:pPr>
        <w:spacing w:line="218" w:lineRule="exact"/>
      </w:pPr>
    </w:p>
    <w:p w:rsidR="001D6450" w:rsidRPr="00885DAE" w:rsidRDefault="001D6450" w:rsidP="001D6450">
      <w:r w:rsidRPr="00D5675E">
        <w:rPr>
          <w:u w:val="single"/>
        </w:rPr>
        <w:t>Metabolizare</w:t>
      </w:r>
    </w:p>
    <w:p w:rsidR="001D6450" w:rsidRPr="00885DAE" w:rsidRDefault="001D6450" w:rsidP="001D6450">
      <w:pPr>
        <w:spacing w:line="1" w:lineRule="exact"/>
      </w:pPr>
    </w:p>
    <w:p w:rsidR="001D6450" w:rsidRPr="00885DAE" w:rsidRDefault="001D6450" w:rsidP="001D6450">
      <w:pPr>
        <w:spacing w:line="260" w:lineRule="auto"/>
        <w:ind w:right="40"/>
        <w:jc w:val="both"/>
      </w:pPr>
      <w:r w:rsidRPr="00D5675E">
        <w:t>Erlotinib este metabolizat în ficat de citocromii hepatici umani, în special de CYP3A4 şi într-o măsură mai mică de CYP1A2. Metabolizarea extrahepatică de către CYP3A4 în intestin, CYP1A1 în plămân şi 1B1 în ţesutul tumoral contribuie potenţial la eliminarea prin metabolizare a erlotinibului.</w:t>
      </w:r>
    </w:p>
    <w:p w:rsidR="001D6450" w:rsidRPr="00885DAE" w:rsidRDefault="001D6450" w:rsidP="001D6450">
      <w:pPr>
        <w:spacing w:line="246" w:lineRule="auto"/>
      </w:pPr>
      <w:r w:rsidRPr="00D5675E">
        <w:t xml:space="preserve">Există trei căi metabolice principale identificate: 1) O-demetilare a unei catene laterale sau a ambelor, urmată de oxidare la acizi carboxilici; 2) oxidarea restului de acetilenă urmată de hidroliză până la acid arilcarboxilic; şi 3) hidroxilarea aromatică a restului fenil-acetilenă. Metaboliţii principali OSI-420 şi OSI 413 ai erlotinibului obţinuţi prin O-demetilarea lanţului lateral au potenţă comparabilă cu a erlotinibului în dozările non-clinice </w:t>
      </w:r>
      <w:r w:rsidRPr="00D5675E">
        <w:rPr>
          <w:i/>
          <w:iCs/>
        </w:rPr>
        <w:t>in vitro</w:t>
      </w:r>
      <w:r w:rsidRPr="00D5675E">
        <w:t xml:space="preserve"> din studiile preclinice şi în modelele de tumori </w:t>
      </w:r>
      <w:r w:rsidRPr="00D5675E">
        <w:rPr>
          <w:i/>
          <w:iCs/>
        </w:rPr>
        <w:t>in vivo</w:t>
      </w:r>
      <w:r w:rsidRPr="00D5675E">
        <w:t>. Aceştia sunt prezenţi în plasmă în concentraţii care sunt &lt; 10% din concentraţia erlotinibului şi prezintă o farmacocinetică similară cu a erlotinibului.</w:t>
      </w:r>
    </w:p>
    <w:p w:rsidR="001D6450" w:rsidRPr="00885DAE" w:rsidRDefault="001D6450" w:rsidP="001D6450">
      <w:pPr>
        <w:spacing w:line="210" w:lineRule="exact"/>
      </w:pPr>
    </w:p>
    <w:p w:rsidR="001D6450" w:rsidRPr="00885DAE" w:rsidRDefault="001D6450" w:rsidP="001D6450">
      <w:r w:rsidRPr="00D5675E">
        <w:rPr>
          <w:u w:val="single"/>
        </w:rPr>
        <w:t>Eliminare</w:t>
      </w:r>
    </w:p>
    <w:p w:rsidR="001D6450" w:rsidRPr="00885DAE" w:rsidRDefault="001D6450" w:rsidP="001D6450">
      <w:pPr>
        <w:spacing w:line="248" w:lineRule="auto"/>
        <w:ind w:right="40"/>
      </w:pPr>
      <w:r w:rsidRPr="00D5675E">
        <w:t xml:space="preserve">Erlotinib este eliminat predominant sub formă de metaboliţi, prin materiile fecale (&gt; 90%), cu eliminarea renală doar a unei mici cantităţi (aproximativ 9%) dintr-o doză orală. Mai puţin de 2% din doza administrată oral se elimină ca atare, nemetabolizată. Analiza farmacocinetică a unei populaţii de 591 pacienţi trataţi cu </w:t>
      </w:r>
      <w:r w:rsidR="002C7694" w:rsidRPr="002C7694">
        <w:rPr>
          <w:iCs/>
          <w:u w:val="single"/>
        </w:rPr>
        <w:t>erlotinib</w:t>
      </w:r>
      <w:r w:rsidRPr="00D5675E">
        <w:t xml:space="preserve"> în monoterapie demonstrează un clearance aparent mediu de 4,47 l/oră, cu un timp de înjumătăţire mediu de 36,2 ore. De aceea, timpul de obţinere a concentraţiei plasmatice maxime la starea de echilibru este aşteptat să fie de aproximativ 7-8 zile.</w:t>
      </w:r>
    </w:p>
    <w:p w:rsidR="001D6450" w:rsidRPr="00885DAE" w:rsidRDefault="001D6450" w:rsidP="001D6450">
      <w:pPr>
        <w:spacing w:line="203" w:lineRule="exact"/>
      </w:pPr>
    </w:p>
    <w:p w:rsidR="001D6450" w:rsidRPr="00885DAE" w:rsidRDefault="001D6450" w:rsidP="001D6450">
      <w:r w:rsidRPr="00D5675E">
        <w:rPr>
          <w:u w:val="single"/>
        </w:rPr>
        <w:t>Farmacocinetica la populaţii speciale</w:t>
      </w:r>
    </w:p>
    <w:p w:rsidR="001D6450" w:rsidRPr="00885DAE" w:rsidRDefault="001D6450" w:rsidP="001D6450">
      <w:pPr>
        <w:spacing w:line="253" w:lineRule="exact"/>
      </w:pPr>
    </w:p>
    <w:p w:rsidR="001D6450" w:rsidRPr="00885DAE" w:rsidRDefault="001D6450" w:rsidP="001D6450">
      <w:pPr>
        <w:spacing w:line="245" w:lineRule="auto"/>
      </w:pPr>
      <w:r w:rsidRPr="00D5675E">
        <w:t>Pe baza analizei farmacocinetice a populaţiilor, nu s-a observat o relaţie semnificativă clinic între clearance-ul aparent aşteptat şi vârsta pacientului, greutatea corporală, sexul şi originea etnică. Factorii individuali care au fost corelaţi cu farmacocinetica erlotinibului au fost bilirubinemia totală, AAG şi fumatul. Concentraţiile plasmatice crescute de bilirubină totală şi concentraţiile de AAG au fost asociate cu o reducere a clearance-ului erlotinibului. Relevanţa clinică a acestor diferenţe nu este clară. Cu toate acestea, fumătorii au prezentat o rată crescută a clearance-ului erlotinibului. Această observaţie a fost confirmată de un studiu farmacocinetic la subiecţii sănătoşi nefumători şi fumători activi, cărora li s-a administrat o doză unică, orală de 150 mg erlotinib. Valoarea mediei geometrice pentru C</w:t>
      </w:r>
      <w:r w:rsidRPr="00885DAE">
        <w:t xml:space="preserve"> max</w:t>
      </w:r>
      <w:r w:rsidRPr="00D5675E">
        <w:t xml:space="preserve"> a fost de 1056 ng/ml la nefumători şi de 689 ng/ml la fumători cu un raport mediu fumători comparativ cu nefumători de 65,2% (IÎ 95%: 44,3 până la 95,9, p=0,031). Valoarea mediei</w:t>
      </w:r>
      <w:r w:rsidR="00E92B41">
        <w:t xml:space="preserve"> </w:t>
      </w:r>
      <w:bookmarkStart w:id="16" w:name="page22"/>
      <w:bookmarkEnd w:id="16"/>
      <w:r w:rsidRPr="00D5675E">
        <w:t>geometrice pentru ASC</w:t>
      </w:r>
      <w:r w:rsidRPr="00885DAE">
        <w:t>0-inf</w:t>
      </w:r>
      <w:r w:rsidRPr="00D5675E">
        <w:t xml:space="preserve"> a fost de 18726 ng</w:t>
      </w:r>
      <w:r w:rsidRPr="00D5675E">
        <w:rPr>
          <w:rFonts w:ascii="Wingdings" w:eastAsia="Wingdings" w:hAnsi="Wingdings" w:cs="Wingdings"/>
          <w:b/>
          <w:bCs/>
        </w:rPr>
        <w:t></w:t>
      </w:r>
      <w:r w:rsidRPr="00D5675E">
        <w:t>oră/ml la nefumători şi de 6718 ng</w:t>
      </w:r>
      <w:r w:rsidRPr="00D5675E">
        <w:rPr>
          <w:rFonts w:ascii="Wingdings" w:eastAsia="Wingdings" w:hAnsi="Wingdings" w:cs="Wingdings"/>
          <w:b/>
          <w:bCs/>
        </w:rPr>
        <w:t></w:t>
      </w:r>
      <w:r w:rsidRPr="00D5675E">
        <w:t>oră/ml la fumători cu un raport mediu de 35,9% (IÎ 95% 23,7 până la 54,3, p&lt;0,0001). Valoarea mediei geometrice pentru C</w:t>
      </w:r>
      <w:r w:rsidRPr="00885DAE">
        <w:t>24ore</w:t>
      </w:r>
      <w:r w:rsidRPr="00D5675E">
        <w:t xml:space="preserve"> a fost de 288 ng/ml la nefumători şi de 34,8 ng/ml la fumători cu un raport mediu de 12,1% (IÎ 95% 4,82 până la 30,2, p= 0,0001). Într-un studiu pivot de fază III, efectuat la pacienţii cu NSCLC, fumătorii au atins o concentraţie plasmatică maximă la starea de echilibru a erlotinib de</w:t>
      </w:r>
      <w:r w:rsidR="00E92B41">
        <w:t xml:space="preserve"> </w:t>
      </w:r>
      <w:r w:rsidRPr="00D5675E">
        <w:t xml:space="preserve">0,65 µg/ml (n=16), care este aproximativ de 2 ori mai mică decât cea obţinută la pacienţii care au renunţat la fumat sau la cei care nu au fumat niciodată (1,28 µg/ml, n=108). Acest efect a fost însoţit de o creştere aparentă, cu 24% a clearance-ului plasmatic al erlotinibului. Într-un studiu de fază I, efectuat la pacienţi fumători cu NSCLC cărora li s-au administrat doze crescute, analiza farmacocinetică la starea de echilibru a indicat o creştere a expunerii la erlotinib proporţională cu creşterea dozei, atunci când doza de </w:t>
      </w:r>
      <w:r w:rsidR="002C7694" w:rsidRPr="002C7694">
        <w:rPr>
          <w:iCs/>
          <w:u w:val="single"/>
        </w:rPr>
        <w:t>erlotinib</w:t>
      </w:r>
      <w:r w:rsidRPr="00D5675E">
        <w:t>a fost crescută de la 150 mg la doza maximă tolerată de 300 mg. În acest studiu, la fumători, concentraţia plasmatică maximă la starea de echilibru la o doză de 300 mg a fost de 1,22 µg/ml (n=17). Vezi pct. 4.2, 4.4, 4.5 şi 5.1.</w:t>
      </w:r>
    </w:p>
    <w:p w:rsidR="001D6450" w:rsidRPr="00885DAE" w:rsidRDefault="001D6450" w:rsidP="001D6450">
      <w:pPr>
        <w:spacing w:line="209" w:lineRule="exact"/>
      </w:pPr>
    </w:p>
    <w:p w:rsidR="001D6450" w:rsidRPr="00885DAE" w:rsidRDefault="001D6450" w:rsidP="001D6450">
      <w:pPr>
        <w:spacing w:line="281" w:lineRule="auto"/>
        <w:ind w:right="20"/>
      </w:pPr>
      <w:r w:rsidRPr="00D5675E">
        <w:t xml:space="preserve">Pe baza rezultatelor studiilor de farmacocinetică, în timpul tratamentului cu </w:t>
      </w:r>
      <w:r w:rsidR="002C7694" w:rsidRPr="002C7694">
        <w:rPr>
          <w:iCs/>
          <w:u w:val="single"/>
        </w:rPr>
        <w:t>erlotinib</w:t>
      </w:r>
      <w:r w:rsidRPr="00D5675E">
        <w:t xml:space="preserve"> pacienţii fumători trebuie sfătuiţi să renunţe la fumat deoarece, în caz contrar, concentraţiile plasmatice pot fi reduse.</w:t>
      </w:r>
    </w:p>
    <w:p w:rsidR="001D6450" w:rsidRPr="00885DAE" w:rsidRDefault="001D6450" w:rsidP="001D6450">
      <w:pPr>
        <w:spacing w:line="166" w:lineRule="exact"/>
      </w:pPr>
    </w:p>
    <w:p w:rsidR="001D6450" w:rsidRPr="00885DAE" w:rsidRDefault="001D6450" w:rsidP="001D6450">
      <w:pPr>
        <w:spacing w:line="281" w:lineRule="auto"/>
        <w:ind w:right="240"/>
      </w:pPr>
      <w:r w:rsidRPr="00D5675E">
        <w:t>Pe baza analizei farmacocinetice a unei populaţii, prezenţa unui opioid pare să crească expunerea cu aproximativ 11%.</w:t>
      </w:r>
    </w:p>
    <w:p w:rsidR="001D6450" w:rsidRPr="00885DAE" w:rsidRDefault="001D6450" w:rsidP="001D6450">
      <w:pPr>
        <w:spacing w:line="168" w:lineRule="exact"/>
      </w:pPr>
    </w:p>
    <w:p w:rsidR="001D6450" w:rsidRPr="00885DAE" w:rsidRDefault="001D6450" w:rsidP="001D6450">
      <w:pPr>
        <w:spacing w:line="246" w:lineRule="auto"/>
        <w:ind w:right="60"/>
      </w:pPr>
      <w:r w:rsidRPr="00D5675E">
        <w:t>O a doua analiză farmacocinetică populaţională a fost efectuată pentru includerea datelor referitoare la erlotinib de la 204 pacienţi cu neoplasm pancreatic cărora li s-a administrat erlotinib în asociere cu gemcitabină. Covariantele care afectează clearance-ul erlotinibului la pacienţii din studiul pentru neoplasm pancreatic, aşa cum a demonstrat această analiză, au fost foarte asemănătoare cu cele observate în analiza farmacocinetică anterioară cu monoterapie. Nu s-au identificat noi efecte ale covariantelor. Administrarea concomitentă de gemcitabină nu a prezentat niciun efect asupra clearance-ului plasmatic al erlotinibului.</w:t>
      </w:r>
    </w:p>
    <w:p w:rsidR="001D6450" w:rsidRPr="00885DAE" w:rsidRDefault="001D6450" w:rsidP="001D6450">
      <w:pPr>
        <w:spacing w:line="208" w:lineRule="exact"/>
      </w:pPr>
    </w:p>
    <w:p w:rsidR="001D6450" w:rsidRPr="00885DAE" w:rsidRDefault="001D6450" w:rsidP="001D6450">
      <w:r w:rsidRPr="00D5675E">
        <w:rPr>
          <w:i/>
          <w:iCs/>
        </w:rPr>
        <w:t>Copii şi adolescenţi</w:t>
      </w:r>
    </w:p>
    <w:p w:rsidR="001D6450" w:rsidRPr="00885DAE" w:rsidRDefault="001D6450" w:rsidP="001D6450">
      <w:r w:rsidRPr="00D5675E">
        <w:t>Nu s-au efectuat studii specifice la copii şi adolescenţi.</w:t>
      </w:r>
    </w:p>
    <w:p w:rsidR="001D6450" w:rsidRPr="00885DAE" w:rsidRDefault="001D6450" w:rsidP="001D6450">
      <w:pPr>
        <w:spacing w:line="255" w:lineRule="exact"/>
      </w:pPr>
    </w:p>
    <w:p w:rsidR="001D6450" w:rsidRPr="00885DAE" w:rsidRDefault="001D6450" w:rsidP="001D6450">
      <w:r w:rsidRPr="00D5675E">
        <w:rPr>
          <w:i/>
          <w:iCs/>
        </w:rPr>
        <w:t>Vârstnici</w:t>
      </w:r>
    </w:p>
    <w:p w:rsidR="001D6450" w:rsidRPr="00885DAE" w:rsidRDefault="001D6450" w:rsidP="001D6450">
      <w:r w:rsidRPr="00D5675E">
        <w:t>Nu s-au efectuat studii specifice la pacienţi vârstnici.</w:t>
      </w:r>
    </w:p>
    <w:p w:rsidR="001D6450" w:rsidRPr="00885DAE" w:rsidRDefault="001D6450" w:rsidP="001D6450">
      <w:pPr>
        <w:spacing w:line="252" w:lineRule="exact"/>
      </w:pPr>
    </w:p>
    <w:p w:rsidR="001D6450" w:rsidRPr="00885DAE" w:rsidRDefault="001D6450" w:rsidP="001D6450">
      <w:r w:rsidRPr="00D5675E">
        <w:rPr>
          <w:i/>
          <w:iCs/>
        </w:rPr>
        <w:t>Insuficienţă hepatică</w:t>
      </w:r>
    </w:p>
    <w:p w:rsidR="001D6450" w:rsidRPr="00885DAE" w:rsidRDefault="001D6450" w:rsidP="001D6450">
      <w:pPr>
        <w:ind w:right="520"/>
      </w:pPr>
      <w:r w:rsidRPr="00D5675E">
        <w:t>Erlotinib este metabolizat în special în ficat. La pacienţii cu tumori solide şi insuficienţă hepatică moderată (scor Child-Pugh 7-9), media geometrică a ASC</w:t>
      </w:r>
      <w:r w:rsidRPr="00885DAE">
        <w:t>0-t</w:t>
      </w:r>
      <w:r w:rsidRPr="00D5675E">
        <w:t xml:space="preserve"> şi C</w:t>
      </w:r>
      <w:r w:rsidRPr="00885DAE">
        <w:t>max</w:t>
      </w:r>
      <w:r w:rsidRPr="00D5675E">
        <w:t xml:space="preserve"> pentru erlotinib au fost de</w:t>
      </w:r>
    </w:p>
    <w:p w:rsidR="001D6450" w:rsidRPr="00885DAE" w:rsidRDefault="001D6450" w:rsidP="001D6450">
      <w:pPr>
        <w:spacing w:line="246" w:lineRule="auto"/>
        <w:ind w:right="40"/>
      </w:pPr>
      <w:r w:rsidRPr="00D5675E">
        <w:t>27000 ng•h/ml, respectiv 805 ng/ml, comparativ cu 29300 ng•h/ml şi 1090 ng/ml la pacienţii cu funcţie hepatică normală, incluzând pacienţii cu neoplasm hepatic primar sau metastaze hepatice. Deşi C</w:t>
      </w:r>
      <w:r w:rsidRPr="00885DAE">
        <w:t>max</w:t>
      </w:r>
      <w:r w:rsidRPr="00D5675E">
        <w:t xml:space="preserve"> a fost semnificativ mai mică la pacienţii cu insuficienţă hepatică moderată, această diferenţă nu este considerată relevantă clinic. Nu sunt disponibile date cu privire la influenţa disfuncţiei hepatice severe asupra farmacocineticii erlotinibului. În analiza farmacocinetică a unei populaţii, concentraţiile plasmatice crescute ale bilirubinei totale s-au asociat cu o rată mai scăzută a clearance-ului erlotinibului.</w:t>
      </w:r>
    </w:p>
    <w:p w:rsidR="001D6450" w:rsidRPr="00885DAE" w:rsidRDefault="001D6450" w:rsidP="001D6450">
      <w:pPr>
        <w:spacing w:line="207" w:lineRule="exact"/>
      </w:pPr>
    </w:p>
    <w:p w:rsidR="001D6450" w:rsidRPr="00885DAE" w:rsidRDefault="001D6450" w:rsidP="001D6450">
      <w:r w:rsidRPr="00D5675E">
        <w:rPr>
          <w:i/>
          <w:iCs/>
        </w:rPr>
        <w:t>Insuficienţă renală</w:t>
      </w:r>
    </w:p>
    <w:p w:rsidR="001D6450" w:rsidRPr="00885DAE" w:rsidRDefault="001D6450" w:rsidP="001D6450">
      <w:pPr>
        <w:spacing w:line="253" w:lineRule="auto"/>
        <w:ind w:right="400"/>
      </w:pPr>
      <w:r w:rsidRPr="00D5675E">
        <w:t>Erlotinib şi metaboliţii săi nu se elimină semnificativ pe cale renală, deoarece sub 9% dintr-o doză unică se elimină în urină. În analiza farmacocinetică a unei populaţii nu s-a observat nicio relaţie semnificativă clinic între clearance-ul erlotinibului şi clearance-ul creatininei, dar nu sunt date disponibile pentru pacienţii cu clearance-ul creatininei &lt; 15 ml/minut.</w:t>
      </w:r>
    </w:p>
    <w:p w:rsidR="001D6450" w:rsidRPr="00885DAE" w:rsidRDefault="001D6450" w:rsidP="001D6450">
      <w:pPr>
        <w:spacing w:line="199" w:lineRule="exact"/>
      </w:pPr>
    </w:p>
    <w:p w:rsidR="001D6450" w:rsidRPr="00885DAE" w:rsidRDefault="001D6450" w:rsidP="001D6450">
      <w:pPr>
        <w:tabs>
          <w:tab w:val="left" w:pos="540"/>
        </w:tabs>
      </w:pPr>
      <w:r w:rsidRPr="00D5675E">
        <w:rPr>
          <w:b/>
          <w:bCs/>
        </w:rPr>
        <w:t>5.3</w:t>
      </w:r>
      <w:r w:rsidRPr="00885DAE">
        <w:tab/>
      </w:r>
      <w:r w:rsidRPr="00D5675E">
        <w:rPr>
          <w:b/>
          <w:bCs/>
        </w:rPr>
        <w:t>Date preclinice de siguranţă</w:t>
      </w:r>
    </w:p>
    <w:p w:rsidR="001D6450" w:rsidRPr="00885DAE" w:rsidRDefault="001D6450" w:rsidP="001D6450">
      <w:pPr>
        <w:spacing w:line="252" w:lineRule="exact"/>
      </w:pPr>
    </w:p>
    <w:p w:rsidR="001D6450" w:rsidRPr="00885DAE" w:rsidRDefault="001D6450" w:rsidP="00885DAE">
      <w:pPr>
        <w:spacing w:line="260" w:lineRule="auto"/>
        <w:ind w:right="446"/>
      </w:pPr>
      <w:r w:rsidRPr="00D5675E">
        <w:t>Efectele administrării cronice observate la cel puţin o specie de animal sau într-un studiu au inclus efecte asupra corneei (atrofie, ulceraţie), pielii (degenerare foliculară şi inflamaţie, eritem şi alopecie), ovarelor (atrofie), ficatului (necroză hepatică), rinichiului (necroză renală papilară şi dilataţie tubulară) şi tractului gastrointestinal (golire gastrică întârziată şi diaree). Parametrii eritrocitari au fost scăzuţi şi</w:t>
      </w:r>
      <w:bookmarkStart w:id="17" w:name="page23"/>
      <w:bookmarkEnd w:id="17"/>
      <w:r w:rsidRPr="00D5675E">
        <w:t>leucocitele, în special neutrofilele, au fost crescute. S-au evidenţiat creşteri ale ALT, AST şi ale bilirubinei datorate tratamentului. Aceste constatări s-au obsevat la concentraţii sub concentraţiile relevante clinic.</w:t>
      </w:r>
    </w:p>
    <w:p w:rsidR="001D6450" w:rsidRPr="00885DAE" w:rsidRDefault="001D6450" w:rsidP="001D6450">
      <w:pPr>
        <w:spacing w:line="190" w:lineRule="exact"/>
      </w:pPr>
    </w:p>
    <w:p w:rsidR="001D6450" w:rsidRPr="00885DAE" w:rsidRDefault="001D6450" w:rsidP="001D6450">
      <w:pPr>
        <w:spacing w:line="248" w:lineRule="auto"/>
        <w:ind w:left="2" w:right="6"/>
      </w:pPr>
      <w:r w:rsidRPr="00D5675E">
        <w:t>Pe baza modului de acţiune, erlotinibul are potenţial teratogen. Datele din studiile toxicologice asupra funcţiei de reproducere la şobolan şi la iepure, la doze apropiate dozei maxime tolerate şi/sau la doze toxice materne au demonstrat toxicitate asupra funcţiei de reproducere (embriotoxicitate la şobolan, embrioresorbţie şi fetotoxicitate la iepure) şi toxicitate asupra dezvoltării (scăderea creşterii puilor şi supravieţuire la şobolan), dar dozele nu au fost teratogene şi nu au afectat fertilitatea. Aceste constatări s-au observat la expuneri relevante clinic.</w:t>
      </w:r>
    </w:p>
    <w:p w:rsidR="001D6450" w:rsidRPr="00885DAE" w:rsidRDefault="001D6450" w:rsidP="001D6450">
      <w:pPr>
        <w:spacing w:line="202" w:lineRule="exact"/>
      </w:pPr>
    </w:p>
    <w:p w:rsidR="001D6450" w:rsidRPr="00885DAE" w:rsidRDefault="001D6450" w:rsidP="001D6450">
      <w:pPr>
        <w:spacing w:line="253" w:lineRule="auto"/>
        <w:ind w:left="2" w:right="146"/>
      </w:pPr>
      <w:r w:rsidRPr="00D5675E">
        <w:t>În studiile convenţionale de genotoxicitate, rezultatele obţinute pentru erlotinib au fost negative. Studiile privind carcinogenitatea, cu durata de doi ani, efectuate cu erlotinib la şoareci şi şobolani, nu au evidenţiat niciun efect carcinogen până la expuneri care depăşesc expunerea terapeutică la om (până la de 2 ori şi, respectiv 10 ori mai mari, pe baza C</w:t>
      </w:r>
      <w:r w:rsidRPr="00885DAE">
        <w:t>max</w:t>
      </w:r>
      <w:r w:rsidRPr="00D5675E">
        <w:t xml:space="preserve"> şi/sau a ASC).</w:t>
      </w:r>
    </w:p>
    <w:p w:rsidR="001D6450" w:rsidRPr="00885DAE" w:rsidRDefault="001D6450" w:rsidP="001D6450">
      <w:pPr>
        <w:spacing w:line="199" w:lineRule="exact"/>
      </w:pPr>
    </w:p>
    <w:p w:rsidR="001D6450" w:rsidRDefault="001D6450" w:rsidP="002F49AA">
      <w:pPr>
        <w:ind w:left="2"/>
      </w:pPr>
      <w:r w:rsidRPr="00D5675E">
        <w:t>După iradiere UV, s-a observat la şobolan o uşoară reacţie cutanată fototoxică.</w:t>
      </w:r>
    </w:p>
    <w:p w:rsidR="002C7694" w:rsidRDefault="002C7694" w:rsidP="002F49AA">
      <w:pPr>
        <w:ind w:left="2"/>
      </w:pPr>
    </w:p>
    <w:p w:rsidR="002C7694" w:rsidRPr="00885DAE" w:rsidRDefault="002C7694" w:rsidP="002F49AA">
      <w:pPr>
        <w:ind w:left="2"/>
      </w:pPr>
    </w:p>
    <w:p w:rsidR="001D6450" w:rsidRPr="00D5675E" w:rsidRDefault="001D6450" w:rsidP="001D6450">
      <w:pPr>
        <w:widowControl/>
        <w:numPr>
          <w:ilvl w:val="0"/>
          <w:numId w:val="13"/>
        </w:numPr>
        <w:tabs>
          <w:tab w:val="left" w:pos="562"/>
        </w:tabs>
        <w:autoSpaceDE/>
        <w:autoSpaceDN/>
        <w:ind w:left="562" w:hanging="562"/>
        <w:rPr>
          <w:b/>
          <w:bCs/>
        </w:rPr>
      </w:pPr>
      <w:r w:rsidRPr="00D5675E">
        <w:rPr>
          <w:b/>
          <w:bCs/>
        </w:rPr>
        <w:t>PROPRIETĂŢI FARMACEUTICE</w:t>
      </w:r>
    </w:p>
    <w:p w:rsidR="001D6450" w:rsidRPr="00885DAE" w:rsidRDefault="001D6450" w:rsidP="001D6450">
      <w:pPr>
        <w:spacing w:line="253" w:lineRule="exact"/>
      </w:pPr>
    </w:p>
    <w:p w:rsidR="001D6450" w:rsidRPr="00885DAE" w:rsidRDefault="001D6450" w:rsidP="001D6450">
      <w:pPr>
        <w:tabs>
          <w:tab w:val="left" w:pos="541"/>
        </w:tabs>
        <w:ind w:left="2"/>
      </w:pPr>
      <w:r w:rsidRPr="00D5675E">
        <w:rPr>
          <w:b/>
          <w:bCs/>
        </w:rPr>
        <w:t>6.1</w:t>
      </w:r>
      <w:r w:rsidRPr="00D5675E">
        <w:rPr>
          <w:b/>
          <w:bCs/>
        </w:rPr>
        <w:tab/>
        <w:t>Lista excipienţilor</w:t>
      </w:r>
    </w:p>
    <w:p w:rsidR="001D6450" w:rsidRPr="00885DAE" w:rsidRDefault="001D6450" w:rsidP="001D6450">
      <w:pPr>
        <w:spacing w:line="252" w:lineRule="exact"/>
      </w:pPr>
    </w:p>
    <w:p w:rsidR="001D6450" w:rsidRPr="00885DAE" w:rsidRDefault="001D6450" w:rsidP="001D6450">
      <w:pPr>
        <w:ind w:left="2"/>
      </w:pPr>
      <w:r w:rsidRPr="00D5675E">
        <w:rPr>
          <w:u w:val="single"/>
        </w:rPr>
        <w:t>Nucleu</w:t>
      </w:r>
    </w:p>
    <w:p w:rsidR="001D6450" w:rsidRPr="00D5675E" w:rsidRDefault="001D6450" w:rsidP="001D6450">
      <w:pPr>
        <w:ind w:left="2"/>
      </w:pPr>
      <w:r w:rsidRPr="00D5675E">
        <w:t>Lactoză monohidrat</w:t>
      </w:r>
    </w:p>
    <w:p w:rsidR="00F271A7" w:rsidRPr="00D5675E" w:rsidRDefault="00F271A7" w:rsidP="001D6450">
      <w:pPr>
        <w:ind w:left="2"/>
      </w:pPr>
      <w:r w:rsidRPr="00D5675E">
        <w:t>Celuloză microcristalină si hidrogen fosfat de calciu anhidru</w:t>
      </w:r>
    </w:p>
    <w:p w:rsidR="00F271A7" w:rsidRPr="00D5675E" w:rsidRDefault="00F271A7" w:rsidP="001D6450">
      <w:pPr>
        <w:ind w:left="2"/>
      </w:pPr>
      <w:r w:rsidRPr="00D5675E">
        <w:t>Amidon glicolat de sodiu</w:t>
      </w:r>
    </w:p>
    <w:p w:rsidR="00F271A7" w:rsidRPr="00D5675E" w:rsidRDefault="002C7694" w:rsidP="001D6450">
      <w:pPr>
        <w:ind w:left="2"/>
      </w:pPr>
      <w:r>
        <w:t>Dioxid de s</w:t>
      </w:r>
      <w:r w:rsidR="00F271A7" w:rsidRPr="00D5675E">
        <w:t>iliciu coloidal anhidru</w:t>
      </w:r>
    </w:p>
    <w:p w:rsidR="001D6450" w:rsidRPr="00885DAE" w:rsidRDefault="001D6450" w:rsidP="001D6450">
      <w:pPr>
        <w:ind w:left="2"/>
      </w:pPr>
      <w:r w:rsidRPr="00D5675E">
        <w:t>Celuloză microcristalină (E 460)</w:t>
      </w:r>
    </w:p>
    <w:p w:rsidR="001D6450" w:rsidRPr="00885DAE" w:rsidRDefault="001D6450" w:rsidP="001D6450">
      <w:pPr>
        <w:ind w:left="2"/>
      </w:pPr>
      <w:r w:rsidRPr="00D5675E">
        <w:t>Laurilsulfat de sodiu</w:t>
      </w:r>
    </w:p>
    <w:p w:rsidR="001D6450" w:rsidRPr="00885DAE" w:rsidRDefault="001D6450" w:rsidP="001D6450">
      <w:pPr>
        <w:ind w:left="2"/>
      </w:pPr>
      <w:r w:rsidRPr="00D5675E">
        <w:t>Stearat de magneziu (E 470 b)</w:t>
      </w:r>
    </w:p>
    <w:p w:rsidR="001D6450" w:rsidRPr="00885DAE" w:rsidRDefault="001D6450" w:rsidP="001D6450">
      <w:pPr>
        <w:spacing w:line="253" w:lineRule="exact"/>
      </w:pPr>
    </w:p>
    <w:p w:rsidR="001D6450" w:rsidRPr="00885DAE" w:rsidRDefault="001D6450" w:rsidP="001D6450">
      <w:pPr>
        <w:ind w:left="2"/>
      </w:pPr>
      <w:r w:rsidRPr="00D5675E">
        <w:rPr>
          <w:u w:val="single"/>
        </w:rPr>
        <w:t>Film</w:t>
      </w:r>
    </w:p>
    <w:p w:rsidR="00F271A7" w:rsidRPr="00885DAE" w:rsidRDefault="00F271A7" w:rsidP="00F271A7">
      <w:pPr>
        <w:ind w:left="2"/>
      </w:pPr>
      <w:r w:rsidRPr="00D5675E">
        <w:t>Hipromeloză (E 464)</w:t>
      </w:r>
    </w:p>
    <w:p w:rsidR="001D6450" w:rsidRPr="00885DAE" w:rsidRDefault="001D6450" w:rsidP="001D6450">
      <w:pPr>
        <w:ind w:left="2"/>
      </w:pPr>
      <w:r w:rsidRPr="00D5675E">
        <w:t>Hidroxipropilceluloză (E 463)</w:t>
      </w:r>
    </w:p>
    <w:p w:rsidR="001D6450" w:rsidRPr="00885DAE" w:rsidRDefault="001D6450" w:rsidP="001D6450">
      <w:pPr>
        <w:ind w:left="2"/>
      </w:pPr>
      <w:r w:rsidRPr="00D5675E">
        <w:t>Dioxid de titan (E 171)</w:t>
      </w:r>
    </w:p>
    <w:p w:rsidR="001D6450" w:rsidRPr="00885DAE" w:rsidRDefault="001D6450" w:rsidP="001D6450">
      <w:pPr>
        <w:spacing w:line="239" w:lineRule="auto"/>
        <w:ind w:left="2"/>
      </w:pPr>
      <w:r w:rsidRPr="00D5675E">
        <w:t>Macrogol</w:t>
      </w:r>
    </w:p>
    <w:p w:rsidR="001D6450" w:rsidRPr="00885DAE" w:rsidRDefault="001D6450" w:rsidP="001D6450">
      <w:pPr>
        <w:spacing w:line="255" w:lineRule="exact"/>
      </w:pPr>
    </w:p>
    <w:p w:rsidR="001D6450" w:rsidRPr="00885DAE" w:rsidRDefault="001D6450" w:rsidP="001D6450">
      <w:pPr>
        <w:tabs>
          <w:tab w:val="left" w:pos="541"/>
        </w:tabs>
        <w:ind w:left="2"/>
      </w:pPr>
      <w:r w:rsidRPr="00D5675E">
        <w:rPr>
          <w:b/>
          <w:bCs/>
        </w:rPr>
        <w:t>6.2</w:t>
      </w:r>
      <w:r w:rsidRPr="00D5675E">
        <w:rPr>
          <w:b/>
          <w:bCs/>
        </w:rPr>
        <w:tab/>
        <w:t>Incompatibilităţi</w:t>
      </w:r>
    </w:p>
    <w:p w:rsidR="001D6450" w:rsidRPr="00885DAE" w:rsidRDefault="001D6450" w:rsidP="001D6450">
      <w:pPr>
        <w:spacing w:line="252" w:lineRule="exact"/>
      </w:pPr>
    </w:p>
    <w:p w:rsidR="001D6450" w:rsidRPr="00885DAE" w:rsidRDefault="001D6450" w:rsidP="001D6450">
      <w:pPr>
        <w:ind w:left="2"/>
      </w:pPr>
      <w:r w:rsidRPr="00D5675E">
        <w:t>Nu este cazul.</w:t>
      </w:r>
    </w:p>
    <w:p w:rsidR="001D6450" w:rsidRPr="00885DAE" w:rsidRDefault="001D6450" w:rsidP="001D6450">
      <w:pPr>
        <w:spacing w:line="255" w:lineRule="exact"/>
      </w:pPr>
    </w:p>
    <w:p w:rsidR="001D6450" w:rsidRPr="00885DAE" w:rsidRDefault="001D6450" w:rsidP="001D6450">
      <w:pPr>
        <w:tabs>
          <w:tab w:val="left" w:pos="541"/>
        </w:tabs>
        <w:ind w:left="2"/>
      </w:pPr>
      <w:r w:rsidRPr="00D5675E">
        <w:rPr>
          <w:b/>
          <w:bCs/>
        </w:rPr>
        <w:t>6.3</w:t>
      </w:r>
      <w:r w:rsidRPr="00D5675E">
        <w:rPr>
          <w:b/>
          <w:bCs/>
        </w:rPr>
        <w:tab/>
        <w:t>Perioada de valabilitate</w:t>
      </w:r>
    </w:p>
    <w:p w:rsidR="001D6450" w:rsidRPr="00885DAE" w:rsidRDefault="001D6450" w:rsidP="001D6450">
      <w:pPr>
        <w:spacing w:line="252" w:lineRule="exact"/>
      </w:pPr>
    </w:p>
    <w:p w:rsidR="001D6450" w:rsidRPr="00885DAE" w:rsidRDefault="00F271A7" w:rsidP="001D6450">
      <w:pPr>
        <w:ind w:left="2"/>
      </w:pPr>
      <w:r w:rsidRPr="00D5675E">
        <w:t>3</w:t>
      </w:r>
      <w:r w:rsidR="001D6450" w:rsidRPr="00D5675E">
        <w:t xml:space="preserve"> ani.</w:t>
      </w:r>
    </w:p>
    <w:p w:rsidR="001D6450" w:rsidRPr="00885DAE" w:rsidRDefault="001D6450" w:rsidP="001D6450">
      <w:pPr>
        <w:spacing w:line="252" w:lineRule="exact"/>
      </w:pPr>
    </w:p>
    <w:p w:rsidR="001D6450" w:rsidRPr="00885DAE" w:rsidRDefault="001D6450" w:rsidP="001D6450">
      <w:pPr>
        <w:tabs>
          <w:tab w:val="left" w:pos="541"/>
        </w:tabs>
        <w:ind w:left="2"/>
      </w:pPr>
      <w:r w:rsidRPr="00D5675E">
        <w:rPr>
          <w:b/>
          <w:bCs/>
        </w:rPr>
        <w:t>6.4</w:t>
      </w:r>
      <w:r w:rsidRPr="00885DAE">
        <w:tab/>
      </w:r>
      <w:r w:rsidRPr="00885DAE">
        <w:rPr>
          <w:b/>
          <w:bCs/>
        </w:rPr>
        <w:t>Precauţii speciale pentru păstrare</w:t>
      </w:r>
    </w:p>
    <w:p w:rsidR="00C36EBF" w:rsidRPr="00D5675E" w:rsidRDefault="00C36EBF" w:rsidP="001D6450">
      <w:pPr>
        <w:ind w:left="2"/>
      </w:pPr>
    </w:p>
    <w:p w:rsidR="001D6450" w:rsidRPr="00885DAE" w:rsidRDefault="001D6450" w:rsidP="001D6450">
      <w:pPr>
        <w:ind w:left="2"/>
      </w:pPr>
      <w:r w:rsidRPr="00D5675E">
        <w:t>Nu sunt necesare condiţii speciale de păstrare.</w:t>
      </w:r>
    </w:p>
    <w:p w:rsidR="001D6450" w:rsidRPr="00885DAE" w:rsidRDefault="001D6450" w:rsidP="001D6450">
      <w:pPr>
        <w:spacing w:line="255" w:lineRule="exact"/>
      </w:pPr>
    </w:p>
    <w:p w:rsidR="001D6450" w:rsidRPr="00885DAE" w:rsidRDefault="001D6450" w:rsidP="001D6450">
      <w:pPr>
        <w:tabs>
          <w:tab w:val="left" w:pos="541"/>
        </w:tabs>
        <w:ind w:left="2"/>
      </w:pPr>
      <w:r w:rsidRPr="00D5675E">
        <w:rPr>
          <w:b/>
          <w:bCs/>
        </w:rPr>
        <w:t>6.5</w:t>
      </w:r>
      <w:r w:rsidRPr="00885DAE">
        <w:tab/>
      </w:r>
      <w:r w:rsidRPr="00D5675E">
        <w:rPr>
          <w:b/>
          <w:bCs/>
        </w:rPr>
        <w:t>Natura şi conţinutul ambalajului</w:t>
      </w:r>
    </w:p>
    <w:p w:rsidR="001D6450" w:rsidRPr="00885DAE" w:rsidRDefault="001D6450" w:rsidP="001D6450">
      <w:pPr>
        <w:spacing w:line="252" w:lineRule="exact"/>
      </w:pPr>
    </w:p>
    <w:p w:rsidR="00C36EBF" w:rsidRPr="00D5675E" w:rsidRDefault="001D6450" w:rsidP="001D6450">
      <w:pPr>
        <w:ind w:left="2"/>
      </w:pPr>
      <w:r w:rsidRPr="00D5675E">
        <w:t xml:space="preserve">Blister din </w:t>
      </w:r>
      <w:r w:rsidR="00C36EBF" w:rsidRPr="00D5675E">
        <w:t>oPA</w:t>
      </w:r>
      <w:r w:rsidR="002C7694">
        <w:t>-</w:t>
      </w:r>
      <w:r w:rsidR="00C36EBF" w:rsidRPr="00D5675E">
        <w:t>Al</w:t>
      </w:r>
      <w:r w:rsidR="002C7694">
        <w:t>-</w:t>
      </w:r>
      <w:r w:rsidR="00C36EBF" w:rsidRPr="00D5675E">
        <w:t>PVC/Al.</w:t>
      </w:r>
    </w:p>
    <w:p w:rsidR="00C36EBF" w:rsidRPr="00D5675E" w:rsidRDefault="00C36EBF" w:rsidP="001D6450">
      <w:pPr>
        <w:ind w:left="2"/>
      </w:pPr>
    </w:p>
    <w:p w:rsidR="001D6450" w:rsidRPr="00885DAE" w:rsidRDefault="00C36EBF" w:rsidP="00885DAE">
      <w:pPr>
        <w:ind w:left="2"/>
      </w:pPr>
      <w:r w:rsidRPr="00D5675E">
        <w:t xml:space="preserve">Ambalaj ce </w:t>
      </w:r>
      <w:r w:rsidR="001D6450" w:rsidRPr="00D5675E">
        <w:t>conţine 30 comprimate.</w:t>
      </w:r>
    </w:p>
    <w:p w:rsidR="002C7694" w:rsidRDefault="002C7694" w:rsidP="001D6450">
      <w:pPr>
        <w:tabs>
          <w:tab w:val="left" w:pos="541"/>
        </w:tabs>
        <w:ind w:left="2"/>
        <w:rPr>
          <w:b/>
          <w:bCs/>
        </w:rPr>
      </w:pPr>
    </w:p>
    <w:p w:rsidR="001D6450" w:rsidRPr="00885DAE" w:rsidRDefault="001D6450" w:rsidP="001D6450">
      <w:pPr>
        <w:tabs>
          <w:tab w:val="left" w:pos="541"/>
        </w:tabs>
        <w:ind w:left="2"/>
      </w:pPr>
      <w:r w:rsidRPr="00D5675E">
        <w:rPr>
          <w:b/>
          <w:bCs/>
        </w:rPr>
        <w:t>6.6</w:t>
      </w:r>
      <w:r w:rsidRPr="00885DAE">
        <w:tab/>
      </w:r>
      <w:r w:rsidRPr="00D5675E">
        <w:rPr>
          <w:b/>
          <w:bCs/>
        </w:rPr>
        <w:t>Precauţii speciale pentru eliminarea reziduurilor</w:t>
      </w:r>
    </w:p>
    <w:p w:rsidR="001D6450" w:rsidRPr="00885DAE" w:rsidRDefault="001D6450" w:rsidP="001D6450">
      <w:pPr>
        <w:spacing w:line="251" w:lineRule="exact"/>
      </w:pPr>
    </w:p>
    <w:p w:rsidR="001D6450" w:rsidRPr="00885DAE" w:rsidRDefault="001D6450" w:rsidP="001D6450">
      <w:pPr>
        <w:ind w:left="2"/>
      </w:pPr>
      <w:r w:rsidRPr="00D5675E">
        <w:t>Fără cerinţe speciale la eliminare.</w:t>
      </w:r>
    </w:p>
    <w:p w:rsidR="001D6450" w:rsidRDefault="001D6450" w:rsidP="00885DAE">
      <w:pPr>
        <w:spacing w:line="279" w:lineRule="auto"/>
        <w:ind w:left="2" w:right="226"/>
        <w:rPr>
          <w:sz w:val="20"/>
          <w:szCs w:val="20"/>
        </w:rPr>
      </w:pPr>
      <w:r w:rsidRPr="00D5675E">
        <w:t>Orice medicament neutilizat sau material rezidual trebuie eliminat în conformitate cu reglementările locale.</w:t>
      </w:r>
      <w:bookmarkStart w:id="18" w:name="page24"/>
      <w:bookmarkEnd w:id="18"/>
    </w:p>
    <w:p w:rsidR="00E92B41" w:rsidRDefault="00E92B41" w:rsidP="00885DAE">
      <w:pPr>
        <w:spacing w:line="279" w:lineRule="auto"/>
        <w:ind w:left="2" w:right="226"/>
        <w:rPr>
          <w:sz w:val="20"/>
          <w:szCs w:val="20"/>
        </w:rPr>
      </w:pPr>
    </w:p>
    <w:p w:rsidR="002C7694" w:rsidRDefault="002C7694" w:rsidP="00885DAE">
      <w:pPr>
        <w:spacing w:line="279" w:lineRule="auto"/>
        <w:ind w:left="2" w:right="226"/>
        <w:rPr>
          <w:sz w:val="20"/>
          <w:szCs w:val="20"/>
        </w:rPr>
      </w:pPr>
    </w:p>
    <w:p w:rsidR="001D6450" w:rsidRDefault="001D6450" w:rsidP="001D6450">
      <w:pPr>
        <w:widowControl/>
        <w:numPr>
          <w:ilvl w:val="0"/>
          <w:numId w:val="14"/>
        </w:numPr>
        <w:tabs>
          <w:tab w:val="left" w:pos="562"/>
        </w:tabs>
        <w:autoSpaceDE/>
        <w:autoSpaceDN/>
        <w:ind w:left="562" w:hanging="562"/>
        <w:rPr>
          <w:b/>
          <w:bCs/>
        </w:rPr>
      </w:pPr>
      <w:r>
        <w:rPr>
          <w:b/>
          <w:bCs/>
        </w:rPr>
        <w:t>DEŢINĂTORUL AUTORIZAŢIEI DE PUNERE PE PIAŢĂ</w:t>
      </w:r>
    </w:p>
    <w:p w:rsidR="001D6450" w:rsidRDefault="001D6450" w:rsidP="001D6450">
      <w:pPr>
        <w:spacing w:line="252" w:lineRule="exact"/>
        <w:rPr>
          <w:sz w:val="20"/>
          <w:szCs w:val="20"/>
        </w:rPr>
      </w:pPr>
    </w:p>
    <w:p w:rsidR="00E92B41" w:rsidRDefault="00E92B41" w:rsidP="00E92B41">
      <w:pPr>
        <w:spacing w:line="252" w:lineRule="exact"/>
      </w:pPr>
      <w:r>
        <w:t>Alkaloid-INT d.o.o.</w:t>
      </w:r>
    </w:p>
    <w:p w:rsidR="00E92B41" w:rsidRDefault="00E92B41" w:rsidP="00E92B41">
      <w:pPr>
        <w:spacing w:line="252" w:lineRule="exact"/>
      </w:pPr>
      <w:r>
        <w:t>Šlandrova ulica 4</w:t>
      </w:r>
    </w:p>
    <w:p w:rsidR="00E92B41" w:rsidRDefault="00E92B41" w:rsidP="00E92B41">
      <w:pPr>
        <w:spacing w:line="252" w:lineRule="exact"/>
      </w:pPr>
      <w:r>
        <w:t>1231 Ljubljana-Črnuče, Slovenia</w:t>
      </w:r>
    </w:p>
    <w:p w:rsidR="00E92B41" w:rsidRDefault="00E92B41" w:rsidP="00E92B41">
      <w:pPr>
        <w:spacing w:line="252" w:lineRule="exact"/>
      </w:pPr>
      <w:r>
        <w:t>Tel.: + 386 1 300 42 90</w:t>
      </w:r>
    </w:p>
    <w:p w:rsidR="00E92B41" w:rsidRDefault="00E92B41" w:rsidP="00E92B41">
      <w:pPr>
        <w:spacing w:line="252" w:lineRule="exact"/>
      </w:pPr>
      <w:r>
        <w:t>Fax: + 386 1 300 42 91</w:t>
      </w:r>
    </w:p>
    <w:p w:rsidR="001D6450" w:rsidRDefault="00E92B41" w:rsidP="001D6450">
      <w:pPr>
        <w:spacing w:line="200" w:lineRule="exact"/>
        <w:rPr>
          <w:sz w:val="20"/>
          <w:szCs w:val="20"/>
        </w:rPr>
      </w:pPr>
      <w:r>
        <w:t xml:space="preserve">email: </w:t>
      </w:r>
      <w:hyperlink r:id="rId16" w:history="1">
        <w:r w:rsidRPr="0080227E">
          <w:rPr>
            <w:rStyle w:val="Hyperlink"/>
          </w:rPr>
          <w:t>info@alkaloid.si</w:t>
        </w:r>
      </w:hyperlink>
      <w:r>
        <w:t xml:space="preserve"> </w:t>
      </w:r>
    </w:p>
    <w:p w:rsidR="001D6450" w:rsidRDefault="001D6450" w:rsidP="001D6450">
      <w:pPr>
        <w:spacing w:line="309" w:lineRule="exact"/>
        <w:rPr>
          <w:sz w:val="20"/>
          <w:szCs w:val="20"/>
        </w:rPr>
      </w:pPr>
    </w:p>
    <w:p w:rsidR="002C7694" w:rsidRDefault="002C7694" w:rsidP="001D6450">
      <w:pPr>
        <w:spacing w:line="309" w:lineRule="exact"/>
        <w:rPr>
          <w:sz w:val="20"/>
          <w:szCs w:val="20"/>
        </w:rPr>
      </w:pPr>
    </w:p>
    <w:p w:rsidR="001D6450" w:rsidRDefault="001D6450" w:rsidP="001D6450">
      <w:pPr>
        <w:widowControl/>
        <w:numPr>
          <w:ilvl w:val="0"/>
          <w:numId w:val="15"/>
        </w:numPr>
        <w:tabs>
          <w:tab w:val="left" w:pos="562"/>
        </w:tabs>
        <w:autoSpaceDE/>
        <w:autoSpaceDN/>
        <w:ind w:left="562" w:hanging="562"/>
        <w:rPr>
          <w:b/>
          <w:bCs/>
        </w:rPr>
      </w:pPr>
      <w:r>
        <w:rPr>
          <w:b/>
          <w:bCs/>
        </w:rPr>
        <w:t>NUMĂRUL(ELE) AUTORIZAŢIEI DE PUNERE PE PIAŢĂ</w:t>
      </w:r>
    </w:p>
    <w:p w:rsidR="001D6450" w:rsidRDefault="001D6450" w:rsidP="001D6450">
      <w:pPr>
        <w:spacing w:line="250" w:lineRule="exact"/>
        <w:rPr>
          <w:sz w:val="20"/>
          <w:szCs w:val="20"/>
        </w:rPr>
      </w:pPr>
    </w:p>
    <w:p w:rsidR="001D6450" w:rsidRDefault="003E1EE1" w:rsidP="002C7694">
      <w:pPr>
        <w:pStyle w:val="NoSpacing"/>
      </w:pPr>
      <w:bookmarkStart w:id="19" w:name="_Hlk113354255"/>
      <w:r>
        <w:t>14631</w:t>
      </w:r>
      <w:r w:rsidR="002C7694">
        <w:t>/2022/01</w:t>
      </w:r>
    </w:p>
    <w:bookmarkEnd w:id="19"/>
    <w:p w:rsidR="002C7694" w:rsidRPr="002C7694" w:rsidRDefault="003E1EE1" w:rsidP="002C7694">
      <w:pPr>
        <w:pStyle w:val="NoSpacing"/>
      </w:pPr>
      <w:r>
        <w:t>14632</w:t>
      </w:r>
      <w:r w:rsidR="002C7694" w:rsidRPr="002C7694">
        <w:t>/2022/01</w:t>
      </w:r>
    </w:p>
    <w:p w:rsidR="002C7694" w:rsidRPr="00621B53" w:rsidRDefault="002C7694" w:rsidP="00621B53">
      <w:pPr>
        <w:pStyle w:val="NoSpacing"/>
      </w:pPr>
    </w:p>
    <w:p w:rsidR="001D6450" w:rsidRDefault="001D6450" w:rsidP="001D6450">
      <w:pPr>
        <w:spacing w:line="307" w:lineRule="exact"/>
        <w:rPr>
          <w:sz w:val="20"/>
          <w:szCs w:val="20"/>
        </w:rPr>
      </w:pPr>
    </w:p>
    <w:p w:rsidR="001D6450" w:rsidRDefault="001D6450" w:rsidP="001D6450">
      <w:pPr>
        <w:widowControl/>
        <w:numPr>
          <w:ilvl w:val="0"/>
          <w:numId w:val="16"/>
        </w:numPr>
        <w:tabs>
          <w:tab w:val="left" w:pos="562"/>
        </w:tabs>
        <w:autoSpaceDE/>
        <w:autoSpaceDN/>
        <w:ind w:left="562" w:hanging="562"/>
        <w:rPr>
          <w:b/>
          <w:bCs/>
        </w:rPr>
      </w:pPr>
      <w:r>
        <w:rPr>
          <w:b/>
          <w:bCs/>
        </w:rPr>
        <w:t>DATA PRIMEI AUTORIZĂRI SAU A REÎNNOIRII AUTORIZAŢIEI</w:t>
      </w:r>
    </w:p>
    <w:p w:rsidR="001D6450" w:rsidRDefault="001D6450" w:rsidP="001D6450">
      <w:pPr>
        <w:spacing w:line="252" w:lineRule="exact"/>
        <w:rPr>
          <w:sz w:val="20"/>
          <w:szCs w:val="20"/>
        </w:rPr>
      </w:pPr>
    </w:p>
    <w:p w:rsidR="001D6450" w:rsidRDefault="001D6450" w:rsidP="001D6450">
      <w:pPr>
        <w:ind w:left="2"/>
        <w:rPr>
          <w:sz w:val="20"/>
          <w:szCs w:val="20"/>
        </w:rPr>
      </w:pPr>
      <w:r>
        <w:t xml:space="preserve">Data primei autorizări: </w:t>
      </w:r>
      <w:r w:rsidR="002C7694">
        <w:t>Septembrie 2022</w:t>
      </w:r>
    </w:p>
    <w:p w:rsidR="001D6450" w:rsidRDefault="001D6450" w:rsidP="001D6450">
      <w:pPr>
        <w:spacing w:line="1" w:lineRule="exact"/>
        <w:rPr>
          <w:sz w:val="20"/>
          <w:szCs w:val="20"/>
        </w:rPr>
      </w:pPr>
    </w:p>
    <w:p w:rsidR="001D6450" w:rsidRDefault="001D6450" w:rsidP="001D6450">
      <w:pPr>
        <w:spacing w:line="200" w:lineRule="exact"/>
        <w:rPr>
          <w:sz w:val="20"/>
          <w:szCs w:val="20"/>
        </w:rPr>
      </w:pPr>
    </w:p>
    <w:p w:rsidR="001D6450" w:rsidRDefault="001D6450" w:rsidP="001D6450">
      <w:pPr>
        <w:spacing w:line="307" w:lineRule="exact"/>
        <w:rPr>
          <w:sz w:val="20"/>
          <w:szCs w:val="20"/>
        </w:rPr>
      </w:pPr>
    </w:p>
    <w:p w:rsidR="001D6450" w:rsidRDefault="001D6450" w:rsidP="001D6450">
      <w:pPr>
        <w:widowControl/>
        <w:numPr>
          <w:ilvl w:val="0"/>
          <w:numId w:val="17"/>
        </w:numPr>
        <w:tabs>
          <w:tab w:val="left" w:pos="562"/>
        </w:tabs>
        <w:autoSpaceDE/>
        <w:autoSpaceDN/>
        <w:ind w:left="562" w:hanging="562"/>
        <w:rPr>
          <w:b/>
          <w:bCs/>
        </w:rPr>
      </w:pPr>
      <w:r>
        <w:rPr>
          <w:b/>
          <w:bCs/>
        </w:rPr>
        <w:t>DATA REVIZUIRII TEXTULUI</w:t>
      </w:r>
    </w:p>
    <w:p w:rsidR="001D6450" w:rsidRDefault="001D6450" w:rsidP="001D6450">
      <w:pPr>
        <w:spacing w:line="200" w:lineRule="exact"/>
        <w:rPr>
          <w:sz w:val="20"/>
          <w:szCs w:val="20"/>
        </w:rPr>
      </w:pPr>
    </w:p>
    <w:p w:rsidR="001D6450" w:rsidRDefault="002C7694" w:rsidP="001D6450">
      <w:pPr>
        <w:spacing w:line="200" w:lineRule="exact"/>
        <w:rPr>
          <w:sz w:val="20"/>
          <w:szCs w:val="20"/>
        </w:rPr>
      </w:pPr>
      <w:r>
        <w:t>Septembrie 2022</w:t>
      </w: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1D6450" w:rsidRDefault="001D6450" w:rsidP="001D6450">
      <w:pPr>
        <w:spacing w:line="200" w:lineRule="exact"/>
        <w:rPr>
          <w:sz w:val="20"/>
          <w:szCs w:val="20"/>
        </w:rPr>
      </w:pPr>
    </w:p>
    <w:p w:rsidR="00ED6EEB" w:rsidRPr="00DC5C7E" w:rsidRDefault="00ED6EEB" w:rsidP="002F0E46">
      <w:pPr>
        <w:pStyle w:val="Heading1"/>
        <w:ind w:left="566"/>
        <w:rPr>
          <w:b w:val="0"/>
        </w:rPr>
      </w:pPr>
    </w:p>
    <w:sectPr w:rsidR="00ED6EEB" w:rsidRPr="00DC5C7E" w:rsidSect="002F0E46">
      <w:footerReference w:type="default" r:id="rId17"/>
      <w:pgSz w:w="11910" w:h="16840"/>
      <w:pgMar w:top="1134" w:right="1418" w:bottom="1134" w:left="1418" w:header="737" w:footer="7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69" w:rsidRDefault="007A2C69">
      <w:r>
        <w:separator/>
      </w:r>
    </w:p>
  </w:endnote>
  <w:endnote w:type="continuationSeparator" w:id="0">
    <w:p w:rsidR="007A2C69" w:rsidRDefault="007A2C69">
      <w:r>
        <w:continuationSeparator/>
      </w:r>
    </w:p>
  </w:endnote>
  <w:endnote w:type="continuationNotice" w:id="1">
    <w:p w:rsidR="007A2C69" w:rsidRDefault="007A2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84821"/>
      <w:docPartObj>
        <w:docPartGallery w:val="Page Numbers (Bottom of Page)"/>
        <w:docPartUnique/>
      </w:docPartObj>
    </w:sdtPr>
    <w:sdtEndPr>
      <w:rPr>
        <w:noProof/>
      </w:rPr>
    </w:sdtEndPr>
    <w:sdtContent>
      <w:p w:rsidR="00D937BF" w:rsidRDefault="00D937BF">
        <w:pPr>
          <w:pStyle w:val="Footer"/>
          <w:jc w:val="center"/>
        </w:pPr>
      </w:p>
      <w:p w:rsidR="00E92B41" w:rsidRDefault="00E92B41">
        <w:pPr>
          <w:pStyle w:val="Footer"/>
          <w:jc w:val="center"/>
        </w:pPr>
        <w:r>
          <w:fldChar w:fldCharType="begin"/>
        </w:r>
        <w:r>
          <w:instrText xml:space="preserve"> PAGE   \* MERGEFORMAT </w:instrText>
        </w:r>
        <w:r>
          <w:fldChar w:fldCharType="separate"/>
        </w:r>
        <w:r w:rsidR="00E36274">
          <w:rPr>
            <w:noProof/>
          </w:rPr>
          <w:t>1</w:t>
        </w:r>
        <w:r>
          <w:rPr>
            <w:noProof/>
          </w:rPr>
          <w:fldChar w:fldCharType="end"/>
        </w:r>
      </w:p>
    </w:sdtContent>
  </w:sdt>
  <w:p w:rsidR="00E92B41" w:rsidRDefault="00E92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080312"/>
      <w:docPartObj>
        <w:docPartGallery w:val="Page Numbers (Bottom of Page)"/>
        <w:docPartUnique/>
      </w:docPartObj>
    </w:sdtPr>
    <w:sdtEndPr>
      <w:rPr>
        <w:noProof/>
      </w:rPr>
    </w:sdtEndPr>
    <w:sdtContent>
      <w:p w:rsidR="00E92B41" w:rsidRDefault="00E92B41" w:rsidP="00E92B41">
        <w:pPr>
          <w:pStyle w:val="Footer"/>
          <w:jc w:val="center"/>
        </w:pPr>
        <w:r>
          <w:fldChar w:fldCharType="begin"/>
        </w:r>
        <w:r>
          <w:instrText xml:space="preserve"> PAGE   \* MERGEFORMAT </w:instrText>
        </w:r>
        <w:r>
          <w:fldChar w:fldCharType="separate"/>
        </w:r>
        <w:r w:rsidR="00E36274">
          <w:rPr>
            <w:noProof/>
          </w:rPr>
          <w:t>20</w:t>
        </w:r>
        <w:r>
          <w:rPr>
            <w:noProof/>
          </w:rPr>
          <w:fldChar w:fldCharType="end"/>
        </w:r>
      </w:p>
    </w:sdtContent>
  </w:sdt>
  <w:p w:rsidR="00D5675E" w:rsidRDefault="00E92B41" w:rsidP="00E92B41">
    <w:pPr>
      <w:pStyle w:val="BodyText"/>
      <w:spacing w:line="14" w:lineRule="auto"/>
      <w:ind w:left="0"/>
      <w:rPr>
        <w:sz w:val="20"/>
      </w:rPr>
    </w:pPr>
    <w:r w:rsidDel="00E92B41">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69" w:rsidRDefault="007A2C69">
      <w:r>
        <w:separator/>
      </w:r>
    </w:p>
  </w:footnote>
  <w:footnote w:type="continuationSeparator" w:id="0">
    <w:p w:rsidR="007A2C69" w:rsidRDefault="007A2C69">
      <w:r>
        <w:continuationSeparator/>
      </w:r>
    </w:p>
  </w:footnote>
  <w:footnote w:type="continuationNotice" w:id="1">
    <w:p w:rsidR="007A2C69" w:rsidRDefault="007A2C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41" w:rsidRDefault="00E92B41">
    <w:pPr>
      <w:pStyle w:val="Header"/>
    </w:pPr>
  </w:p>
  <w:p w:rsidR="00E92B41" w:rsidRDefault="00E92B41">
    <w:pPr>
      <w:pStyle w:val="Header"/>
    </w:pPr>
  </w:p>
  <w:p w:rsidR="00E92B41" w:rsidRDefault="00E92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85FB"/>
    <w:multiLevelType w:val="hybridMultilevel"/>
    <w:tmpl w:val="FF982138"/>
    <w:lvl w:ilvl="0" w:tplc="A4A253AC">
      <w:start w:val="1"/>
      <w:numFmt w:val="decimal"/>
      <w:lvlText w:val="%1"/>
      <w:lvlJc w:val="left"/>
    </w:lvl>
    <w:lvl w:ilvl="1" w:tplc="673CE900">
      <w:numFmt w:val="decimal"/>
      <w:lvlText w:val=""/>
      <w:lvlJc w:val="left"/>
    </w:lvl>
    <w:lvl w:ilvl="2" w:tplc="5232A418">
      <w:numFmt w:val="decimal"/>
      <w:lvlText w:val=""/>
      <w:lvlJc w:val="left"/>
    </w:lvl>
    <w:lvl w:ilvl="3" w:tplc="D1400F74">
      <w:numFmt w:val="decimal"/>
      <w:lvlText w:val=""/>
      <w:lvlJc w:val="left"/>
    </w:lvl>
    <w:lvl w:ilvl="4" w:tplc="3B8CB3D8">
      <w:numFmt w:val="decimal"/>
      <w:lvlText w:val=""/>
      <w:lvlJc w:val="left"/>
    </w:lvl>
    <w:lvl w:ilvl="5" w:tplc="E5544DD2">
      <w:numFmt w:val="decimal"/>
      <w:lvlText w:val=""/>
      <w:lvlJc w:val="left"/>
    </w:lvl>
    <w:lvl w:ilvl="6" w:tplc="F8D8099E">
      <w:numFmt w:val="decimal"/>
      <w:lvlText w:val=""/>
      <w:lvlJc w:val="left"/>
    </w:lvl>
    <w:lvl w:ilvl="7" w:tplc="3EF009F0">
      <w:numFmt w:val="decimal"/>
      <w:lvlText w:val=""/>
      <w:lvlJc w:val="left"/>
    </w:lvl>
    <w:lvl w:ilvl="8" w:tplc="7A5A2E68">
      <w:numFmt w:val="decimal"/>
      <w:lvlText w:val=""/>
      <w:lvlJc w:val="left"/>
    </w:lvl>
  </w:abstractNum>
  <w:abstractNum w:abstractNumId="1" w15:restartNumberingAfterBreak="0">
    <w:nsid w:val="180115BE"/>
    <w:multiLevelType w:val="hybridMultilevel"/>
    <w:tmpl w:val="9A380674"/>
    <w:lvl w:ilvl="0" w:tplc="CF94DC98">
      <w:start w:val="9"/>
      <w:numFmt w:val="decimal"/>
      <w:lvlText w:val="%1."/>
      <w:lvlJc w:val="left"/>
    </w:lvl>
    <w:lvl w:ilvl="1" w:tplc="347E2C16">
      <w:numFmt w:val="decimal"/>
      <w:lvlText w:val=""/>
      <w:lvlJc w:val="left"/>
    </w:lvl>
    <w:lvl w:ilvl="2" w:tplc="C152E854">
      <w:numFmt w:val="decimal"/>
      <w:lvlText w:val=""/>
      <w:lvlJc w:val="left"/>
    </w:lvl>
    <w:lvl w:ilvl="3" w:tplc="7C44B1BE">
      <w:numFmt w:val="decimal"/>
      <w:lvlText w:val=""/>
      <w:lvlJc w:val="left"/>
    </w:lvl>
    <w:lvl w:ilvl="4" w:tplc="38E40F6E">
      <w:numFmt w:val="decimal"/>
      <w:lvlText w:val=""/>
      <w:lvlJc w:val="left"/>
    </w:lvl>
    <w:lvl w:ilvl="5" w:tplc="71CE683C">
      <w:numFmt w:val="decimal"/>
      <w:lvlText w:val=""/>
      <w:lvlJc w:val="left"/>
    </w:lvl>
    <w:lvl w:ilvl="6" w:tplc="1EC4940C">
      <w:numFmt w:val="decimal"/>
      <w:lvlText w:val=""/>
      <w:lvlJc w:val="left"/>
    </w:lvl>
    <w:lvl w:ilvl="7" w:tplc="3E743FB8">
      <w:numFmt w:val="decimal"/>
      <w:lvlText w:val=""/>
      <w:lvlJc w:val="left"/>
    </w:lvl>
    <w:lvl w:ilvl="8" w:tplc="DF8C8570">
      <w:numFmt w:val="decimal"/>
      <w:lvlText w:val=""/>
      <w:lvlJc w:val="left"/>
    </w:lvl>
  </w:abstractNum>
  <w:abstractNum w:abstractNumId="2" w15:restartNumberingAfterBreak="0">
    <w:nsid w:val="1BA026FA"/>
    <w:multiLevelType w:val="hybridMultilevel"/>
    <w:tmpl w:val="4FD0718C"/>
    <w:lvl w:ilvl="0" w:tplc="8FFE7F1E">
      <w:start w:val="3"/>
      <w:numFmt w:val="decimal"/>
      <w:lvlText w:val="%1."/>
      <w:lvlJc w:val="left"/>
    </w:lvl>
    <w:lvl w:ilvl="1" w:tplc="3572C9EC">
      <w:numFmt w:val="decimal"/>
      <w:lvlText w:val=""/>
      <w:lvlJc w:val="left"/>
    </w:lvl>
    <w:lvl w:ilvl="2" w:tplc="0A1AF670">
      <w:numFmt w:val="decimal"/>
      <w:lvlText w:val=""/>
      <w:lvlJc w:val="left"/>
    </w:lvl>
    <w:lvl w:ilvl="3" w:tplc="CE2AACDA">
      <w:numFmt w:val="decimal"/>
      <w:lvlText w:val=""/>
      <w:lvlJc w:val="left"/>
    </w:lvl>
    <w:lvl w:ilvl="4" w:tplc="CA466980">
      <w:numFmt w:val="decimal"/>
      <w:lvlText w:val=""/>
      <w:lvlJc w:val="left"/>
    </w:lvl>
    <w:lvl w:ilvl="5" w:tplc="D1BA6200">
      <w:numFmt w:val="decimal"/>
      <w:lvlText w:val=""/>
      <w:lvlJc w:val="left"/>
    </w:lvl>
    <w:lvl w:ilvl="6" w:tplc="19564AC4">
      <w:numFmt w:val="decimal"/>
      <w:lvlText w:val=""/>
      <w:lvlJc w:val="left"/>
    </w:lvl>
    <w:lvl w:ilvl="7" w:tplc="CD18A8A0">
      <w:numFmt w:val="decimal"/>
      <w:lvlText w:val=""/>
      <w:lvlJc w:val="left"/>
    </w:lvl>
    <w:lvl w:ilvl="8" w:tplc="B73AD13E">
      <w:numFmt w:val="decimal"/>
      <w:lvlText w:val=""/>
      <w:lvlJc w:val="left"/>
    </w:lvl>
  </w:abstractNum>
  <w:abstractNum w:abstractNumId="3" w15:restartNumberingAfterBreak="0">
    <w:nsid w:val="1CF10FD8"/>
    <w:multiLevelType w:val="hybridMultilevel"/>
    <w:tmpl w:val="4B44C78A"/>
    <w:lvl w:ilvl="0" w:tplc="A566EB6C">
      <w:start w:val="8"/>
      <w:numFmt w:val="decimal"/>
      <w:lvlText w:val="%1."/>
      <w:lvlJc w:val="left"/>
    </w:lvl>
    <w:lvl w:ilvl="1" w:tplc="26F87276">
      <w:numFmt w:val="decimal"/>
      <w:lvlText w:val=""/>
      <w:lvlJc w:val="left"/>
    </w:lvl>
    <w:lvl w:ilvl="2" w:tplc="AFBADD88">
      <w:numFmt w:val="decimal"/>
      <w:lvlText w:val=""/>
      <w:lvlJc w:val="left"/>
    </w:lvl>
    <w:lvl w:ilvl="3" w:tplc="5B006D38">
      <w:numFmt w:val="decimal"/>
      <w:lvlText w:val=""/>
      <w:lvlJc w:val="left"/>
    </w:lvl>
    <w:lvl w:ilvl="4" w:tplc="8FDEBE20">
      <w:numFmt w:val="decimal"/>
      <w:lvlText w:val=""/>
      <w:lvlJc w:val="left"/>
    </w:lvl>
    <w:lvl w:ilvl="5" w:tplc="73843052">
      <w:numFmt w:val="decimal"/>
      <w:lvlText w:val=""/>
      <w:lvlJc w:val="left"/>
    </w:lvl>
    <w:lvl w:ilvl="6" w:tplc="17964948">
      <w:numFmt w:val="decimal"/>
      <w:lvlText w:val=""/>
      <w:lvlJc w:val="left"/>
    </w:lvl>
    <w:lvl w:ilvl="7" w:tplc="D72E8732">
      <w:numFmt w:val="decimal"/>
      <w:lvlText w:val=""/>
      <w:lvlJc w:val="left"/>
    </w:lvl>
    <w:lvl w:ilvl="8" w:tplc="286071F0">
      <w:numFmt w:val="decimal"/>
      <w:lvlText w:val=""/>
      <w:lvlJc w:val="left"/>
    </w:lvl>
  </w:abstractNum>
  <w:abstractNum w:abstractNumId="4" w15:restartNumberingAfterBreak="0">
    <w:nsid w:val="235BA861"/>
    <w:multiLevelType w:val="hybridMultilevel"/>
    <w:tmpl w:val="85F0DD66"/>
    <w:lvl w:ilvl="0" w:tplc="2FB46086">
      <w:start w:val="10"/>
      <w:numFmt w:val="decimal"/>
      <w:lvlText w:val="%1."/>
      <w:lvlJc w:val="left"/>
    </w:lvl>
    <w:lvl w:ilvl="1" w:tplc="7ED40D8A">
      <w:numFmt w:val="decimal"/>
      <w:lvlText w:val=""/>
      <w:lvlJc w:val="left"/>
    </w:lvl>
    <w:lvl w:ilvl="2" w:tplc="B142C524">
      <w:numFmt w:val="decimal"/>
      <w:lvlText w:val=""/>
      <w:lvlJc w:val="left"/>
    </w:lvl>
    <w:lvl w:ilvl="3" w:tplc="841481BC">
      <w:numFmt w:val="decimal"/>
      <w:lvlText w:val=""/>
      <w:lvlJc w:val="left"/>
    </w:lvl>
    <w:lvl w:ilvl="4" w:tplc="6BA2B300">
      <w:numFmt w:val="decimal"/>
      <w:lvlText w:val=""/>
      <w:lvlJc w:val="left"/>
    </w:lvl>
    <w:lvl w:ilvl="5" w:tplc="858830E6">
      <w:numFmt w:val="decimal"/>
      <w:lvlText w:val=""/>
      <w:lvlJc w:val="left"/>
    </w:lvl>
    <w:lvl w:ilvl="6" w:tplc="6338C916">
      <w:numFmt w:val="decimal"/>
      <w:lvlText w:val=""/>
      <w:lvlJc w:val="left"/>
    </w:lvl>
    <w:lvl w:ilvl="7" w:tplc="F8289BB4">
      <w:numFmt w:val="decimal"/>
      <w:lvlText w:val=""/>
      <w:lvlJc w:val="left"/>
    </w:lvl>
    <w:lvl w:ilvl="8" w:tplc="E66C77C8">
      <w:numFmt w:val="decimal"/>
      <w:lvlText w:val=""/>
      <w:lvlJc w:val="left"/>
    </w:lvl>
  </w:abstractNum>
  <w:abstractNum w:abstractNumId="5" w15:restartNumberingAfterBreak="0">
    <w:nsid w:val="23F9C13C"/>
    <w:multiLevelType w:val="hybridMultilevel"/>
    <w:tmpl w:val="4FA262E2"/>
    <w:lvl w:ilvl="0" w:tplc="0248C09E">
      <w:start w:val="1"/>
      <w:numFmt w:val="bullet"/>
      <w:lvlText w:val="***"/>
      <w:lvlJc w:val="left"/>
    </w:lvl>
    <w:lvl w:ilvl="1" w:tplc="1B08785A">
      <w:numFmt w:val="decimal"/>
      <w:lvlText w:val=""/>
      <w:lvlJc w:val="left"/>
    </w:lvl>
    <w:lvl w:ilvl="2" w:tplc="6FC2E70E">
      <w:numFmt w:val="decimal"/>
      <w:lvlText w:val=""/>
      <w:lvlJc w:val="left"/>
    </w:lvl>
    <w:lvl w:ilvl="3" w:tplc="A238A8C0">
      <w:numFmt w:val="decimal"/>
      <w:lvlText w:val=""/>
      <w:lvlJc w:val="left"/>
    </w:lvl>
    <w:lvl w:ilvl="4" w:tplc="4D504C82">
      <w:numFmt w:val="decimal"/>
      <w:lvlText w:val=""/>
      <w:lvlJc w:val="left"/>
    </w:lvl>
    <w:lvl w:ilvl="5" w:tplc="98382392">
      <w:numFmt w:val="decimal"/>
      <w:lvlText w:val=""/>
      <w:lvlJc w:val="left"/>
    </w:lvl>
    <w:lvl w:ilvl="6" w:tplc="095AFB48">
      <w:numFmt w:val="decimal"/>
      <w:lvlText w:val=""/>
      <w:lvlJc w:val="left"/>
    </w:lvl>
    <w:lvl w:ilvl="7" w:tplc="9620B9A2">
      <w:numFmt w:val="decimal"/>
      <w:lvlText w:val=""/>
      <w:lvlJc w:val="left"/>
    </w:lvl>
    <w:lvl w:ilvl="8" w:tplc="FF089636">
      <w:numFmt w:val="decimal"/>
      <w:lvlText w:val=""/>
      <w:lvlJc w:val="left"/>
    </w:lvl>
  </w:abstractNum>
  <w:abstractNum w:abstractNumId="6" w15:restartNumberingAfterBreak="0">
    <w:nsid w:val="275AC794"/>
    <w:multiLevelType w:val="hybridMultilevel"/>
    <w:tmpl w:val="FF503756"/>
    <w:lvl w:ilvl="0" w:tplc="63CE33EA">
      <w:start w:val="6"/>
      <w:numFmt w:val="decimal"/>
      <w:lvlText w:val="%1."/>
      <w:lvlJc w:val="left"/>
    </w:lvl>
    <w:lvl w:ilvl="1" w:tplc="23A85ED2">
      <w:numFmt w:val="decimal"/>
      <w:lvlText w:val=""/>
      <w:lvlJc w:val="left"/>
    </w:lvl>
    <w:lvl w:ilvl="2" w:tplc="07B62490">
      <w:numFmt w:val="decimal"/>
      <w:lvlText w:val=""/>
      <w:lvlJc w:val="left"/>
    </w:lvl>
    <w:lvl w:ilvl="3" w:tplc="22A6B2B8">
      <w:numFmt w:val="decimal"/>
      <w:lvlText w:val=""/>
      <w:lvlJc w:val="left"/>
    </w:lvl>
    <w:lvl w:ilvl="4" w:tplc="C1CE7C02">
      <w:numFmt w:val="decimal"/>
      <w:lvlText w:val=""/>
      <w:lvlJc w:val="left"/>
    </w:lvl>
    <w:lvl w:ilvl="5" w:tplc="EEB41262">
      <w:numFmt w:val="decimal"/>
      <w:lvlText w:val=""/>
      <w:lvlJc w:val="left"/>
    </w:lvl>
    <w:lvl w:ilvl="6" w:tplc="BC520C74">
      <w:numFmt w:val="decimal"/>
      <w:lvlText w:val=""/>
      <w:lvlJc w:val="left"/>
    </w:lvl>
    <w:lvl w:ilvl="7" w:tplc="0D220B7E">
      <w:numFmt w:val="decimal"/>
      <w:lvlText w:val=""/>
      <w:lvlJc w:val="left"/>
    </w:lvl>
    <w:lvl w:ilvl="8" w:tplc="2A20543C">
      <w:numFmt w:val="decimal"/>
      <w:lvlText w:val=""/>
      <w:lvlJc w:val="left"/>
    </w:lvl>
  </w:abstractNum>
  <w:abstractNum w:abstractNumId="7" w15:restartNumberingAfterBreak="0">
    <w:nsid w:val="374A3FE6"/>
    <w:multiLevelType w:val="hybridMultilevel"/>
    <w:tmpl w:val="10C0DE38"/>
    <w:lvl w:ilvl="0" w:tplc="B942BEB4">
      <w:start w:val="1"/>
      <w:numFmt w:val="bullet"/>
      <w:lvlText w:val="*"/>
      <w:lvlJc w:val="left"/>
    </w:lvl>
    <w:lvl w:ilvl="1" w:tplc="73AAD262">
      <w:numFmt w:val="decimal"/>
      <w:lvlText w:val=""/>
      <w:lvlJc w:val="left"/>
    </w:lvl>
    <w:lvl w:ilvl="2" w:tplc="B2BEC2FA">
      <w:numFmt w:val="decimal"/>
      <w:lvlText w:val=""/>
      <w:lvlJc w:val="left"/>
    </w:lvl>
    <w:lvl w:ilvl="3" w:tplc="9902674A">
      <w:numFmt w:val="decimal"/>
      <w:lvlText w:val=""/>
      <w:lvlJc w:val="left"/>
    </w:lvl>
    <w:lvl w:ilvl="4" w:tplc="172A0C2E">
      <w:numFmt w:val="decimal"/>
      <w:lvlText w:val=""/>
      <w:lvlJc w:val="left"/>
    </w:lvl>
    <w:lvl w:ilvl="5" w:tplc="A5B20C9A">
      <w:numFmt w:val="decimal"/>
      <w:lvlText w:val=""/>
      <w:lvlJc w:val="left"/>
    </w:lvl>
    <w:lvl w:ilvl="6" w:tplc="BA18C43C">
      <w:numFmt w:val="decimal"/>
      <w:lvlText w:val=""/>
      <w:lvlJc w:val="left"/>
    </w:lvl>
    <w:lvl w:ilvl="7" w:tplc="A8E86AB6">
      <w:numFmt w:val="decimal"/>
      <w:lvlText w:val=""/>
      <w:lvlJc w:val="left"/>
    </w:lvl>
    <w:lvl w:ilvl="8" w:tplc="6862D69A">
      <w:numFmt w:val="decimal"/>
      <w:lvlText w:val=""/>
      <w:lvlJc w:val="left"/>
    </w:lvl>
  </w:abstractNum>
  <w:abstractNum w:abstractNumId="8" w15:restartNumberingAfterBreak="0">
    <w:nsid w:val="39386575"/>
    <w:multiLevelType w:val="hybridMultilevel"/>
    <w:tmpl w:val="FC18B500"/>
    <w:lvl w:ilvl="0" w:tplc="7376D458">
      <w:start w:val="7"/>
      <w:numFmt w:val="decimal"/>
      <w:lvlText w:val="%1."/>
      <w:lvlJc w:val="left"/>
    </w:lvl>
    <w:lvl w:ilvl="1" w:tplc="CEA63B88">
      <w:numFmt w:val="decimal"/>
      <w:lvlText w:val=""/>
      <w:lvlJc w:val="left"/>
    </w:lvl>
    <w:lvl w:ilvl="2" w:tplc="5C5CC5BC">
      <w:numFmt w:val="decimal"/>
      <w:lvlText w:val=""/>
      <w:lvlJc w:val="left"/>
    </w:lvl>
    <w:lvl w:ilvl="3" w:tplc="4964EFD8">
      <w:numFmt w:val="decimal"/>
      <w:lvlText w:val=""/>
      <w:lvlJc w:val="left"/>
    </w:lvl>
    <w:lvl w:ilvl="4" w:tplc="DF7E8494">
      <w:numFmt w:val="decimal"/>
      <w:lvlText w:val=""/>
      <w:lvlJc w:val="left"/>
    </w:lvl>
    <w:lvl w:ilvl="5" w:tplc="B478FA72">
      <w:numFmt w:val="decimal"/>
      <w:lvlText w:val=""/>
      <w:lvlJc w:val="left"/>
    </w:lvl>
    <w:lvl w:ilvl="6" w:tplc="73BC6B94">
      <w:numFmt w:val="decimal"/>
      <w:lvlText w:val=""/>
      <w:lvlJc w:val="left"/>
    </w:lvl>
    <w:lvl w:ilvl="7" w:tplc="7F7ACEEA">
      <w:numFmt w:val="decimal"/>
      <w:lvlText w:val=""/>
      <w:lvlJc w:val="left"/>
    </w:lvl>
    <w:lvl w:ilvl="8" w:tplc="789C81EA">
      <w:numFmt w:val="decimal"/>
      <w:lvlText w:val=""/>
      <w:lvlJc w:val="left"/>
    </w:lvl>
  </w:abstractNum>
  <w:abstractNum w:abstractNumId="9" w15:restartNumberingAfterBreak="0">
    <w:nsid w:val="3DC240FB"/>
    <w:multiLevelType w:val="hybridMultilevel"/>
    <w:tmpl w:val="97E6D61A"/>
    <w:lvl w:ilvl="0" w:tplc="2090852A">
      <w:start w:val="2"/>
      <w:numFmt w:val="decimal"/>
      <w:lvlText w:val="%1."/>
      <w:lvlJc w:val="left"/>
    </w:lvl>
    <w:lvl w:ilvl="1" w:tplc="1C4E56D2">
      <w:numFmt w:val="decimal"/>
      <w:lvlText w:val=""/>
      <w:lvlJc w:val="left"/>
    </w:lvl>
    <w:lvl w:ilvl="2" w:tplc="31BA28F2">
      <w:numFmt w:val="decimal"/>
      <w:lvlText w:val=""/>
      <w:lvlJc w:val="left"/>
    </w:lvl>
    <w:lvl w:ilvl="3" w:tplc="4AC855A6">
      <w:numFmt w:val="decimal"/>
      <w:lvlText w:val=""/>
      <w:lvlJc w:val="left"/>
    </w:lvl>
    <w:lvl w:ilvl="4" w:tplc="457ADE6C">
      <w:numFmt w:val="decimal"/>
      <w:lvlText w:val=""/>
      <w:lvlJc w:val="left"/>
    </w:lvl>
    <w:lvl w:ilvl="5" w:tplc="85441FC6">
      <w:numFmt w:val="decimal"/>
      <w:lvlText w:val=""/>
      <w:lvlJc w:val="left"/>
    </w:lvl>
    <w:lvl w:ilvl="6" w:tplc="74D20DA2">
      <w:numFmt w:val="decimal"/>
      <w:lvlText w:val=""/>
      <w:lvlJc w:val="left"/>
    </w:lvl>
    <w:lvl w:ilvl="7" w:tplc="7478B45C">
      <w:numFmt w:val="decimal"/>
      <w:lvlText w:val=""/>
      <w:lvlJc w:val="left"/>
    </w:lvl>
    <w:lvl w:ilvl="8" w:tplc="ABEC0724">
      <w:numFmt w:val="decimal"/>
      <w:lvlText w:val=""/>
      <w:lvlJc w:val="left"/>
    </w:lvl>
  </w:abstractNum>
  <w:abstractNum w:abstractNumId="10" w15:restartNumberingAfterBreak="0">
    <w:nsid w:val="4F4EF005"/>
    <w:multiLevelType w:val="hybridMultilevel"/>
    <w:tmpl w:val="56186E5E"/>
    <w:lvl w:ilvl="0" w:tplc="A9E07982">
      <w:start w:val="1"/>
      <w:numFmt w:val="bullet"/>
      <w:lvlText w:val="**"/>
      <w:lvlJc w:val="left"/>
    </w:lvl>
    <w:lvl w:ilvl="1" w:tplc="11F896FA">
      <w:numFmt w:val="decimal"/>
      <w:lvlText w:val=""/>
      <w:lvlJc w:val="left"/>
    </w:lvl>
    <w:lvl w:ilvl="2" w:tplc="9E523808">
      <w:numFmt w:val="decimal"/>
      <w:lvlText w:val=""/>
      <w:lvlJc w:val="left"/>
    </w:lvl>
    <w:lvl w:ilvl="3" w:tplc="F7B8D1FC">
      <w:numFmt w:val="decimal"/>
      <w:lvlText w:val=""/>
      <w:lvlJc w:val="left"/>
    </w:lvl>
    <w:lvl w:ilvl="4" w:tplc="3A0C2928">
      <w:numFmt w:val="decimal"/>
      <w:lvlText w:val=""/>
      <w:lvlJc w:val="left"/>
    </w:lvl>
    <w:lvl w:ilvl="5" w:tplc="71A42ACA">
      <w:numFmt w:val="decimal"/>
      <w:lvlText w:val=""/>
      <w:lvlJc w:val="left"/>
    </w:lvl>
    <w:lvl w:ilvl="6" w:tplc="14708CE8">
      <w:numFmt w:val="decimal"/>
      <w:lvlText w:val=""/>
      <w:lvlJc w:val="left"/>
    </w:lvl>
    <w:lvl w:ilvl="7" w:tplc="2C201416">
      <w:numFmt w:val="decimal"/>
      <w:lvlText w:val=""/>
      <w:lvlJc w:val="left"/>
    </w:lvl>
    <w:lvl w:ilvl="8" w:tplc="F124AC30">
      <w:numFmt w:val="decimal"/>
      <w:lvlText w:val=""/>
      <w:lvlJc w:val="left"/>
    </w:lvl>
  </w:abstractNum>
  <w:abstractNum w:abstractNumId="11" w15:restartNumberingAfterBreak="0">
    <w:nsid w:val="520EEDD1"/>
    <w:multiLevelType w:val="hybridMultilevel"/>
    <w:tmpl w:val="6D0AB788"/>
    <w:lvl w:ilvl="0" w:tplc="51CC86C0">
      <w:start w:val="5"/>
      <w:numFmt w:val="decimal"/>
      <w:lvlText w:val="%1."/>
      <w:lvlJc w:val="left"/>
    </w:lvl>
    <w:lvl w:ilvl="1" w:tplc="F5D48764">
      <w:numFmt w:val="decimal"/>
      <w:lvlText w:val=""/>
      <w:lvlJc w:val="left"/>
    </w:lvl>
    <w:lvl w:ilvl="2" w:tplc="AAC6DA76">
      <w:numFmt w:val="decimal"/>
      <w:lvlText w:val=""/>
      <w:lvlJc w:val="left"/>
    </w:lvl>
    <w:lvl w:ilvl="3" w:tplc="7F240214">
      <w:numFmt w:val="decimal"/>
      <w:lvlText w:val=""/>
      <w:lvlJc w:val="left"/>
    </w:lvl>
    <w:lvl w:ilvl="4" w:tplc="0F243648">
      <w:numFmt w:val="decimal"/>
      <w:lvlText w:val=""/>
      <w:lvlJc w:val="left"/>
    </w:lvl>
    <w:lvl w:ilvl="5" w:tplc="E81C2078">
      <w:numFmt w:val="decimal"/>
      <w:lvlText w:val=""/>
      <w:lvlJc w:val="left"/>
    </w:lvl>
    <w:lvl w:ilvl="6" w:tplc="E07A30DA">
      <w:numFmt w:val="decimal"/>
      <w:lvlText w:val=""/>
      <w:lvlJc w:val="left"/>
    </w:lvl>
    <w:lvl w:ilvl="7" w:tplc="851CE702">
      <w:numFmt w:val="decimal"/>
      <w:lvlText w:val=""/>
      <w:lvlJc w:val="left"/>
    </w:lvl>
    <w:lvl w:ilvl="8" w:tplc="F69C4FA0">
      <w:numFmt w:val="decimal"/>
      <w:lvlText w:val=""/>
      <w:lvlJc w:val="left"/>
    </w:lvl>
  </w:abstractNum>
  <w:abstractNum w:abstractNumId="12" w15:restartNumberingAfterBreak="0">
    <w:nsid w:val="649BB77C"/>
    <w:multiLevelType w:val="hybridMultilevel"/>
    <w:tmpl w:val="3BA6D134"/>
    <w:lvl w:ilvl="0" w:tplc="2D1E3162">
      <w:start w:val="1"/>
      <w:numFmt w:val="bullet"/>
      <w:lvlText w:val="="/>
      <w:lvlJc w:val="left"/>
    </w:lvl>
    <w:lvl w:ilvl="1" w:tplc="EE20070E">
      <w:numFmt w:val="decimal"/>
      <w:lvlText w:val=""/>
      <w:lvlJc w:val="left"/>
    </w:lvl>
    <w:lvl w:ilvl="2" w:tplc="EAEC0902">
      <w:numFmt w:val="decimal"/>
      <w:lvlText w:val=""/>
      <w:lvlJc w:val="left"/>
    </w:lvl>
    <w:lvl w:ilvl="3" w:tplc="E99470E8">
      <w:numFmt w:val="decimal"/>
      <w:lvlText w:val=""/>
      <w:lvlJc w:val="left"/>
    </w:lvl>
    <w:lvl w:ilvl="4" w:tplc="F4FE5BF0">
      <w:numFmt w:val="decimal"/>
      <w:lvlText w:val=""/>
      <w:lvlJc w:val="left"/>
    </w:lvl>
    <w:lvl w:ilvl="5" w:tplc="A03CC0FE">
      <w:numFmt w:val="decimal"/>
      <w:lvlText w:val=""/>
      <w:lvlJc w:val="left"/>
    </w:lvl>
    <w:lvl w:ilvl="6" w:tplc="797E4E0E">
      <w:numFmt w:val="decimal"/>
      <w:lvlText w:val=""/>
      <w:lvlJc w:val="left"/>
    </w:lvl>
    <w:lvl w:ilvl="7" w:tplc="C0761004">
      <w:numFmt w:val="decimal"/>
      <w:lvlText w:val=""/>
      <w:lvlJc w:val="left"/>
    </w:lvl>
    <w:lvl w:ilvl="8" w:tplc="B3203F2C">
      <w:numFmt w:val="decimal"/>
      <w:lvlText w:val=""/>
      <w:lvlJc w:val="left"/>
    </w:lvl>
  </w:abstractNum>
  <w:abstractNum w:abstractNumId="13" w15:restartNumberingAfterBreak="0">
    <w:nsid w:val="70C6A529"/>
    <w:multiLevelType w:val="hybridMultilevel"/>
    <w:tmpl w:val="B78C28F8"/>
    <w:lvl w:ilvl="0" w:tplc="30385498">
      <w:start w:val="7"/>
      <w:numFmt w:val="decimal"/>
      <w:lvlText w:val="%1"/>
      <w:lvlJc w:val="left"/>
    </w:lvl>
    <w:lvl w:ilvl="1" w:tplc="BA6426D0">
      <w:numFmt w:val="decimal"/>
      <w:lvlText w:val=""/>
      <w:lvlJc w:val="left"/>
    </w:lvl>
    <w:lvl w:ilvl="2" w:tplc="5652DD48">
      <w:numFmt w:val="decimal"/>
      <w:lvlText w:val=""/>
      <w:lvlJc w:val="left"/>
    </w:lvl>
    <w:lvl w:ilvl="3" w:tplc="90BE3ED8">
      <w:numFmt w:val="decimal"/>
      <w:lvlText w:val=""/>
      <w:lvlJc w:val="left"/>
    </w:lvl>
    <w:lvl w:ilvl="4" w:tplc="335220D8">
      <w:numFmt w:val="decimal"/>
      <w:lvlText w:val=""/>
      <w:lvlJc w:val="left"/>
    </w:lvl>
    <w:lvl w:ilvl="5" w:tplc="43FA3E36">
      <w:numFmt w:val="decimal"/>
      <w:lvlText w:val=""/>
      <w:lvlJc w:val="left"/>
    </w:lvl>
    <w:lvl w:ilvl="6" w:tplc="FB22CFEC">
      <w:numFmt w:val="decimal"/>
      <w:lvlText w:val=""/>
      <w:lvlJc w:val="left"/>
    </w:lvl>
    <w:lvl w:ilvl="7" w:tplc="4C083F54">
      <w:numFmt w:val="decimal"/>
      <w:lvlText w:val=""/>
      <w:lvlJc w:val="left"/>
    </w:lvl>
    <w:lvl w:ilvl="8" w:tplc="00B09E68">
      <w:numFmt w:val="decimal"/>
      <w:lvlText w:val=""/>
      <w:lvlJc w:val="left"/>
    </w:lvl>
  </w:abstractNum>
  <w:abstractNum w:abstractNumId="14" w15:restartNumberingAfterBreak="0">
    <w:nsid w:val="749ABB43"/>
    <w:multiLevelType w:val="hybridMultilevel"/>
    <w:tmpl w:val="8B7229B8"/>
    <w:lvl w:ilvl="0" w:tplc="D102E09A">
      <w:start w:val="1"/>
      <w:numFmt w:val="decimal"/>
      <w:lvlText w:val="%1."/>
      <w:lvlJc w:val="left"/>
    </w:lvl>
    <w:lvl w:ilvl="1" w:tplc="21A4F142">
      <w:numFmt w:val="decimal"/>
      <w:lvlText w:val=""/>
      <w:lvlJc w:val="left"/>
    </w:lvl>
    <w:lvl w:ilvl="2" w:tplc="2348C254">
      <w:numFmt w:val="decimal"/>
      <w:lvlText w:val=""/>
      <w:lvlJc w:val="left"/>
    </w:lvl>
    <w:lvl w:ilvl="3" w:tplc="9C36691A">
      <w:numFmt w:val="decimal"/>
      <w:lvlText w:val=""/>
      <w:lvlJc w:val="left"/>
    </w:lvl>
    <w:lvl w:ilvl="4" w:tplc="9EB64086">
      <w:numFmt w:val="decimal"/>
      <w:lvlText w:val=""/>
      <w:lvlJc w:val="left"/>
    </w:lvl>
    <w:lvl w:ilvl="5" w:tplc="D342339C">
      <w:numFmt w:val="decimal"/>
      <w:lvlText w:val=""/>
      <w:lvlJc w:val="left"/>
    </w:lvl>
    <w:lvl w:ilvl="6" w:tplc="4C04CA00">
      <w:numFmt w:val="decimal"/>
      <w:lvlText w:val=""/>
      <w:lvlJc w:val="left"/>
    </w:lvl>
    <w:lvl w:ilvl="7" w:tplc="1A48A25A">
      <w:numFmt w:val="decimal"/>
      <w:lvlText w:val=""/>
      <w:lvlJc w:val="left"/>
    </w:lvl>
    <w:lvl w:ilvl="8" w:tplc="F7E22D4E">
      <w:numFmt w:val="decimal"/>
      <w:lvlText w:val=""/>
      <w:lvlJc w:val="left"/>
    </w:lvl>
  </w:abstractNum>
  <w:abstractNum w:abstractNumId="15" w15:restartNumberingAfterBreak="0">
    <w:nsid w:val="75C6C33A"/>
    <w:multiLevelType w:val="hybridMultilevel"/>
    <w:tmpl w:val="46F697FC"/>
    <w:lvl w:ilvl="0" w:tplc="0F56A720">
      <w:start w:val="1"/>
      <w:numFmt w:val="bullet"/>
      <w:lvlText w:val="*"/>
      <w:lvlJc w:val="left"/>
    </w:lvl>
    <w:lvl w:ilvl="1" w:tplc="ECAAE5A4">
      <w:numFmt w:val="decimal"/>
      <w:lvlText w:val=""/>
      <w:lvlJc w:val="left"/>
    </w:lvl>
    <w:lvl w:ilvl="2" w:tplc="73B43F66">
      <w:numFmt w:val="decimal"/>
      <w:lvlText w:val=""/>
      <w:lvlJc w:val="left"/>
    </w:lvl>
    <w:lvl w:ilvl="3" w:tplc="8E9ECFC0">
      <w:numFmt w:val="decimal"/>
      <w:lvlText w:val=""/>
      <w:lvlJc w:val="left"/>
    </w:lvl>
    <w:lvl w:ilvl="4" w:tplc="87B47DAC">
      <w:numFmt w:val="decimal"/>
      <w:lvlText w:val=""/>
      <w:lvlJc w:val="left"/>
    </w:lvl>
    <w:lvl w:ilvl="5" w:tplc="C414E834">
      <w:numFmt w:val="decimal"/>
      <w:lvlText w:val=""/>
      <w:lvlJc w:val="left"/>
    </w:lvl>
    <w:lvl w:ilvl="6" w:tplc="B9DA7942">
      <w:numFmt w:val="decimal"/>
      <w:lvlText w:val=""/>
      <w:lvlJc w:val="left"/>
    </w:lvl>
    <w:lvl w:ilvl="7" w:tplc="5E58E40E">
      <w:numFmt w:val="decimal"/>
      <w:lvlText w:val=""/>
      <w:lvlJc w:val="left"/>
    </w:lvl>
    <w:lvl w:ilvl="8" w:tplc="AE0A64F2">
      <w:numFmt w:val="decimal"/>
      <w:lvlText w:val=""/>
      <w:lvlJc w:val="left"/>
    </w:lvl>
  </w:abstractNum>
  <w:abstractNum w:abstractNumId="16" w15:restartNumberingAfterBreak="0">
    <w:nsid w:val="79A1DEAA"/>
    <w:multiLevelType w:val="hybridMultilevel"/>
    <w:tmpl w:val="DD94EF86"/>
    <w:lvl w:ilvl="0" w:tplc="8EF83950">
      <w:start w:val="4"/>
      <w:numFmt w:val="decimal"/>
      <w:lvlText w:val="%1."/>
      <w:lvlJc w:val="left"/>
    </w:lvl>
    <w:lvl w:ilvl="1" w:tplc="058E95B6">
      <w:numFmt w:val="decimal"/>
      <w:lvlText w:val=""/>
      <w:lvlJc w:val="left"/>
    </w:lvl>
    <w:lvl w:ilvl="2" w:tplc="0C209E82">
      <w:numFmt w:val="decimal"/>
      <w:lvlText w:val=""/>
      <w:lvlJc w:val="left"/>
    </w:lvl>
    <w:lvl w:ilvl="3" w:tplc="8206C07C">
      <w:numFmt w:val="decimal"/>
      <w:lvlText w:val=""/>
      <w:lvlJc w:val="left"/>
    </w:lvl>
    <w:lvl w:ilvl="4" w:tplc="027E01A8">
      <w:numFmt w:val="decimal"/>
      <w:lvlText w:val=""/>
      <w:lvlJc w:val="left"/>
    </w:lvl>
    <w:lvl w:ilvl="5" w:tplc="D20A7E22">
      <w:numFmt w:val="decimal"/>
      <w:lvlText w:val=""/>
      <w:lvlJc w:val="left"/>
    </w:lvl>
    <w:lvl w:ilvl="6" w:tplc="41301D8E">
      <w:numFmt w:val="decimal"/>
      <w:lvlText w:val=""/>
      <w:lvlJc w:val="left"/>
    </w:lvl>
    <w:lvl w:ilvl="7" w:tplc="2386413C">
      <w:numFmt w:val="decimal"/>
      <w:lvlText w:val=""/>
      <w:lvlJc w:val="left"/>
    </w:lvl>
    <w:lvl w:ilvl="8" w:tplc="03AAD530">
      <w:numFmt w:val="decimal"/>
      <w:lvlText w:val=""/>
      <w:lvlJc w:val="left"/>
    </w:lvl>
  </w:abstractNum>
  <w:num w:numId="1">
    <w:abstractNumId w:val="14"/>
  </w:num>
  <w:num w:numId="2">
    <w:abstractNumId w:val="9"/>
  </w:num>
  <w:num w:numId="3">
    <w:abstractNumId w:val="2"/>
  </w:num>
  <w:num w:numId="4">
    <w:abstractNumId w:val="16"/>
  </w:num>
  <w:num w:numId="5">
    <w:abstractNumId w:val="15"/>
  </w:num>
  <w:num w:numId="6">
    <w:abstractNumId w:val="0"/>
  </w:num>
  <w:num w:numId="7">
    <w:abstractNumId w:val="13"/>
  </w:num>
  <w:num w:numId="8">
    <w:abstractNumId w:val="11"/>
  </w:num>
  <w:num w:numId="9">
    <w:abstractNumId w:val="7"/>
  </w:num>
  <w:num w:numId="10">
    <w:abstractNumId w:val="10"/>
  </w:num>
  <w:num w:numId="11">
    <w:abstractNumId w:val="5"/>
  </w:num>
  <w:num w:numId="12">
    <w:abstractNumId w:val="12"/>
  </w:num>
  <w:num w:numId="13">
    <w:abstractNumId w:val="6"/>
  </w:num>
  <w:num w:numId="14">
    <w:abstractNumId w:val="8"/>
  </w:num>
  <w:num w:numId="15">
    <w:abstractNumId w:val="3"/>
  </w:num>
  <w:num w:numId="16">
    <w:abstractNumId w:val="1"/>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EB"/>
    <w:rsid w:val="000221AB"/>
    <w:rsid w:val="00023315"/>
    <w:rsid w:val="00024B9B"/>
    <w:rsid w:val="000250C1"/>
    <w:rsid w:val="000279EE"/>
    <w:rsid w:val="00041E07"/>
    <w:rsid w:val="00045EE4"/>
    <w:rsid w:val="000704BF"/>
    <w:rsid w:val="00074AED"/>
    <w:rsid w:val="00087FAC"/>
    <w:rsid w:val="00094D57"/>
    <w:rsid w:val="000C092C"/>
    <w:rsid w:val="000C7E25"/>
    <w:rsid w:val="000D1103"/>
    <w:rsid w:val="000E2CB1"/>
    <w:rsid w:val="00113850"/>
    <w:rsid w:val="001163C2"/>
    <w:rsid w:val="001267B2"/>
    <w:rsid w:val="0015417C"/>
    <w:rsid w:val="00154FAD"/>
    <w:rsid w:val="00184425"/>
    <w:rsid w:val="00192D48"/>
    <w:rsid w:val="001A0FD5"/>
    <w:rsid w:val="001B1E29"/>
    <w:rsid w:val="001D6450"/>
    <w:rsid w:val="001E407D"/>
    <w:rsid w:val="002018C3"/>
    <w:rsid w:val="002028F7"/>
    <w:rsid w:val="00213FED"/>
    <w:rsid w:val="00230783"/>
    <w:rsid w:val="00231ED8"/>
    <w:rsid w:val="0024159F"/>
    <w:rsid w:val="0024713A"/>
    <w:rsid w:val="00247D60"/>
    <w:rsid w:val="00260ADA"/>
    <w:rsid w:val="00263092"/>
    <w:rsid w:val="00272C6B"/>
    <w:rsid w:val="00296B02"/>
    <w:rsid w:val="002B2425"/>
    <w:rsid w:val="002B57B9"/>
    <w:rsid w:val="002B6416"/>
    <w:rsid w:val="002C7694"/>
    <w:rsid w:val="002F0E46"/>
    <w:rsid w:val="002F1145"/>
    <w:rsid w:val="002F132C"/>
    <w:rsid w:val="002F49AA"/>
    <w:rsid w:val="002F4CF5"/>
    <w:rsid w:val="002F6AD7"/>
    <w:rsid w:val="003023CA"/>
    <w:rsid w:val="003079DB"/>
    <w:rsid w:val="00315809"/>
    <w:rsid w:val="0032611D"/>
    <w:rsid w:val="0033193B"/>
    <w:rsid w:val="00335C68"/>
    <w:rsid w:val="00356439"/>
    <w:rsid w:val="00361D3C"/>
    <w:rsid w:val="003635E8"/>
    <w:rsid w:val="0037574D"/>
    <w:rsid w:val="00376CB5"/>
    <w:rsid w:val="00381E4D"/>
    <w:rsid w:val="00385E87"/>
    <w:rsid w:val="003C5D41"/>
    <w:rsid w:val="003C6940"/>
    <w:rsid w:val="003D0FC8"/>
    <w:rsid w:val="003E1EE1"/>
    <w:rsid w:val="003E411B"/>
    <w:rsid w:val="003F441F"/>
    <w:rsid w:val="003F4941"/>
    <w:rsid w:val="003F5211"/>
    <w:rsid w:val="004138E3"/>
    <w:rsid w:val="00434607"/>
    <w:rsid w:val="0044171A"/>
    <w:rsid w:val="004465A4"/>
    <w:rsid w:val="0044754A"/>
    <w:rsid w:val="00450A25"/>
    <w:rsid w:val="00453419"/>
    <w:rsid w:val="004553B6"/>
    <w:rsid w:val="00463E4F"/>
    <w:rsid w:val="004643DA"/>
    <w:rsid w:val="00465465"/>
    <w:rsid w:val="004656F2"/>
    <w:rsid w:val="00465DBD"/>
    <w:rsid w:val="00467FFA"/>
    <w:rsid w:val="0048679D"/>
    <w:rsid w:val="00495B64"/>
    <w:rsid w:val="004C59D8"/>
    <w:rsid w:val="004D43F2"/>
    <w:rsid w:val="004D5191"/>
    <w:rsid w:val="004F4515"/>
    <w:rsid w:val="0050247F"/>
    <w:rsid w:val="00511849"/>
    <w:rsid w:val="00521B50"/>
    <w:rsid w:val="00531AC2"/>
    <w:rsid w:val="00533398"/>
    <w:rsid w:val="00544026"/>
    <w:rsid w:val="00551CCB"/>
    <w:rsid w:val="005561BD"/>
    <w:rsid w:val="00556521"/>
    <w:rsid w:val="00556844"/>
    <w:rsid w:val="00565AFB"/>
    <w:rsid w:val="0056640A"/>
    <w:rsid w:val="00567239"/>
    <w:rsid w:val="0057073B"/>
    <w:rsid w:val="0058529F"/>
    <w:rsid w:val="00597ABD"/>
    <w:rsid w:val="005A1ECE"/>
    <w:rsid w:val="005B00DC"/>
    <w:rsid w:val="005B2705"/>
    <w:rsid w:val="005B3BD9"/>
    <w:rsid w:val="005B6400"/>
    <w:rsid w:val="005D3C97"/>
    <w:rsid w:val="005E1A69"/>
    <w:rsid w:val="006037E0"/>
    <w:rsid w:val="00607C36"/>
    <w:rsid w:val="00613344"/>
    <w:rsid w:val="006150F7"/>
    <w:rsid w:val="0061710D"/>
    <w:rsid w:val="00621B53"/>
    <w:rsid w:val="006227AA"/>
    <w:rsid w:val="00626A54"/>
    <w:rsid w:val="00627CF3"/>
    <w:rsid w:val="006369BA"/>
    <w:rsid w:val="006445CE"/>
    <w:rsid w:val="00646268"/>
    <w:rsid w:val="00656B70"/>
    <w:rsid w:val="0066780D"/>
    <w:rsid w:val="006735DB"/>
    <w:rsid w:val="00674AE9"/>
    <w:rsid w:val="00693D32"/>
    <w:rsid w:val="006B7339"/>
    <w:rsid w:val="006C7D35"/>
    <w:rsid w:val="006D0039"/>
    <w:rsid w:val="006D1427"/>
    <w:rsid w:val="006D3527"/>
    <w:rsid w:val="006D707C"/>
    <w:rsid w:val="006E1532"/>
    <w:rsid w:val="006E3832"/>
    <w:rsid w:val="006E40AB"/>
    <w:rsid w:val="006F250D"/>
    <w:rsid w:val="006F6E2D"/>
    <w:rsid w:val="007168F3"/>
    <w:rsid w:val="00732B46"/>
    <w:rsid w:val="00734506"/>
    <w:rsid w:val="007429C0"/>
    <w:rsid w:val="00753A6F"/>
    <w:rsid w:val="00760C71"/>
    <w:rsid w:val="007641B3"/>
    <w:rsid w:val="007707AD"/>
    <w:rsid w:val="00772C71"/>
    <w:rsid w:val="007829B2"/>
    <w:rsid w:val="007940B2"/>
    <w:rsid w:val="00794BCD"/>
    <w:rsid w:val="007A2C69"/>
    <w:rsid w:val="007A2F8C"/>
    <w:rsid w:val="007C6C7B"/>
    <w:rsid w:val="007F366E"/>
    <w:rsid w:val="007F573E"/>
    <w:rsid w:val="00800226"/>
    <w:rsid w:val="00812A33"/>
    <w:rsid w:val="00817A39"/>
    <w:rsid w:val="008422B1"/>
    <w:rsid w:val="008732C4"/>
    <w:rsid w:val="00885DAE"/>
    <w:rsid w:val="00887572"/>
    <w:rsid w:val="00891B8D"/>
    <w:rsid w:val="008927CE"/>
    <w:rsid w:val="00894A41"/>
    <w:rsid w:val="00897436"/>
    <w:rsid w:val="008A0683"/>
    <w:rsid w:val="008A2CC4"/>
    <w:rsid w:val="008C5692"/>
    <w:rsid w:val="008D3B0C"/>
    <w:rsid w:val="008E0E3D"/>
    <w:rsid w:val="008E4EA9"/>
    <w:rsid w:val="008F1CA9"/>
    <w:rsid w:val="008F6E1B"/>
    <w:rsid w:val="00901672"/>
    <w:rsid w:val="00927D32"/>
    <w:rsid w:val="00930956"/>
    <w:rsid w:val="009402FF"/>
    <w:rsid w:val="00942343"/>
    <w:rsid w:val="009605EC"/>
    <w:rsid w:val="0097393A"/>
    <w:rsid w:val="00987BF2"/>
    <w:rsid w:val="009A4610"/>
    <w:rsid w:val="009A6619"/>
    <w:rsid w:val="009A687C"/>
    <w:rsid w:val="009A7365"/>
    <w:rsid w:val="009C4AE5"/>
    <w:rsid w:val="009F74E2"/>
    <w:rsid w:val="00A126EB"/>
    <w:rsid w:val="00A51479"/>
    <w:rsid w:val="00A61D9E"/>
    <w:rsid w:val="00A66C59"/>
    <w:rsid w:val="00A8045D"/>
    <w:rsid w:val="00A8165D"/>
    <w:rsid w:val="00A91FEF"/>
    <w:rsid w:val="00A97A51"/>
    <w:rsid w:val="00AA26B7"/>
    <w:rsid w:val="00AA342E"/>
    <w:rsid w:val="00AB6662"/>
    <w:rsid w:val="00AC104F"/>
    <w:rsid w:val="00AC2E3B"/>
    <w:rsid w:val="00AC4C39"/>
    <w:rsid w:val="00AC57B6"/>
    <w:rsid w:val="00AC6E9A"/>
    <w:rsid w:val="00AC7B6E"/>
    <w:rsid w:val="00AE5379"/>
    <w:rsid w:val="00B1137D"/>
    <w:rsid w:val="00B11E75"/>
    <w:rsid w:val="00B12CA4"/>
    <w:rsid w:val="00B133E2"/>
    <w:rsid w:val="00B24E26"/>
    <w:rsid w:val="00B3043C"/>
    <w:rsid w:val="00B3358B"/>
    <w:rsid w:val="00B353E9"/>
    <w:rsid w:val="00B35601"/>
    <w:rsid w:val="00B5486D"/>
    <w:rsid w:val="00B6790B"/>
    <w:rsid w:val="00B7083F"/>
    <w:rsid w:val="00B71EDA"/>
    <w:rsid w:val="00B7565F"/>
    <w:rsid w:val="00B7608A"/>
    <w:rsid w:val="00B918B9"/>
    <w:rsid w:val="00B94C6E"/>
    <w:rsid w:val="00BA077F"/>
    <w:rsid w:val="00BD6BA8"/>
    <w:rsid w:val="00BE57F2"/>
    <w:rsid w:val="00BF03FF"/>
    <w:rsid w:val="00C00DD8"/>
    <w:rsid w:val="00C01268"/>
    <w:rsid w:val="00C0530A"/>
    <w:rsid w:val="00C104A9"/>
    <w:rsid w:val="00C123EB"/>
    <w:rsid w:val="00C171EA"/>
    <w:rsid w:val="00C22305"/>
    <w:rsid w:val="00C36EBF"/>
    <w:rsid w:val="00C51467"/>
    <w:rsid w:val="00C55842"/>
    <w:rsid w:val="00C605F8"/>
    <w:rsid w:val="00C633A6"/>
    <w:rsid w:val="00C72102"/>
    <w:rsid w:val="00C76B6E"/>
    <w:rsid w:val="00C76DCD"/>
    <w:rsid w:val="00C80092"/>
    <w:rsid w:val="00C838F4"/>
    <w:rsid w:val="00C87DA4"/>
    <w:rsid w:val="00C96034"/>
    <w:rsid w:val="00CA1601"/>
    <w:rsid w:val="00CB2E6E"/>
    <w:rsid w:val="00CB7286"/>
    <w:rsid w:val="00CD7508"/>
    <w:rsid w:val="00CF4F07"/>
    <w:rsid w:val="00D06569"/>
    <w:rsid w:val="00D33A4E"/>
    <w:rsid w:val="00D33D96"/>
    <w:rsid w:val="00D420F6"/>
    <w:rsid w:val="00D52ECB"/>
    <w:rsid w:val="00D53314"/>
    <w:rsid w:val="00D5675E"/>
    <w:rsid w:val="00D836E4"/>
    <w:rsid w:val="00D90D76"/>
    <w:rsid w:val="00D937BF"/>
    <w:rsid w:val="00D95D13"/>
    <w:rsid w:val="00DA51AC"/>
    <w:rsid w:val="00DB3E62"/>
    <w:rsid w:val="00DC5C7E"/>
    <w:rsid w:val="00DD0B36"/>
    <w:rsid w:val="00DE6A28"/>
    <w:rsid w:val="00DF1EF0"/>
    <w:rsid w:val="00E23360"/>
    <w:rsid w:val="00E33D25"/>
    <w:rsid w:val="00E36274"/>
    <w:rsid w:val="00E537D7"/>
    <w:rsid w:val="00E65BED"/>
    <w:rsid w:val="00E86A11"/>
    <w:rsid w:val="00E8726B"/>
    <w:rsid w:val="00E92B41"/>
    <w:rsid w:val="00E96CC8"/>
    <w:rsid w:val="00EC0233"/>
    <w:rsid w:val="00ED5ADC"/>
    <w:rsid w:val="00ED6EEB"/>
    <w:rsid w:val="00EE7C51"/>
    <w:rsid w:val="00F02CB3"/>
    <w:rsid w:val="00F04A53"/>
    <w:rsid w:val="00F0722A"/>
    <w:rsid w:val="00F07EF9"/>
    <w:rsid w:val="00F209B7"/>
    <w:rsid w:val="00F21B71"/>
    <w:rsid w:val="00F22DEE"/>
    <w:rsid w:val="00F271A7"/>
    <w:rsid w:val="00F3233E"/>
    <w:rsid w:val="00F46577"/>
    <w:rsid w:val="00F46F94"/>
    <w:rsid w:val="00F53989"/>
    <w:rsid w:val="00F7105C"/>
    <w:rsid w:val="00F74707"/>
    <w:rsid w:val="00F97339"/>
    <w:rsid w:val="00FA075A"/>
    <w:rsid w:val="00FA29ED"/>
    <w:rsid w:val="00FA41A8"/>
    <w:rsid w:val="00FA5042"/>
    <w:rsid w:val="00FA5611"/>
    <w:rsid w:val="00FC41F8"/>
    <w:rsid w:val="00FC52DB"/>
    <w:rsid w:val="00FD04BE"/>
    <w:rsid w:val="00FD455A"/>
    <w:rsid w:val="00FE55CD"/>
    <w:rsid w:val="00FF00A9"/>
    <w:rsid w:val="00F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8E786"/>
  <w15:docId w15:val="{9A968CDB-7C35-4A59-B9A9-E0F2162E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68"/>
    <w:rPr>
      <w:rFonts w:ascii="Times New Roman" w:eastAsia="Times New Roman" w:hAnsi="Times New Roman" w:cs="Times New Roman"/>
    </w:rPr>
  </w:style>
  <w:style w:type="paragraph" w:styleId="Heading1">
    <w:name w:val="heading 1"/>
    <w:basedOn w:val="Normal"/>
    <w:uiPriority w:val="9"/>
    <w:qFormat/>
    <w:rsid w:val="00646268"/>
    <w:pPr>
      <w:ind w:left="684"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6268"/>
    <w:pPr>
      <w:ind w:left="118"/>
    </w:pPr>
  </w:style>
  <w:style w:type="paragraph" w:styleId="ListParagraph">
    <w:name w:val="List Paragraph"/>
    <w:basedOn w:val="Normal"/>
    <w:uiPriority w:val="1"/>
    <w:qFormat/>
    <w:rsid w:val="00646268"/>
    <w:pPr>
      <w:ind w:left="686" w:hanging="568"/>
    </w:pPr>
  </w:style>
  <w:style w:type="paragraph" w:customStyle="1" w:styleId="TableParagraph">
    <w:name w:val="Table Paragraph"/>
    <w:basedOn w:val="Normal"/>
    <w:uiPriority w:val="1"/>
    <w:qFormat/>
    <w:rsid w:val="00646268"/>
  </w:style>
  <w:style w:type="paragraph" w:styleId="CommentText">
    <w:name w:val="annotation text"/>
    <w:basedOn w:val="Normal"/>
    <w:link w:val="CommentTextChar"/>
    <w:uiPriority w:val="99"/>
    <w:unhideWhenUsed/>
    <w:rsid w:val="00646268"/>
    <w:rPr>
      <w:sz w:val="20"/>
      <w:szCs w:val="20"/>
    </w:rPr>
  </w:style>
  <w:style w:type="character" w:styleId="CommentReference">
    <w:name w:val="annotation reference"/>
    <w:basedOn w:val="DefaultParagraphFont"/>
    <w:uiPriority w:val="99"/>
    <w:semiHidden/>
    <w:unhideWhenUsed/>
    <w:rsid w:val="00646268"/>
    <w:rPr>
      <w:sz w:val="16"/>
      <w:szCs w:val="16"/>
    </w:rPr>
  </w:style>
  <w:style w:type="paragraph" w:styleId="BalloonText">
    <w:name w:val="Balloon Text"/>
    <w:basedOn w:val="Normal"/>
    <w:link w:val="BalloonTextChar"/>
    <w:uiPriority w:val="99"/>
    <w:semiHidden/>
    <w:unhideWhenUsed/>
    <w:rsid w:val="00D8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E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836E4"/>
    <w:rPr>
      <w:b/>
      <w:bCs/>
    </w:rPr>
  </w:style>
  <w:style w:type="character" w:customStyle="1" w:styleId="CommentTextChar">
    <w:name w:val="Comment Text Char"/>
    <w:basedOn w:val="DefaultParagraphFont"/>
    <w:link w:val="CommentText"/>
    <w:uiPriority w:val="99"/>
    <w:rsid w:val="00D836E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836E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1D3C"/>
    <w:pPr>
      <w:tabs>
        <w:tab w:val="center" w:pos="4513"/>
        <w:tab w:val="right" w:pos="9026"/>
      </w:tabs>
    </w:pPr>
  </w:style>
  <w:style w:type="character" w:customStyle="1" w:styleId="HeaderChar">
    <w:name w:val="Header Char"/>
    <w:basedOn w:val="DefaultParagraphFont"/>
    <w:link w:val="Header"/>
    <w:uiPriority w:val="99"/>
    <w:rsid w:val="00361D3C"/>
    <w:rPr>
      <w:rFonts w:ascii="Times New Roman" w:eastAsia="Times New Roman" w:hAnsi="Times New Roman" w:cs="Times New Roman"/>
    </w:rPr>
  </w:style>
  <w:style w:type="paragraph" w:styleId="Footer">
    <w:name w:val="footer"/>
    <w:basedOn w:val="Normal"/>
    <w:link w:val="FooterChar"/>
    <w:uiPriority w:val="99"/>
    <w:unhideWhenUsed/>
    <w:rsid w:val="00361D3C"/>
    <w:pPr>
      <w:tabs>
        <w:tab w:val="center" w:pos="4513"/>
        <w:tab w:val="right" w:pos="9026"/>
      </w:tabs>
    </w:pPr>
  </w:style>
  <w:style w:type="character" w:customStyle="1" w:styleId="FooterChar">
    <w:name w:val="Footer Char"/>
    <w:basedOn w:val="DefaultParagraphFont"/>
    <w:link w:val="Footer"/>
    <w:uiPriority w:val="99"/>
    <w:rsid w:val="00361D3C"/>
    <w:rPr>
      <w:rFonts w:ascii="Times New Roman" w:eastAsia="Times New Roman" w:hAnsi="Times New Roman" w:cs="Times New Roman"/>
    </w:rPr>
  </w:style>
  <w:style w:type="character" w:styleId="Hyperlink">
    <w:name w:val="Hyperlink"/>
    <w:basedOn w:val="DefaultParagraphFont"/>
    <w:uiPriority w:val="99"/>
    <w:unhideWhenUsed/>
    <w:rsid w:val="00B11E75"/>
    <w:rPr>
      <w:color w:val="0000FF" w:themeColor="hyperlink"/>
      <w:u w:val="single"/>
    </w:rPr>
  </w:style>
  <w:style w:type="paragraph" w:customStyle="1" w:styleId="Default">
    <w:name w:val="Default"/>
    <w:rsid w:val="00DD0B36"/>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FA075A"/>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2425"/>
    <w:rPr>
      <w:color w:val="800080" w:themeColor="followedHyperlink"/>
      <w:u w:val="single"/>
    </w:rPr>
  </w:style>
  <w:style w:type="paragraph" w:styleId="NoSpacing">
    <w:name w:val="No Spacing"/>
    <w:uiPriority w:val="1"/>
    <w:qFormat/>
    <w:rsid w:val="002C76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7779">
      <w:bodyDiv w:val="1"/>
      <w:marLeft w:val="0"/>
      <w:marRight w:val="0"/>
      <w:marTop w:val="0"/>
      <w:marBottom w:val="0"/>
      <w:divBdr>
        <w:top w:val="none" w:sz="0" w:space="0" w:color="auto"/>
        <w:left w:val="none" w:sz="0" w:space="0" w:color="auto"/>
        <w:bottom w:val="none" w:sz="0" w:space="0" w:color="auto"/>
        <w:right w:val="none" w:sz="0" w:space="0" w:color="auto"/>
      </w:divBdr>
    </w:div>
    <w:div w:id="1166286847">
      <w:bodyDiv w:val="1"/>
      <w:marLeft w:val="0"/>
      <w:marRight w:val="0"/>
      <w:marTop w:val="0"/>
      <w:marBottom w:val="0"/>
      <w:divBdr>
        <w:top w:val="none" w:sz="0" w:space="0" w:color="auto"/>
        <w:left w:val="none" w:sz="0" w:space="0" w:color="auto"/>
        <w:bottom w:val="none" w:sz="0" w:space="0" w:color="auto"/>
        <w:right w:val="none" w:sz="0" w:space="0" w:color="auto"/>
      </w:divBdr>
    </w:div>
    <w:div w:id="1167092334">
      <w:bodyDiv w:val="1"/>
      <w:marLeft w:val="0"/>
      <w:marRight w:val="0"/>
      <w:marTop w:val="0"/>
      <w:marBottom w:val="0"/>
      <w:divBdr>
        <w:top w:val="none" w:sz="0" w:space="0" w:color="auto"/>
        <w:left w:val="none" w:sz="0" w:space="0" w:color="auto"/>
        <w:bottom w:val="none" w:sz="0" w:space="0" w:color="auto"/>
        <w:right w:val="none" w:sz="0" w:space="0" w:color="auto"/>
      </w:divBdr>
    </w:div>
    <w:div w:id="1649019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alkaloid.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AFB7-5440-4F1F-9786-15EFBE9E8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237A9-872E-4EE5-9EF3-23B8F122F53D}">
  <ds:schemaRefs>
    <ds:schemaRef ds:uri="http://schemas.microsoft.com/office/2006/metadata/properties"/>
    <ds:schemaRef ds:uri="http://schemas.microsoft.com/office/infopath/2007/PartnerControls"/>
    <ds:schemaRef ds:uri="567b6213-8d2c-4467-bc69-40117c0f8825"/>
  </ds:schemaRefs>
</ds:datastoreItem>
</file>

<file path=customXml/itemProps3.xml><?xml version="1.0" encoding="utf-8"?>
<ds:datastoreItem xmlns:ds="http://schemas.openxmlformats.org/officeDocument/2006/customXml" ds:itemID="{7FEDED80-80E9-41C2-8DAB-D9198936B28F}">
  <ds:schemaRefs>
    <ds:schemaRef ds:uri="http://schemas.microsoft.com/sharepoint/v3/contenttype/forms"/>
  </ds:schemaRefs>
</ds:datastoreItem>
</file>

<file path=customXml/itemProps4.xml><?xml version="1.0" encoding="utf-8"?>
<ds:datastoreItem xmlns:ds="http://schemas.openxmlformats.org/officeDocument/2006/customXml" ds:itemID="{CE9385E8-8F9B-4769-ABA1-F0F0346C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10242</Words>
  <Characters>58384</Characters>
  <Application>Microsoft Office Word</Application>
  <DocSecurity>0</DocSecurity>
  <Lines>486</Lines>
  <Paragraphs>136</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27</vt:i4>
      </vt:variant>
    </vt:vector>
  </HeadingPairs>
  <TitlesOfParts>
    <vt:vector size="29" baseType="lpstr">
      <vt:lpstr/>
      <vt:lpstr/>
      <vt:lpstr>COMPOZIȚIA CALITATIVĂ ȘI CANTITATIVĂ</vt:lpstr>
      <vt:lpstr>FORMA FARMACEUTICĂ</vt:lpstr>
      <vt:lpstr>PARTICULARITĂȚI CLINICE</vt:lpstr>
      <vt:lpstr>Doze și mod de administrare</vt:lpstr>
      <vt:lpstr>Contraindicații</vt:lpstr>
      <vt:lpstr>Atenționări și precauții speciale pentru utilizare</vt:lpstr>
      <vt:lpstr>Copii și adolescenți</vt:lpstr>
      <vt:lpstr>Interacțiuni cu alte medicamente și alte forme de interacțiune</vt:lpstr>
      <vt:lpstr>Fertilitatea, sarcina și alăptarea</vt:lpstr>
      <vt:lpstr>Efecte asupra capacității de a conduce vehicule și de a folosi utilaje</vt:lpstr>
      <vt:lpstr>Reacții adverse</vt:lpstr>
      <vt:lpstr>Supradozaj</vt:lpstr>
      <vt:lpstr>PROPRIETĂȚI FARMACOLOGICE</vt:lpstr>
      <vt:lpstr>Proprietăți farmacocinetice</vt:lpstr>
      <vt:lpstr>Date preclinice de siguranță</vt:lpstr>
      <vt:lpstr>PARTICULARITĂȚI FARMACEUTICE</vt:lpstr>
      <vt:lpstr>Incompatibilități</vt:lpstr>
      <vt:lpstr>Perioadă de valabilitate</vt:lpstr>
      <vt:lpstr>Precauții speciale pentru păstrare</vt:lpstr>
      <vt:lpstr>Natura și conținutul ambalajului</vt:lpstr>
      <vt:lpstr>Precauții speciale pentru eliminarea reziduurilor și alte instrucțiuni de manipu</vt:lpstr>
      <vt:lpstr>7.	DEȚINĂTORUL AUTORIZAȚIEI DE PUNERE PE PIAȚĂ</vt:lpstr>
      <vt:lpstr>NUMĂRUL AUTORIZAȚIEI DE PUNERE PE PIAȚĂ</vt:lpstr>
      <vt:lpstr>DATA PRIMEI AUTORIZĂRI SAU A REÎNNOIRII AUTORIZAȚIEI</vt:lpstr>
      <vt:lpstr>DATA REVIZUIRII TEXTULUI</vt:lpstr>
      <vt:lpstr/>
      <vt:lpstr>&lt;{LL/AAAA}&gt;</vt:lpstr>
    </vt:vector>
  </TitlesOfParts>
  <Company>Hewlett-Packard Company</Company>
  <LinksUpToDate>false</LinksUpToDate>
  <CharactersWithSpaces>68490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2</cp:revision>
  <dcterms:created xsi:type="dcterms:W3CDTF">2023-07-25T14:09:00Z</dcterms:created>
  <dcterms:modified xsi:type="dcterms:W3CDTF">2023-07-25T14:09:00Z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726300</vt:r8>
  </property>
  <property fmtid="{D5CDD505-2E9C-101B-9397-08002B2CF9AE}" pid="7" name="ComplianceAssetId">
    <vt:lpwstr/>
  </property>
</Properties>
</file>